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17.xml" ContentType="application/vnd.openxmlformats-officedocument.themeOverrid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theme/themeOverride18.xml" ContentType="application/vnd.openxmlformats-officedocument.themeOverride+xml"/>
  <Override PartName="/word/charts/chart28.xml" ContentType="application/vnd.openxmlformats-officedocument.drawingml.chart+xml"/>
  <Override PartName="/word/theme/themeOverride19.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20.xml" ContentType="application/vnd.openxmlformats-officedocument.themeOverride+xml"/>
  <Override PartName="/word/drawings/drawing2.xml" ContentType="application/vnd.openxmlformats-officedocument.drawingml.chartshapes+xml"/>
  <Override PartName="/word/charts/chart34.xml" ContentType="application/vnd.openxmlformats-officedocument.drawingml.chart+xml"/>
  <Override PartName="/word/charts/chart3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16FA" w:rsidRDefault="00E616FA" w:rsidP="00E616FA">
      <w:pPr>
        <w:jc w:val="center"/>
        <w:rPr>
          <w:rFonts w:ascii="Garamond" w:hAnsi="Garamond"/>
          <w:sz w:val="36"/>
        </w:rPr>
      </w:pPr>
      <w:r>
        <w:rPr>
          <w:noProof/>
          <w:lang w:val="es-GT" w:eastAsia="es-GT"/>
        </w:rPr>
        <w:drawing>
          <wp:anchor distT="0" distB="0" distL="114300" distR="114300" simplePos="0" relativeHeight="251668480" behindDoc="1" locked="0" layoutInCell="1" allowOverlap="1" wp14:anchorId="30D3B6DF" wp14:editId="451B4614">
            <wp:simplePos x="0" y="0"/>
            <wp:positionH relativeFrom="margin">
              <wp:align>center</wp:align>
            </wp:positionH>
            <wp:positionV relativeFrom="paragraph">
              <wp:posOffset>0</wp:posOffset>
            </wp:positionV>
            <wp:extent cx="2371725" cy="1238250"/>
            <wp:effectExtent l="0" t="0" r="9525"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8" cstate="print">
                      <a:extLst>
                        <a:ext uri="{28A0092B-C50C-407E-A947-70E740481C1C}">
                          <a14:useLocalDpi xmlns:a14="http://schemas.microsoft.com/office/drawing/2010/main" val="0"/>
                        </a:ext>
                      </a:extLst>
                    </a:blip>
                    <a:srcRect l="34748" t="2485" r="38589" b="81546"/>
                    <a:stretch/>
                  </pic:blipFill>
                  <pic:spPr bwMode="auto">
                    <a:xfrm>
                      <a:off x="0" y="0"/>
                      <a:ext cx="2371725" cy="123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16FA" w:rsidRPr="00C47DD4" w:rsidRDefault="00E616FA" w:rsidP="00E616FA">
      <w:pPr>
        <w:jc w:val="center"/>
        <w:rPr>
          <w:rFonts w:ascii="Garamond" w:hAnsi="Garamond"/>
          <w:sz w:val="36"/>
        </w:rPr>
      </w:pPr>
    </w:p>
    <w:p w:rsidR="00E616FA" w:rsidRDefault="00E616FA" w:rsidP="00E616FA">
      <w:pPr>
        <w:jc w:val="center"/>
        <w:rPr>
          <w:rFonts w:ascii="Garamond" w:hAnsi="Garamond"/>
          <w:b/>
          <w:sz w:val="32"/>
        </w:rPr>
      </w:pPr>
      <w:bookmarkStart w:id="0" w:name="_Hlk494285746"/>
      <w:bookmarkEnd w:id="0"/>
    </w:p>
    <w:p w:rsidR="00E616FA" w:rsidRDefault="00E616FA" w:rsidP="00E616FA">
      <w:pPr>
        <w:jc w:val="center"/>
        <w:rPr>
          <w:rFonts w:ascii="Garamond" w:hAnsi="Garamond"/>
          <w:b/>
          <w:sz w:val="32"/>
        </w:rPr>
      </w:pPr>
    </w:p>
    <w:p w:rsidR="00E616FA" w:rsidRDefault="00E616FA" w:rsidP="00E616FA">
      <w:pPr>
        <w:jc w:val="center"/>
        <w:rPr>
          <w:rFonts w:ascii="Garamond" w:hAnsi="Garamond"/>
          <w:b/>
          <w:sz w:val="32"/>
        </w:rPr>
      </w:pPr>
    </w:p>
    <w:p w:rsidR="00E616FA" w:rsidRDefault="00E616FA" w:rsidP="00E616FA">
      <w:pPr>
        <w:jc w:val="center"/>
        <w:rPr>
          <w:rFonts w:ascii="Garamond" w:hAnsi="Garamond"/>
          <w:b/>
          <w:sz w:val="32"/>
        </w:rPr>
      </w:pPr>
    </w:p>
    <w:p w:rsidR="00E616FA" w:rsidRPr="00693655" w:rsidRDefault="00E616FA" w:rsidP="00E616FA">
      <w:pPr>
        <w:jc w:val="center"/>
        <w:rPr>
          <w:rFonts w:ascii="Garamond" w:hAnsi="Garamond"/>
          <w:sz w:val="52"/>
          <w:szCs w:val="64"/>
        </w:rPr>
      </w:pPr>
    </w:p>
    <w:p w:rsidR="00E616FA" w:rsidRPr="00693655" w:rsidRDefault="00E616FA" w:rsidP="00E616FA">
      <w:pPr>
        <w:jc w:val="center"/>
        <w:rPr>
          <w:rFonts w:ascii="Garamond" w:hAnsi="Garamond"/>
          <w:sz w:val="44"/>
          <w:szCs w:val="64"/>
        </w:rPr>
      </w:pPr>
      <w:r w:rsidRPr="00693655">
        <w:rPr>
          <w:rFonts w:ascii="Garamond" w:hAnsi="Garamond"/>
          <w:sz w:val="44"/>
          <w:szCs w:val="64"/>
        </w:rPr>
        <w:t>DIRECCIÓN DE TRANSPARENCIA FISCAL</w:t>
      </w:r>
    </w:p>
    <w:p w:rsidR="00E616FA" w:rsidRPr="00C47DD4" w:rsidRDefault="00E616FA" w:rsidP="00E616FA">
      <w:pPr>
        <w:jc w:val="center"/>
        <w:rPr>
          <w:rFonts w:ascii="Garamond" w:hAnsi="Garamond"/>
          <w:b/>
        </w:rPr>
      </w:pPr>
    </w:p>
    <w:p w:rsidR="00E616FA" w:rsidRPr="00C47DD4" w:rsidRDefault="00E616FA" w:rsidP="00E616FA">
      <w:pPr>
        <w:jc w:val="center"/>
        <w:rPr>
          <w:b/>
        </w:rPr>
      </w:pPr>
    </w:p>
    <w:p w:rsidR="00E616FA" w:rsidRPr="00C47DD4" w:rsidRDefault="00E616FA" w:rsidP="00E616FA">
      <w:pPr>
        <w:jc w:val="center"/>
        <w:rPr>
          <w:b/>
        </w:rPr>
      </w:pPr>
    </w:p>
    <w:p w:rsidR="00E616FA" w:rsidRDefault="00E616FA" w:rsidP="00E616FA">
      <w:pPr>
        <w:jc w:val="center"/>
        <w:rPr>
          <w:b/>
        </w:rPr>
      </w:pPr>
    </w:p>
    <w:p w:rsidR="00E616FA"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693655" w:rsidRDefault="00E616FA" w:rsidP="00E616FA">
      <w:pPr>
        <w:jc w:val="center"/>
        <w:rPr>
          <w:rFonts w:ascii="Garamond" w:hAnsi="Garamond"/>
          <w:sz w:val="44"/>
          <w:szCs w:val="64"/>
        </w:rPr>
      </w:pPr>
      <w:r w:rsidRPr="00693655">
        <w:rPr>
          <w:rFonts w:ascii="Garamond" w:hAnsi="Garamond"/>
          <w:sz w:val="44"/>
          <w:szCs w:val="64"/>
        </w:rPr>
        <w:t>INFORME DEL DESEMPEÑO DE LA POLÍTICA FISCAL Y ACTIVIDADES</w:t>
      </w:r>
    </w:p>
    <w:p w:rsidR="00E616FA" w:rsidRPr="00693655" w:rsidRDefault="00E616FA" w:rsidP="00E616FA">
      <w:pPr>
        <w:jc w:val="center"/>
        <w:rPr>
          <w:rFonts w:ascii="Garamond" w:hAnsi="Garamond"/>
          <w:sz w:val="44"/>
          <w:szCs w:val="64"/>
        </w:rPr>
      </w:pPr>
      <w:r w:rsidRPr="00693655">
        <w:rPr>
          <w:rFonts w:ascii="Garamond" w:hAnsi="Garamond"/>
          <w:sz w:val="44"/>
          <w:szCs w:val="64"/>
        </w:rPr>
        <w:t>DEL PRIMER SEMESTRE</w:t>
      </w:r>
    </w:p>
    <w:p w:rsidR="00E616FA" w:rsidRPr="00693655" w:rsidRDefault="00E616FA" w:rsidP="00E616FA">
      <w:pPr>
        <w:jc w:val="center"/>
        <w:rPr>
          <w:rFonts w:ascii="Garamond" w:hAnsi="Garamond"/>
          <w:sz w:val="44"/>
          <w:szCs w:val="64"/>
        </w:rPr>
      </w:pPr>
      <w:r w:rsidRPr="00693655">
        <w:rPr>
          <w:rFonts w:ascii="Garamond" w:hAnsi="Garamond"/>
          <w:sz w:val="44"/>
          <w:szCs w:val="64"/>
        </w:rPr>
        <w:t>2021</w:t>
      </w: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r>
        <w:rPr>
          <w:noProof/>
          <w:lang w:val="es-GT" w:eastAsia="es-GT"/>
        </w:rPr>
        <w:drawing>
          <wp:anchor distT="0" distB="0" distL="114300" distR="114300" simplePos="0" relativeHeight="251667456" behindDoc="1" locked="0" layoutInCell="1" allowOverlap="1" wp14:anchorId="425C4887" wp14:editId="69574605">
            <wp:simplePos x="0" y="0"/>
            <wp:positionH relativeFrom="margin">
              <wp:align>right</wp:align>
            </wp:positionH>
            <wp:positionV relativeFrom="paragraph">
              <wp:posOffset>8255</wp:posOffset>
            </wp:positionV>
            <wp:extent cx="3883710" cy="2647647"/>
            <wp:effectExtent l="0" t="0" r="254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9" cstate="print">
                      <a:extLst>
                        <a:ext uri="{28A0092B-C50C-407E-A947-70E740481C1C}">
                          <a14:useLocalDpi xmlns:a14="http://schemas.microsoft.com/office/drawing/2010/main" val="0"/>
                        </a:ext>
                      </a:extLst>
                    </a:blip>
                    <a:srcRect l="31946" t="55363" b="7920"/>
                    <a:stretch/>
                  </pic:blipFill>
                  <pic:spPr bwMode="auto">
                    <a:xfrm>
                      <a:off x="0" y="0"/>
                      <a:ext cx="3883710" cy="2647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Pr="00C47DD4" w:rsidRDefault="00E616FA" w:rsidP="00E616FA">
      <w:pPr>
        <w:jc w:val="center"/>
        <w:rPr>
          <w:b/>
        </w:rPr>
      </w:pPr>
    </w:p>
    <w:p w:rsidR="00E616FA" w:rsidRDefault="00E616FA" w:rsidP="00E616FA">
      <w:pPr>
        <w:jc w:val="center"/>
        <w:rPr>
          <w:b/>
        </w:rPr>
      </w:pPr>
    </w:p>
    <w:p w:rsidR="00E616FA" w:rsidRDefault="00E616FA" w:rsidP="00E616FA">
      <w:pPr>
        <w:jc w:val="center"/>
        <w:rPr>
          <w:b/>
        </w:rPr>
      </w:pPr>
    </w:p>
    <w:p w:rsidR="00E616FA" w:rsidRDefault="00E616FA" w:rsidP="00E616FA">
      <w:pPr>
        <w:jc w:val="center"/>
        <w:rPr>
          <w:b/>
        </w:rPr>
      </w:pPr>
    </w:p>
    <w:p w:rsidR="00E616FA" w:rsidRDefault="00E616FA" w:rsidP="00E616FA">
      <w:pPr>
        <w:jc w:val="center"/>
        <w:rPr>
          <w:b/>
        </w:rPr>
      </w:pPr>
    </w:p>
    <w:p w:rsidR="00E616FA" w:rsidRDefault="00E616FA" w:rsidP="00E616FA">
      <w:pPr>
        <w:jc w:val="center"/>
        <w:rPr>
          <w:b/>
        </w:rPr>
      </w:pPr>
    </w:p>
    <w:p w:rsidR="00E616FA" w:rsidRPr="00C47DD4" w:rsidRDefault="00E616FA" w:rsidP="00E616FA">
      <w:pPr>
        <w:jc w:val="center"/>
        <w:rPr>
          <w:b/>
        </w:rPr>
      </w:pPr>
    </w:p>
    <w:p w:rsidR="00E616FA" w:rsidRPr="00D50B63" w:rsidRDefault="00E616FA" w:rsidP="00E616FA">
      <w:pPr>
        <w:jc w:val="center"/>
        <w:rPr>
          <w:rFonts w:ascii="Garamond" w:hAnsi="Garamond"/>
          <w:sz w:val="36"/>
          <w:szCs w:val="64"/>
        </w:rPr>
      </w:pPr>
      <w:r w:rsidRPr="00D50B63">
        <w:rPr>
          <w:rFonts w:ascii="Garamond" w:hAnsi="Garamond"/>
          <w:sz w:val="36"/>
          <w:szCs w:val="64"/>
        </w:rPr>
        <w:t>Guatemala, septiembre de 2021</w:t>
      </w:r>
    </w:p>
    <w:p w:rsidR="006358A6" w:rsidRDefault="006358A6" w:rsidP="009D4D2F">
      <w:pPr>
        <w:tabs>
          <w:tab w:val="left" w:pos="0"/>
          <w:tab w:val="left" w:pos="9214"/>
        </w:tabs>
        <w:autoSpaceDE w:val="0"/>
        <w:autoSpaceDN w:val="0"/>
        <w:adjustRightInd w:val="0"/>
        <w:rPr>
          <w:b/>
        </w:rPr>
      </w:pPr>
    </w:p>
    <w:p w:rsidR="00D74187" w:rsidRDefault="00D74187" w:rsidP="009B198F">
      <w:pPr>
        <w:tabs>
          <w:tab w:val="left" w:pos="0"/>
          <w:tab w:val="left" w:pos="9214"/>
        </w:tabs>
        <w:autoSpaceDE w:val="0"/>
        <w:autoSpaceDN w:val="0"/>
        <w:adjustRightInd w:val="0"/>
        <w:ind w:firstLine="567"/>
        <w:jc w:val="center"/>
        <w:rPr>
          <w:b/>
        </w:rPr>
      </w:pPr>
    </w:p>
    <w:p w:rsidR="00D74187" w:rsidRDefault="00D74187" w:rsidP="009B198F">
      <w:pPr>
        <w:tabs>
          <w:tab w:val="left" w:pos="0"/>
          <w:tab w:val="left" w:pos="9214"/>
        </w:tabs>
        <w:autoSpaceDE w:val="0"/>
        <w:autoSpaceDN w:val="0"/>
        <w:adjustRightInd w:val="0"/>
        <w:ind w:firstLine="567"/>
        <w:jc w:val="center"/>
        <w:rPr>
          <w:b/>
        </w:rPr>
      </w:pPr>
    </w:p>
    <w:p w:rsidR="00D74187" w:rsidRDefault="00D74187" w:rsidP="009B198F">
      <w:pPr>
        <w:tabs>
          <w:tab w:val="left" w:pos="0"/>
          <w:tab w:val="left" w:pos="9214"/>
        </w:tabs>
        <w:autoSpaceDE w:val="0"/>
        <w:autoSpaceDN w:val="0"/>
        <w:adjustRightInd w:val="0"/>
        <w:ind w:firstLine="567"/>
        <w:jc w:val="center"/>
        <w:rPr>
          <w:b/>
        </w:rPr>
      </w:pPr>
    </w:p>
    <w:p w:rsidR="00025E2C" w:rsidRDefault="009B198F" w:rsidP="009B198F">
      <w:pPr>
        <w:tabs>
          <w:tab w:val="left" w:pos="0"/>
          <w:tab w:val="left" w:pos="9214"/>
        </w:tabs>
        <w:autoSpaceDE w:val="0"/>
        <w:autoSpaceDN w:val="0"/>
        <w:adjustRightInd w:val="0"/>
        <w:ind w:firstLine="567"/>
        <w:jc w:val="center"/>
        <w:rPr>
          <w:b/>
        </w:rPr>
      </w:pPr>
      <w:r w:rsidRPr="006837A4">
        <w:rPr>
          <w:b/>
        </w:rPr>
        <w:t>CONTENIDO</w:t>
      </w:r>
    </w:p>
    <w:p w:rsidR="00EB5485" w:rsidRPr="00EB5485" w:rsidRDefault="00EB5485" w:rsidP="009B198F">
      <w:pPr>
        <w:tabs>
          <w:tab w:val="left" w:pos="0"/>
          <w:tab w:val="left" w:pos="9214"/>
        </w:tabs>
        <w:autoSpaceDE w:val="0"/>
        <w:autoSpaceDN w:val="0"/>
        <w:adjustRightInd w:val="0"/>
        <w:ind w:firstLine="567"/>
        <w:jc w:val="center"/>
        <w:rPr>
          <w:b/>
          <w:sz w:val="20"/>
        </w:rPr>
      </w:pPr>
    </w:p>
    <w:p w:rsidR="00A37B18" w:rsidRDefault="007C7DEE">
      <w:pPr>
        <w:pStyle w:val="TDC1"/>
        <w:rPr>
          <w:rFonts w:asciiTheme="minorHAnsi" w:eastAsiaTheme="minorEastAsia" w:hAnsiTheme="minorHAnsi" w:cstheme="minorBidi"/>
          <w:noProof/>
          <w:sz w:val="22"/>
          <w:szCs w:val="22"/>
          <w:lang w:val="es-GT" w:eastAsia="es-GT"/>
        </w:rPr>
      </w:pPr>
      <w:r w:rsidRPr="00C87438">
        <w:rPr>
          <w:b/>
          <w:highlight w:val="yellow"/>
        </w:rPr>
        <w:fldChar w:fldCharType="begin"/>
      </w:r>
      <w:r w:rsidR="009C2D46" w:rsidRPr="00C87438">
        <w:rPr>
          <w:b/>
          <w:highlight w:val="yellow"/>
        </w:rPr>
        <w:instrText xml:space="preserve"> TOC \o "1-3" \h \z \u </w:instrText>
      </w:r>
      <w:r w:rsidRPr="00C87438">
        <w:rPr>
          <w:b/>
          <w:highlight w:val="yellow"/>
        </w:rPr>
        <w:fldChar w:fldCharType="separate"/>
      </w:r>
      <w:hyperlink w:anchor="_Toc83713619" w:history="1">
        <w:r w:rsidR="00A37B18" w:rsidRPr="00B20D5B">
          <w:rPr>
            <w:rStyle w:val="Hipervnculo"/>
            <w:noProof/>
          </w:rPr>
          <w:t>I.</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Entorno Macroeconómico</w:t>
        </w:r>
        <w:r w:rsidR="00A37B18">
          <w:rPr>
            <w:noProof/>
            <w:webHidden/>
          </w:rPr>
          <w:tab/>
        </w:r>
        <w:r w:rsidR="00A37B18">
          <w:rPr>
            <w:noProof/>
            <w:webHidden/>
          </w:rPr>
          <w:fldChar w:fldCharType="begin"/>
        </w:r>
        <w:r w:rsidR="00A37B18">
          <w:rPr>
            <w:noProof/>
            <w:webHidden/>
          </w:rPr>
          <w:instrText xml:space="preserve"> PAGEREF _Toc83713619 \h </w:instrText>
        </w:r>
        <w:r w:rsidR="00A37B18">
          <w:rPr>
            <w:noProof/>
            <w:webHidden/>
          </w:rPr>
        </w:r>
        <w:r w:rsidR="00A37B18">
          <w:rPr>
            <w:noProof/>
            <w:webHidden/>
          </w:rPr>
          <w:fldChar w:fldCharType="separate"/>
        </w:r>
        <w:r w:rsidR="00250478">
          <w:rPr>
            <w:noProof/>
            <w:webHidden/>
          </w:rPr>
          <w:t>4</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20" w:history="1">
        <w:r w:rsidR="00A37B18" w:rsidRPr="00B20D5B">
          <w:rPr>
            <w:rStyle w:val="Hipervnculo"/>
            <w:noProof/>
            <w:lang w:val="es-MX"/>
          </w:rPr>
          <w:t>A.</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Entorno Macroeconómico Internacional</w:t>
        </w:r>
        <w:r w:rsidR="00A37B18">
          <w:rPr>
            <w:noProof/>
            <w:webHidden/>
          </w:rPr>
          <w:tab/>
        </w:r>
        <w:r w:rsidR="00A37B18">
          <w:rPr>
            <w:noProof/>
            <w:webHidden/>
          </w:rPr>
          <w:fldChar w:fldCharType="begin"/>
        </w:r>
        <w:r w:rsidR="00A37B18">
          <w:rPr>
            <w:noProof/>
            <w:webHidden/>
          </w:rPr>
          <w:instrText xml:space="preserve"> PAGEREF _Toc83713620 \h </w:instrText>
        </w:r>
        <w:r w:rsidR="00A37B18">
          <w:rPr>
            <w:noProof/>
            <w:webHidden/>
          </w:rPr>
        </w:r>
        <w:r w:rsidR="00A37B18">
          <w:rPr>
            <w:noProof/>
            <w:webHidden/>
          </w:rPr>
          <w:fldChar w:fldCharType="separate"/>
        </w:r>
        <w:r>
          <w:rPr>
            <w:noProof/>
            <w:webHidden/>
          </w:rPr>
          <w:t>4</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21" w:history="1">
        <w:r w:rsidR="00A37B18" w:rsidRPr="00B20D5B">
          <w:rPr>
            <w:rStyle w:val="Hipervnculo"/>
            <w:noProof/>
            <w:lang w:val="es-MX"/>
          </w:rPr>
          <w:t>B.</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Entorno Macroeconómico Nacional</w:t>
        </w:r>
        <w:r w:rsidR="00A37B18">
          <w:rPr>
            <w:noProof/>
            <w:webHidden/>
          </w:rPr>
          <w:tab/>
        </w:r>
        <w:r w:rsidR="00A37B18">
          <w:rPr>
            <w:noProof/>
            <w:webHidden/>
          </w:rPr>
          <w:fldChar w:fldCharType="begin"/>
        </w:r>
        <w:r w:rsidR="00A37B18">
          <w:rPr>
            <w:noProof/>
            <w:webHidden/>
          </w:rPr>
          <w:instrText xml:space="preserve"> PAGEREF _Toc83713621 \h </w:instrText>
        </w:r>
        <w:r w:rsidR="00A37B18">
          <w:rPr>
            <w:noProof/>
            <w:webHidden/>
          </w:rPr>
        </w:r>
        <w:r w:rsidR="00A37B18">
          <w:rPr>
            <w:noProof/>
            <w:webHidden/>
          </w:rPr>
          <w:fldChar w:fldCharType="separate"/>
        </w:r>
        <w:r>
          <w:rPr>
            <w:noProof/>
            <w:webHidden/>
          </w:rPr>
          <w:t>9</w:t>
        </w:r>
        <w:r w:rsidR="00A37B18">
          <w:rPr>
            <w:noProof/>
            <w:webHidden/>
          </w:rPr>
          <w:fldChar w:fldCharType="end"/>
        </w:r>
      </w:hyperlink>
    </w:p>
    <w:p w:rsidR="00A37B18" w:rsidRDefault="00250478">
      <w:pPr>
        <w:pStyle w:val="TDC1"/>
        <w:rPr>
          <w:rFonts w:asciiTheme="minorHAnsi" w:eastAsiaTheme="minorEastAsia" w:hAnsiTheme="minorHAnsi" w:cstheme="minorBidi"/>
          <w:noProof/>
          <w:sz w:val="22"/>
          <w:szCs w:val="22"/>
          <w:lang w:val="es-GT" w:eastAsia="es-GT"/>
        </w:rPr>
      </w:pPr>
      <w:hyperlink w:anchor="_Toc83713622" w:history="1">
        <w:r w:rsidR="00A37B18" w:rsidRPr="00B20D5B">
          <w:rPr>
            <w:rStyle w:val="Hipervnculo"/>
            <w:noProof/>
          </w:rPr>
          <w:t>II.</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Situación Financiera de la Administración Central</w:t>
        </w:r>
        <w:r w:rsidR="00A37B18">
          <w:rPr>
            <w:noProof/>
            <w:webHidden/>
          </w:rPr>
          <w:tab/>
        </w:r>
        <w:r w:rsidR="00A37B18">
          <w:rPr>
            <w:noProof/>
            <w:webHidden/>
          </w:rPr>
          <w:fldChar w:fldCharType="begin"/>
        </w:r>
        <w:r w:rsidR="00A37B18">
          <w:rPr>
            <w:noProof/>
            <w:webHidden/>
          </w:rPr>
          <w:instrText xml:space="preserve"> PAGEREF _Toc83713622 \h </w:instrText>
        </w:r>
        <w:r w:rsidR="00A37B18">
          <w:rPr>
            <w:noProof/>
            <w:webHidden/>
          </w:rPr>
        </w:r>
        <w:r w:rsidR="00A37B18">
          <w:rPr>
            <w:noProof/>
            <w:webHidden/>
          </w:rPr>
          <w:fldChar w:fldCharType="separate"/>
        </w:r>
        <w:r>
          <w:rPr>
            <w:noProof/>
            <w:webHidden/>
          </w:rPr>
          <w:t>16</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23" w:history="1">
        <w:r w:rsidR="00A37B18" w:rsidRPr="00B20D5B">
          <w:rPr>
            <w:rStyle w:val="Hipervnculo"/>
            <w:noProof/>
          </w:rPr>
          <w:t>A.</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Ingresos</w:t>
        </w:r>
        <w:r w:rsidR="00A37B18">
          <w:rPr>
            <w:noProof/>
            <w:webHidden/>
          </w:rPr>
          <w:tab/>
        </w:r>
        <w:r w:rsidR="00A37B18">
          <w:rPr>
            <w:noProof/>
            <w:webHidden/>
          </w:rPr>
          <w:fldChar w:fldCharType="begin"/>
        </w:r>
        <w:r w:rsidR="00A37B18">
          <w:rPr>
            <w:noProof/>
            <w:webHidden/>
          </w:rPr>
          <w:instrText xml:space="preserve"> PAGEREF _Toc83713623 \h </w:instrText>
        </w:r>
        <w:r w:rsidR="00A37B18">
          <w:rPr>
            <w:noProof/>
            <w:webHidden/>
          </w:rPr>
        </w:r>
        <w:r w:rsidR="00A37B18">
          <w:rPr>
            <w:noProof/>
            <w:webHidden/>
          </w:rPr>
          <w:fldChar w:fldCharType="separate"/>
        </w:r>
        <w:r>
          <w:rPr>
            <w:noProof/>
            <w:webHidden/>
          </w:rPr>
          <w:t>16</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24" w:history="1">
        <w:r w:rsidR="00A37B18" w:rsidRPr="00B20D5B">
          <w:rPr>
            <w:rStyle w:val="Hipervnculo"/>
            <w:noProof/>
          </w:rPr>
          <w:t>B.</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Gastos</w:t>
        </w:r>
        <w:r w:rsidR="00A37B18">
          <w:rPr>
            <w:noProof/>
            <w:webHidden/>
          </w:rPr>
          <w:tab/>
        </w:r>
        <w:r w:rsidR="00A37B18">
          <w:rPr>
            <w:noProof/>
            <w:webHidden/>
          </w:rPr>
          <w:fldChar w:fldCharType="begin"/>
        </w:r>
        <w:r w:rsidR="00A37B18">
          <w:rPr>
            <w:noProof/>
            <w:webHidden/>
          </w:rPr>
          <w:instrText xml:space="preserve"> PAGEREF _Toc83713624 \h </w:instrText>
        </w:r>
        <w:r w:rsidR="00A37B18">
          <w:rPr>
            <w:noProof/>
            <w:webHidden/>
          </w:rPr>
        </w:r>
        <w:r w:rsidR="00A37B18">
          <w:rPr>
            <w:noProof/>
            <w:webHidden/>
          </w:rPr>
          <w:fldChar w:fldCharType="separate"/>
        </w:r>
        <w:r>
          <w:rPr>
            <w:noProof/>
            <w:webHidden/>
          </w:rPr>
          <w:t>19</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25" w:history="1">
        <w:r w:rsidR="00A37B18" w:rsidRPr="00B20D5B">
          <w:rPr>
            <w:rStyle w:val="Hipervnculo"/>
            <w:noProof/>
            <w:lang w:val="es-MX"/>
          </w:rPr>
          <w:t>1.</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Destino del Gasto por Cuenta Económica</w:t>
        </w:r>
        <w:r w:rsidR="00A37B18">
          <w:rPr>
            <w:noProof/>
            <w:webHidden/>
          </w:rPr>
          <w:tab/>
        </w:r>
        <w:r w:rsidR="00A37B18">
          <w:rPr>
            <w:noProof/>
            <w:webHidden/>
          </w:rPr>
          <w:fldChar w:fldCharType="begin"/>
        </w:r>
        <w:r w:rsidR="00A37B18">
          <w:rPr>
            <w:noProof/>
            <w:webHidden/>
          </w:rPr>
          <w:instrText xml:space="preserve"> PAGEREF _Toc83713625 \h </w:instrText>
        </w:r>
        <w:r w:rsidR="00A37B18">
          <w:rPr>
            <w:noProof/>
            <w:webHidden/>
          </w:rPr>
        </w:r>
        <w:r w:rsidR="00A37B18">
          <w:rPr>
            <w:noProof/>
            <w:webHidden/>
          </w:rPr>
          <w:fldChar w:fldCharType="separate"/>
        </w:r>
        <w:r>
          <w:rPr>
            <w:noProof/>
            <w:webHidden/>
          </w:rPr>
          <w:t>20</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26" w:history="1">
        <w:r w:rsidR="00A37B18" w:rsidRPr="00B20D5B">
          <w:rPr>
            <w:rStyle w:val="Hipervnculo"/>
            <w:noProof/>
            <w:lang w:val="es-MX"/>
          </w:rPr>
          <w:t>2.</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Ejecución Presupuestaria Institucional</w:t>
        </w:r>
        <w:r w:rsidR="00A37B18">
          <w:rPr>
            <w:noProof/>
            <w:webHidden/>
          </w:rPr>
          <w:tab/>
        </w:r>
        <w:r w:rsidR="00A37B18">
          <w:rPr>
            <w:noProof/>
            <w:webHidden/>
          </w:rPr>
          <w:fldChar w:fldCharType="begin"/>
        </w:r>
        <w:r w:rsidR="00A37B18">
          <w:rPr>
            <w:noProof/>
            <w:webHidden/>
          </w:rPr>
          <w:instrText xml:space="preserve"> PAGEREF _Toc83713626 \h </w:instrText>
        </w:r>
        <w:r w:rsidR="00A37B18">
          <w:rPr>
            <w:noProof/>
            <w:webHidden/>
          </w:rPr>
        </w:r>
        <w:r w:rsidR="00A37B18">
          <w:rPr>
            <w:noProof/>
            <w:webHidden/>
          </w:rPr>
          <w:fldChar w:fldCharType="separate"/>
        </w:r>
        <w:r>
          <w:rPr>
            <w:noProof/>
            <w:webHidden/>
          </w:rPr>
          <w:t>22</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27" w:history="1">
        <w:r w:rsidR="00A37B18" w:rsidRPr="00B20D5B">
          <w:rPr>
            <w:rStyle w:val="Hipervnculo"/>
            <w:noProof/>
            <w:lang w:val="es-MX"/>
          </w:rPr>
          <w:t>3.</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Gasto Público por Fuente de Financiamiento</w:t>
        </w:r>
        <w:r w:rsidR="00A37B18">
          <w:rPr>
            <w:noProof/>
            <w:webHidden/>
          </w:rPr>
          <w:tab/>
        </w:r>
        <w:r w:rsidR="00A37B18">
          <w:rPr>
            <w:noProof/>
            <w:webHidden/>
          </w:rPr>
          <w:fldChar w:fldCharType="begin"/>
        </w:r>
        <w:r w:rsidR="00A37B18">
          <w:rPr>
            <w:noProof/>
            <w:webHidden/>
          </w:rPr>
          <w:instrText xml:space="preserve"> PAGEREF _Toc83713627 \h </w:instrText>
        </w:r>
        <w:r w:rsidR="00A37B18">
          <w:rPr>
            <w:noProof/>
            <w:webHidden/>
          </w:rPr>
        </w:r>
        <w:r w:rsidR="00A37B18">
          <w:rPr>
            <w:noProof/>
            <w:webHidden/>
          </w:rPr>
          <w:fldChar w:fldCharType="separate"/>
        </w:r>
        <w:r>
          <w:rPr>
            <w:noProof/>
            <w:webHidden/>
          </w:rPr>
          <w:t>24</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28" w:history="1">
        <w:r w:rsidR="00A37B18" w:rsidRPr="00B20D5B">
          <w:rPr>
            <w:rStyle w:val="Hipervnculo"/>
            <w:noProof/>
            <w:lang w:val="es-MX"/>
          </w:rPr>
          <w:t>4.</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Gasto Social y Acuerdos de Paz</w:t>
        </w:r>
        <w:r w:rsidR="00A37B18">
          <w:rPr>
            <w:noProof/>
            <w:webHidden/>
          </w:rPr>
          <w:tab/>
        </w:r>
        <w:r w:rsidR="00A37B18">
          <w:rPr>
            <w:noProof/>
            <w:webHidden/>
          </w:rPr>
          <w:fldChar w:fldCharType="begin"/>
        </w:r>
        <w:r w:rsidR="00A37B18">
          <w:rPr>
            <w:noProof/>
            <w:webHidden/>
          </w:rPr>
          <w:instrText xml:space="preserve"> PAGEREF _Toc83713628 \h </w:instrText>
        </w:r>
        <w:r w:rsidR="00A37B18">
          <w:rPr>
            <w:noProof/>
            <w:webHidden/>
          </w:rPr>
        </w:r>
        <w:r w:rsidR="00A37B18">
          <w:rPr>
            <w:noProof/>
            <w:webHidden/>
          </w:rPr>
          <w:fldChar w:fldCharType="separate"/>
        </w:r>
        <w:r>
          <w:rPr>
            <w:noProof/>
            <w:webHidden/>
          </w:rPr>
          <w:t>27</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29" w:history="1">
        <w:r w:rsidR="00A37B18" w:rsidRPr="00B20D5B">
          <w:rPr>
            <w:rStyle w:val="Hipervnculo"/>
            <w:noProof/>
            <w:lang w:val="es-MX"/>
          </w:rPr>
          <w:t>5.</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Gasto Ejecutado a través de Fideicomisos</w:t>
        </w:r>
        <w:r w:rsidR="00A37B18">
          <w:rPr>
            <w:noProof/>
            <w:webHidden/>
          </w:rPr>
          <w:tab/>
        </w:r>
        <w:r w:rsidR="00A37B18">
          <w:rPr>
            <w:noProof/>
            <w:webHidden/>
          </w:rPr>
          <w:fldChar w:fldCharType="begin"/>
        </w:r>
        <w:r w:rsidR="00A37B18">
          <w:rPr>
            <w:noProof/>
            <w:webHidden/>
          </w:rPr>
          <w:instrText xml:space="preserve"> PAGEREF _Toc83713629 \h </w:instrText>
        </w:r>
        <w:r w:rsidR="00A37B18">
          <w:rPr>
            <w:noProof/>
            <w:webHidden/>
          </w:rPr>
        </w:r>
        <w:r w:rsidR="00A37B18">
          <w:rPr>
            <w:noProof/>
            <w:webHidden/>
          </w:rPr>
          <w:fldChar w:fldCharType="separate"/>
        </w:r>
        <w:r>
          <w:rPr>
            <w:noProof/>
            <w:webHidden/>
          </w:rPr>
          <w:t>28</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0" w:history="1">
        <w:r w:rsidR="00A37B18" w:rsidRPr="00B20D5B">
          <w:rPr>
            <w:rStyle w:val="Hipervnculo"/>
            <w:noProof/>
            <w:lang w:val="es-MX"/>
          </w:rPr>
          <w:t>6.</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Gasto Ejecutado a través de Organizaciones No Gubernamentales</w:t>
        </w:r>
        <w:r w:rsidR="00A37B18">
          <w:rPr>
            <w:noProof/>
            <w:webHidden/>
          </w:rPr>
          <w:tab/>
        </w:r>
        <w:r w:rsidR="00A37B18">
          <w:rPr>
            <w:noProof/>
            <w:webHidden/>
          </w:rPr>
          <w:fldChar w:fldCharType="begin"/>
        </w:r>
        <w:r w:rsidR="00A37B18">
          <w:rPr>
            <w:noProof/>
            <w:webHidden/>
          </w:rPr>
          <w:instrText xml:space="preserve"> PAGEREF _Toc83713630 \h </w:instrText>
        </w:r>
        <w:r w:rsidR="00A37B18">
          <w:rPr>
            <w:noProof/>
            <w:webHidden/>
          </w:rPr>
        </w:r>
        <w:r w:rsidR="00A37B18">
          <w:rPr>
            <w:noProof/>
            <w:webHidden/>
          </w:rPr>
          <w:fldChar w:fldCharType="separate"/>
        </w:r>
        <w:r>
          <w:rPr>
            <w:noProof/>
            <w:webHidden/>
          </w:rPr>
          <w:t>29</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1" w:history="1">
        <w:r w:rsidR="00A37B18" w:rsidRPr="00B20D5B">
          <w:rPr>
            <w:rStyle w:val="Hipervnculo"/>
            <w:noProof/>
            <w:lang w:val="es-MX"/>
          </w:rPr>
          <w:t>7.</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Gasto Ejecutado por el Programa COVID-19</w:t>
        </w:r>
        <w:r w:rsidR="00A37B18">
          <w:rPr>
            <w:noProof/>
            <w:webHidden/>
          </w:rPr>
          <w:tab/>
        </w:r>
        <w:r w:rsidR="00A37B18">
          <w:rPr>
            <w:noProof/>
            <w:webHidden/>
          </w:rPr>
          <w:fldChar w:fldCharType="begin"/>
        </w:r>
        <w:r w:rsidR="00A37B18">
          <w:rPr>
            <w:noProof/>
            <w:webHidden/>
          </w:rPr>
          <w:instrText xml:space="preserve"> PAGEREF _Toc83713631 \h </w:instrText>
        </w:r>
        <w:r w:rsidR="00A37B18">
          <w:rPr>
            <w:noProof/>
            <w:webHidden/>
          </w:rPr>
        </w:r>
        <w:r w:rsidR="00A37B18">
          <w:rPr>
            <w:noProof/>
            <w:webHidden/>
          </w:rPr>
          <w:fldChar w:fldCharType="separate"/>
        </w:r>
        <w:r>
          <w:rPr>
            <w:noProof/>
            <w:webHidden/>
          </w:rPr>
          <w:t>30</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2" w:history="1">
        <w:r w:rsidR="00A37B18" w:rsidRPr="00B20D5B">
          <w:rPr>
            <w:rStyle w:val="Hipervnculo"/>
            <w:noProof/>
            <w:lang w:val="es-MX"/>
          </w:rPr>
          <w:t>8.</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Déficit Fiscal</w:t>
        </w:r>
        <w:r w:rsidR="00A37B18">
          <w:rPr>
            <w:noProof/>
            <w:webHidden/>
          </w:rPr>
          <w:tab/>
        </w:r>
        <w:r w:rsidR="00A37B18">
          <w:rPr>
            <w:noProof/>
            <w:webHidden/>
          </w:rPr>
          <w:fldChar w:fldCharType="begin"/>
        </w:r>
        <w:r w:rsidR="00A37B18">
          <w:rPr>
            <w:noProof/>
            <w:webHidden/>
          </w:rPr>
          <w:instrText xml:space="preserve"> PAGEREF _Toc83713632 \h </w:instrText>
        </w:r>
        <w:r w:rsidR="00A37B18">
          <w:rPr>
            <w:noProof/>
            <w:webHidden/>
          </w:rPr>
        </w:r>
        <w:r w:rsidR="00A37B18">
          <w:rPr>
            <w:noProof/>
            <w:webHidden/>
          </w:rPr>
          <w:fldChar w:fldCharType="separate"/>
        </w:r>
        <w:r>
          <w:rPr>
            <w:noProof/>
            <w:webHidden/>
          </w:rPr>
          <w:t>34</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3" w:history="1">
        <w:r w:rsidR="00A37B18" w:rsidRPr="00B20D5B">
          <w:rPr>
            <w:rStyle w:val="Hipervnculo"/>
            <w:noProof/>
            <w:lang w:val="es-MX"/>
          </w:rPr>
          <w:t>9.</w:t>
        </w:r>
        <w:r w:rsidR="00A37B18">
          <w:rPr>
            <w:rFonts w:asciiTheme="minorHAnsi" w:eastAsiaTheme="minorEastAsia" w:hAnsiTheme="minorHAnsi" w:cstheme="minorBidi"/>
            <w:noProof/>
            <w:sz w:val="22"/>
            <w:szCs w:val="22"/>
            <w:lang w:val="es-GT" w:eastAsia="es-GT"/>
          </w:rPr>
          <w:tab/>
        </w:r>
        <w:r w:rsidR="00A37B18" w:rsidRPr="00B20D5B">
          <w:rPr>
            <w:rStyle w:val="Hipervnculo"/>
            <w:noProof/>
            <w:lang w:val="es-MX"/>
          </w:rPr>
          <w:t>Servicios de la Deuda Pública</w:t>
        </w:r>
        <w:r w:rsidR="00A37B18">
          <w:rPr>
            <w:noProof/>
            <w:webHidden/>
          </w:rPr>
          <w:tab/>
        </w:r>
        <w:r w:rsidR="00A37B18">
          <w:rPr>
            <w:noProof/>
            <w:webHidden/>
          </w:rPr>
          <w:fldChar w:fldCharType="begin"/>
        </w:r>
        <w:r w:rsidR="00A37B18">
          <w:rPr>
            <w:noProof/>
            <w:webHidden/>
          </w:rPr>
          <w:instrText xml:space="preserve"> PAGEREF _Toc83713633 \h </w:instrText>
        </w:r>
        <w:r w:rsidR="00A37B18">
          <w:rPr>
            <w:noProof/>
            <w:webHidden/>
          </w:rPr>
        </w:r>
        <w:r w:rsidR="00A37B18">
          <w:rPr>
            <w:noProof/>
            <w:webHidden/>
          </w:rPr>
          <w:fldChar w:fldCharType="separate"/>
        </w:r>
        <w:r>
          <w:rPr>
            <w:noProof/>
            <w:webHidden/>
          </w:rPr>
          <w:t>36</w:t>
        </w:r>
        <w:r w:rsidR="00A37B18">
          <w:rPr>
            <w:noProof/>
            <w:webHidden/>
          </w:rPr>
          <w:fldChar w:fldCharType="end"/>
        </w:r>
      </w:hyperlink>
    </w:p>
    <w:p w:rsidR="00A37B18" w:rsidRDefault="00250478">
      <w:pPr>
        <w:pStyle w:val="TDC1"/>
        <w:rPr>
          <w:rFonts w:asciiTheme="minorHAnsi" w:eastAsiaTheme="minorEastAsia" w:hAnsiTheme="minorHAnsi" w:cstheme="minorBidi"/>
          <w:noProof/>
          <w:sz w:val="22"/>
          <w:szCs w:val="22"/>
          <w:lang w:val="es-GT" w:eastAsia="es-GT"/>
        </w:rPr>
      </w:pPr>
      <w:hyperlink w:anchor="_Toc83713634" w:history="1">
        <w:r w:rsidR="00A37B18" w:rsidRPr="00B20D5B">
          <w:rPr>
            <w:rStyle w:val="Hipervnculo"/>
            <w:noProof/>
          </w:rPr>
          <w:t>III.</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Perspectivas de Cierre del Ejercicio Fiscal 2021</w:t>
        </w:r>
        <w:r w:rsidR="00A37B18">
          <w:rPr>
            <w:noProof/>
            <w:webHidden/>
          </w:rPr>
          <w:tab/>
        </w:r>
        <w:r w:rsidR="00A37B18">
          <w:rPr>
            <w:noProof/>
            <w:webHidden/>
          </w:rPr>
          <w:fldChar w:fldCharType="begin"/>
        </w:r>
        <w:r w:rsidR="00A37B18">
          <w:rPr>
            <w:noProof/>
            <w:webHidden/>
          </w:rPr>
          <w:instrText xml:space="preserve"> PAGEREF _Toc83713634 \h </w:instrText>
        </w:r>
        <w:r w:rsidR="00A37B18">
          <w:rPr>
            <w:noProof/>
            <w:webHidden/>
          </w:rPr>
        </w:r>
        <w:r w:rsidR="00A37B18">
          <w:rPr>
            <w:noProof/>
            <w:webHidden/>
          </w:rPr>
          <w:fldChar w:fldCharType="separate"/>
        </w:r>
        <w:r>
          <w:rPr>
            <w:noProof/>
            <w:webHidden/>
          </w:rPr>
          <w:t>37</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35" w:history="1">
        <w:r w:rsidR="00A37B18" w:rsidRPr="00B20D5B">
          <w:rPr>
            <w:rStyle w:val="Hipervnculo"/>
            <w:noProof/>
          </w:rPr>
          <w:t>A.</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Entorno Macroeconómico Internacional</w:t>
        </w:r>
        <w:r w:rsidR="00A37B18">
          <w:rPr>
            <w:noProof/>
            <w:webHidden/>
          </w:rPr>
          <w:tab/>
        </w:r>
        <w:r w:rsidR="00A37B18">
          <w:rPr>
            <w:noProof/>
            <w:webHidden/>
          </w:rPr>
          <w:fldChar w:fldCharType="begin"/>
        </w:r>
        <w:r w:rsidR="00A37B18">
          <w:rPr>
            <w:noProof/>
            <w:webHidden/>
          </w:rPr>
          <w:instrText xml:space="preserve"> PAGEREF _Toc83713635 \h </w:instrText>
        </w:r>
        <w:r w:rsidR="00A37B18">
          <w:rPr>
            <w:noProof/>
            <w:webHidden/>
          </w:rPr>
        </w:r>
        <w:r w:rsidR="00A37B18">
          <w:rPr>
            <w:noProof/>
            <w:webHidden/>
          </w:rPr>
          <w:fldChar w:fldCharType="separate"/>
        </w:r>
        <w:r>
          <w:rPr>
            <w:noProof/>
            <w:webHidden/>
          </w:rPr>
          <w:t>37</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36" w:history="1">
        <w:r w:rsidR="00A37B18" w:rsidRPr="00B20D5B">
          <w:rPr>
            <w:rStyle w:val="Hipervnculo"/>
            <w:noProof/>
          </w:rPr>
          <w:t>B.</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Entorno Macroeconómico Nacional</w:t>
        </w:r>
        <w:r w:rsidR="00A37B18">
          <w:rPr>
            <w:noProof/>
            <w:webHidden/>
          </w:rPr>
          <w:tab/>
        </w:r>
        <w:r w:rsidR="00A37B18">
          <w:rPr>
            <w:noProof/>
            <w:webHidden/>
          </w:rPr>
          <w:fldChar w:fldCharType="begin"/>
        </w:r>
        <w:r w:rsidR="00A37B18">
          <w:rPr>
            <w:noProof/>
            <w:webHidden/>
          </w:rPr>
          <w:instrText xml:space="preserve"> PAGEREF _Toc83713636 \h </w:instrText>
        </w:r>
        <w:r w:rsidR="00A37B18">
          <w:rPr>
            <w:noProof/>
            <w:webHidden/>
          </w:rPr>
        </w:r>
        <w:r w:rsidR="00A37B18">
          <w:rPr>
            <w:noProof/>
            <w:webHidden/>
          </w:rPr>
          <w:fldChar w:fldCharType="separate"/>
        </w:r>
        <w:r>
          <w:rPr>
            <w:noProof/>
            <w:webHidden/>
          </w:rPr>
          <w:t>38</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37" w:history="1">
        <w:r w:rsidR="00A37B18" w:rsidRPr="00B20D5B">
          <w:rPr>
            <w:rStyle w:val="Hipervnculo"/>
            <w:noProof/>
          </w:rPr>
          <w:t>C.</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Situación Financiera de la Administración Central</w:t>
        </w:r>
        <w:r w:rsidR="00A37B18">
          <w:rPr>
            <w:noProof/>
            <w:webHidden/>
          </w:rPr>
          <w:tab/>
        </w:r>
        <w:r w:rsidR="00A37B18">
          <w:rPr>
            <w:noProof/>
            <w:webHidden/>
          </w:rPr>
          <w:fldChar w:fldCharType="begin"/>
        </w:r>
        <w:r w:rsidR="00A37B18">
          <w:rPr>
            <w:noProof/>
            <w:webHidden/>
          </w:rPr>
          <w:instrText xml:space="preserve"> PAGEREF _Toc83713637 \h </w:instrText>
        </w:r>
        <w:r w:rsidR="00A37B18">
          <w:rPr>
            <w:noProof/>
            <w:webHidden/>
          </w:rPr>
        </w:r>
        <w:r w:rsidR="00A37B18">
          <w:rPr>
            <w:noProof/>
            <w:webHidden/>
          </w:rPr>
          <w:fldChar w:fldCharType="separate"/>
        </w:r>
        <w:r>
          <w:rPr>
            <w:noProof/>
            <w:webHidden/>
          </w:rPr>
          <w:t>43</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8" w:history="1">
        <w:r w:rsidR="00A37B18" w:rsidRPr="00B20D5B">
          <w:rPr>
            <w:rStyle w:val="Hipervnculo"/>
            <w:noProof/>
          </w:rPr>
          <w:t>1.</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Ingresos</w:t>
        </w:r>
        <w:r w:rsidR="00A37B18">
          <w:rPr>
            <w:noProof/>
            <w:webHidden/>
          </w:rPr>
          <w:tab/>
        </w:r>
        <w:r w:rsidR="00A37B18">
          <w:rPr>
            <w:noProof/>
            <w:webHidden/>
          </w:rPr>
          <w:fldChar w:fldCharType="begin"/>
        </w:r>
        <w:r w:rsidR="00A37B18">
          <w:rPr>
            <w:noProof/>
            <w:webHidden/>
          </w:rPr>
          <w:instrText xml:space="preserve"> PAGEREF _Toc83713638 \h </w:instrText>
        </w:r>
        <w:r w:rsidR="00A37B18">
          <w:rPr>
            <w:noProof/>
            <w:webHidden/>
          </w:rPr>
        </w:r>
        <w:r w:rsidR="00A37B18">
          <w:rPr>
            <w:noProof/>
            <w:webHidden/>
          </w:rPr>
          <w:fldChar w:fldCharType="separate"/>
        </w:r>
        <w:r>
          <w:rPr>
            <w:noProof/>
            <w:webHidden/>
          </w:rPr>
          <w:t>43</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39" w:history="1">
        <w:r w:rsidR="00A37B18" w:rsidRPr="00B20D5B">
          <w:rPr>
            <w:rStyle w:val="Hipervnculo"/>
            <w:noProof/>
          </w:rPr>
          <w:t>1.1.</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Desempeño del Impuesto Sobre la Renta y el ISO</w:t>
        </w:r>
        <w:r w:rsidR="00A37B18">
          <w:rPr>
            <w:noProof/>
            <w:webHidden/>
          </w:rPr>
          <w:tab/>
        </w:r>
        <w:r w:rsidR="00A37B18">
          <w:rPr>
            <w:noProof/>
            <w:webHidden/>
          </w:rPr>
          <w:fldChar w:fldCharType="begin"/>
        </w:r>
        <w:r w:rsidR="00A37B18">
          <w:rPr>
            <w:noProof/>
            <w:webHidden/>
          </w:rPr>
          <w:instrText xml:space="preserve"> PAGEREF _Toc83713639 \h </w:instrText>
        </w:r>
        <w:r w:rsidR="00A37B18">
          <w:rPr>
            <w:noProof/>
            <w:webHidden/>
          </w:rPr>
        </w:r>
        <w:r w:rsidR="00A37B18">
          <w:rPr>
            <w:noProof/>
            <w:webHidden/>
          </w:rPr>
          <w:fldChar w:fldCharType="separate"/>
        </w:r>
        <w:r>
          <w:rPr>
            <w:noProof/>
            <w:webHidden/>
          </w:rPr>
          <w:t>44</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0" w:history="1">
        <w:r w:rsidR="00A37B18" w:rsidRPr="00B20D5B">
          <w:rPr>
            <w:rStyle w:val="Hipervnculo"/>
            <w:noProof/>
          </w:rPr>
          <w:t>1.2.</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El Impuesto al Valor Agregado</w:t>
        </w:r>
        <w:r w:rsidR="00A37B18">
          <w:rPr>
            <w:noProof/>
            <w:webHidden/>
          </w:rPr>
          <w:tab/>
        </w:r>
        <w:r w:rsidR="00A37B18">
          <w:rPr>
            <w:noProof/>
            <w:webHidden/>
          </w:rPr>
          <w:fldChar w:fldCharType="begin"/>
        </w:r>
        <w:r w:rsidR="00A37B18">
          <w:rPr>
            <w:noProof/>
            <w:webHidden/>
          </w:rPr>
          <w:instrText xml:space="preserve"> PAGEREF _Toc83713640 \h </w:instrText>
        </w:r>
        <w:r w:rsidR="00A37B18">
          <w:rPr>
            <w:noProof/>
            <w:webHidden/>
          </w:rPr>
        </w:r>
        <w:r w:rsidR="00A37B18">
          <w:rPr>
            <w:noProof/>
            <w:webHidden/>
          </w:rPr>
          <w:fldChar w:fldCharType="separate"/>
        </w:r>
        <w:r>
          <w:rPr>
            <w:noProof/>
            <w:webHidden/>
          </w:rPr>
          <w:t>44</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1" w:history="1">
        <w:r w:rsidR="00A37B18" w:rsidRPr="00B20D5B">
          <w:rPr>
            <w:rStyle w:val="Hipervnculo"/>
            <w:noProof/>
          </w:rPr>
          <w:t>1.3.</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Impuesto de Circulación de Vehículos</w:t>
        </w:r>
        <w:r w:rsidR="00A37B18">
          <w:rPr>
            <w:noProof/>
            <w:webHidden/>
          </w:rPr>
          <w:tab/>
        </w:r>
        <w:r w:rsidR="00A37B18">
          <w:rPr>
            <w:noProof/>
            <w:webHidden/>
          </w:rPr>
          <w:fldChar w:fldCharType="begin"/>
        </w:r>
        <w:r w:rsidR="00A37B18">
          <w:rPr>
            <w:noProof/>
            <w:webHidden/>
          </w:rPr>
          <w:instrText xml:space="preserve"> PAGEREF _Toc83713641 \h </w:instrText>
        </w:r>
        <w:r w:rsidR="00A37B18">
          <w:rPr>
            <w:noProof/>
            <w:webHidden/>
          </w:rPr>
        </w:r>
        <w:r w:rsidR="00A37B18">
          <w:rPr>
            <w:noProof/>
            <w:webHidden/>
          </w:rPr>
          <w:fldChar w:fldCharType="separate"/>
        </w:r>
        <w:r>
          <w:rPr>
            <w:noProof/>
            <w:webHidden/>
          </w:rPr>
          <w:t>46</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2" w:history="1">
        <w:r w:rsidR="00A37B18" w:rsidRPr="00B20D5B">
          <w:rPr>
            <w:rStyle w:val="Hipervnculo"/>
            <w:noProof/>
          </w:rPr>
          <w:t>1.4.</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Los demás impuestos</w:t>
        </w:r>
        <w:r w:rsidR="00A37B18">
          <w:rPr>
            <w:noProof/>
            <w:webHidden/>
          </w:rPr>
          <w:tab/>
        </w:r>
        <w:r w:rsidR="00A37B18">
          <w:rPr>
            <w:noProof/>
            <w:webHidden/>
          </w:rPr>
          <w:fldChar w:fldCharType="begin"/>
        </w:r>
        <w:r w:rsidR="00A37B18">
          <w:rPr>
            <w:noProof/>
            <w:webHidden/>
          </w:rPr>
          <w:instrText xml:space="preserve"> PAGEREF _Toc83713642 \h </w:instrText>
        </w:r>
        <w:r w:rsidR="00A37B18">
          <w:rPr>
            <w:noProof/>
            <w:webHidden/>
          </w:rPr>
        </w:r>
        <w:r w:rsidR="00A37B18">
          <w:rPr>
            <w:noProof/>
            <w:webHidden/>
          </w:rPr>
          <w:fldChar w:fldCharType="separate"/>
        </w:r>
        <w:r>
          <w:rPr>
            <w:noProof/>
            <w:webHidden/>
          </w:rPr>
          <w:t>47</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3" w:history="1">
        <w:r w:rsidR="00A37B18" w:rsidRPr="00B20D5B">
          <w:rPr>
            <w:rStyle w:val="Hipervnculo"/>
            <w:noProof/>
          </w:rPr>
          <w:t>2.</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Perspectivas de Cierre 2021</w:t>
        </w:r>
        <w:r w:rsidR="00A37B18">
          <w:rPr>
            <w:noProof/>
            <w:webHidden/>
          </w:rPr>
          <w:tab/>
        </w:r>
        <w:r w:rsidR="00A37B18">
          <w:rPr>
            <w:noProof/>
            <w:webHidden/>
          </w:rPr>
          <w:fldChar w:fldCharType="begin"/>
        </w:r>
        <w:r w:rsidR="00A37B18">
          <w:rPr>
            <w:noProof/>
            <w:webHidden/>
          </w:rPr>
          <w:instrText xml:space="preserve"> PAGEREF _Toc83713643 \h </w:instrText>
        </w:r>
        <w:r w:rsidR="00A37B18">
          <w:rPr>
            <w:noProof/>
            <w:webHidden/>
          </w:rPr>
        </w:r>
        <w:r w:rsidR="00A37B18">
          <w:rPr>
            <w:noProof/>
            <w:webHidden/>
          </w:rPr>
          <w:fldChar w:fldCharType="separate"/>
        </w:r>
        <w:r>
          <w:rPr>
            <w:noProof/>
            <w:webHidden/>
          </w:rPr>
          <w:t>47</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4" w:history="1">
        <w:r w:rsidR="00A37B18" w:rsidRPr="00B20D5B">
          <w:rPr>
            <w:rStyle w:val="Hipervnculo"/>
            <w:noProof/>
          </w:rPr>
          <w:t>3.</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Gastos</w:t>
        </w:r>
        <w:r w:rsidR="00A37B18">
          <w:rPr>
            <w:noProof/>
            <w:webHidden/>
          </w:rPr>
          <w:tab/>
        </w:r>
        <w:r w:rsidR="00A37B18">
          <w:rPr>
            <w:noProof/>
            <w:webHidden/>
          </w:rPr>
          <w:fldChar w:fldCharType="begin"/>
        </w:r>
        <w:r w:rsidR="00A37B18">
          <w:rPr>
            <w:noProof/>
            <w:webHidden/>
          </w:rPr>
          <w:instrText xml:space="preserve"> PAGEREF _Toc83713644 \h </w:instrText>
        </w:r>
        <w:r w:rsidR="00A37B18">
          <w:rPr>
            <w:noProof/>
            <w:webHidden/>
          </w:rPr>
        </w:r>
        <w:r w:rsidR="00A37B18">
          <w:rPr>
            <w:noProof/>
            <w:webHidden/>
          </w:rPr>
          <w:fldChar w:fldCharType="separate"/>
        </w:r>
        <w:r>
          <w:rPr>
            <w:noProof/>
            <w:webHidden/>
          </w:rPr>
          <w:t>50</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5" w:history="1">
        <w:r w:rsidR="00A37B18" w:rsidRPr="00B20D5B">
          <w:rPr>
            <w:rStyle w:val="Hipervnculo"/>
            <w:noProof/>
          </w:rPr>
          <w:t>3.1</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Gasto Corriente y de Capital</w:t>
        </w:r>
        <w:r w:rsidR="00A37B18">
          <w:rPr>
            <w:noProof/>
            <w:webHidden/>
          </w:rPr>
          <w:tab/>
        </w:r>
        <w:r w:rsidR="00A37B18">
          <w:rPr>
            <w:noProof/>
            <w:webHidden/>
          </w:rPr>
          <w:fldChar w:fldCharType="begin"/>
        </w:r>
        <w:r w:rsidR="00A37B18">
          <w:rPr>
            <w:noProof/>
            <w:webHidden/>
          </w:rPr>
          <w:instrText xml:space="preserve"> PAGEREF _Toc83713645 \h </w:instrText>
        </w:r>
        <w:r w:rsidR="00A37B18">
          <w:rPr>
            <w:noProof/>
            <w:webHidden/>
          </w:rPr>
        </w:r>
        <w:r w:rsidR="00A37B18">
          <w:rPr>
            <w:noProof/>
            <w:webHidden/>
          </w:rPr>
          <w:fldChar w:fldCharType="separate"/>
        </w:r>
        <w:r>
          <w:rPr>
            <w:noProof/>
            <w:webHidden/>
          </w:rPr>
          <w:t>51</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6" w:history="1">
        <w:r w:rsidR="00A37B18" w:rsidRPr="00B20D5B">
          <w:rPr>
            <w:rStyle w:val="Hipervnculo"/>
            <w:noProof/>
          </w:rPr>
          <w:t>3.2</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Gasto Institucional</w:t>
        </w:r>
        <w:r w:rsidR="00A37B18">
          <w:rPr>
            <w:noProof/>
            <w:webHidden/>
          </w:rPr>
          <w:tab/>
        </w:r>
        <w:r w:rsidR="00A37B18">
          <w:rPr>
            <w:noProof/>
            <w:webHidden/>
          </w:rPr>
          <w:fldChar w:fldCharType="begin"/>
        </w:r>
        <w:r w:rsidR="00A37B18">
          <w:rPr>
            <w:noProof/>
            <w:webHidden/>
          </w:rPr>
          <w:instrText xml:space="preserve"> PAGEREF _Toc83713646 \h </w:instrText>
        </w:r>
        <w:r w:rsidR="00A37B18">
          <w:rPr>
            <w:noProof/>
            <w:webHidden/>
          </w:rPr>
        </w:r>
        <w:r w:rsidR="00A37B18">
          <w:rPr>
            <w:noProof/>
            <w:webHidden/>
          </w:rPr>
          <w:fldChar w:fldCharType="separate"/>
        </w:r>
        <w:r>
          <w:rPr>
            <w:noProof/>
            <w:webHidden/>
          </w:rPr>
          <w:t>56</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7" w:history="1">
        <w:r w:rsidR="00A37B18" w:rsidRPr="00B20D5B">
          <w:rPr>
            <w:rStyle w:val="Hipervnculo"/>
            <w:noProof/>
          </w:rPr>
          <w:t>3.3</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Gasto por Finalidad</w:t>
        </w:r>
        <w:r w:rsidR="00A37B18">
          <w:rPr>
            <w:noProof/>
            <w:webHidden/>
          </w:rPr>
          <w:tab/>
        </w:r>
        <w:r w:rsidR="00A37B18">
          <w:rPr>
            <w:noProof/>
            <w:webHidden/>
          </w:rPr>
          <w:fldChar w:fldCharType="begin"/>
        </w:r>
        <w:r w:rsidR="00A37B18">
          <w:rPr>
            <w:noProof/>
            <w:webHidden/>
          </w:rPr>
          <w:instrText xml:space="preserve"> PAGEREF _Toc83713647 \h </w:instrText>
        </w:r>
        <w:r w:rsidR="00A37B18">
          <w:rPr>
            <w:noProof/>
            <w:webHidden/>
          </w:rPr>
        </w:r>
        <w:r w:rsidR="00A37B18">
          <w:rPr>
            <w:noProof/>
            <w:webHidden/>
          </w:rPr>
          <w:fldChar w:fldCharType="separate"/>
        </w:r>
        <w:r>
          <w:rPr>
            <w:noProof/>
            <w:webHidden/>
          </w:rPr>
          <w:t>60</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8" w:history="1">
        <w:r w:rsidR="00A37B18" w:rsidRPr="00B20D5B">
          <w:rPr>
            <w:rStyle w:val="Hipervnculo"/>
            <w:noProof/>
          </w:rPr>
          <w:t>4.</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Déficit Fiscal y su Financiamiento</w:t>
        </w:r>
        <w:r w:rsidR="00A37B18">
          <w:rPr>
            <w:noProof/>
            <w:webHidden/>
          </w:rPr>
          <w:tab/>
        </w:r>
        <w:r w:rsidR="00A37B18">
          <w:rPr>
            <w:noProof/>
            <w:webHidden/>
          </w:rPr>
          <w:fldChar w:fldCharType="begin"/>
        </w:r>
        <w:r w:rsidR="00A37B18">
          <w:rPr>
            <w:noProof/>
            <w:webHidden/>
          </w:rPr>
          <w:instrText xml:space="preserve"> PAGEREF _Toc83713648 \h </w:instrText>
        </w:r>
        <w:r w:rsidR="00A37B18">
          <w:rPr>
            <w:noProof/>
            <w:webHidden/>
          </w:rPr>
        </w:r>
        <w:r w:rsidR="00A37B18">
          <w:rPr>
            <w:noProof/>
            <w:webHidden/>
          </w:rPr>
          <w:fldChar w:fldCharType="separate"/>
        </w:r>
        <w:r>
          <w:rPr>
            <w:noProof/>
            <w:webHidden/>
          </w:rPr>
          <w:t>62</w:t>
        </w:r>
        <w:r w:rsidR="00A37B18">
          <w:rPr>
            <w:noProof/>
            <w:webHidden/>
          </w:rPr>
          <w:fldChar w:fldCharType="end"/>
        </w:r>
      </w:hyperlink>
    </w:p>
    <w:p w:rsidR="00A37B18" w:rsidRDefault="00250478">
      <w:pPr>
        <w:pStyle w:val="TDC3"/>
        <w:rPr>
          <w:rFonts w:asciiTheme="minorHAnsi" w:eastAsiaTheme="minorEastAsia" w:hAnsiTheme="minorHAnsi" w:cstheme="minorBidi"/>
          <w:noProof/>
          <w:sz w:val="22"/>
          <w:szCs w:val="22"/>
          <w:lang w:val="es-GT" w:eastAsia="es-GT"/>
        </w:rPr>
      </w:pPr>
      <w:hyperlink w:anchor="_Toc83713649" w:history="1">
        <w:r w:rsidR="00A37B18" w:rsidRPr="00B20D5B">
          <w:rPr>
            <w:rStyle w:val="Hipervnculo"/>
            <w:noProof/>
          </w:rPr>
          <w:t>5.</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Deuda Pública</w:t>
        </w:r>
        <w:r w:rsidR="00A37B18">
          <w:rPr>
            <w:noProof/>
            <w:webHidden/>
          </w:rPr>
          <w:tab/>
        </w:r>
        <w:r w:rsidR="00A37B18">
          <w:rPr>
            <w:noProof/>
            <w:webHidden/>
          </w:rPr>
          <w:fldChar w:fldCharType="begin"/>
        </w:r>
        <w:r w:rsidR="00A37B18">
          <w:rPr>
            <w:noProof/>
            <w:webHidden/>
          </w:rPr>
          <w:instrText xml:space="preserve"> PAGEREF _Toc83713649 \h </w:instrText>
        </w:r>
        <w:r w:rsidR="00A37B18">
          <w:rPr>
            <w:noProof/>
            <w:webHidden/>
          </w:rPr>
        </w:r>
        <w:r w:rsidR="00A37B18">
          <w:rPr>
            <w:noProof/>
            <w:webHidden/>
          </w:rPr>
          <w:fldChar w:fldCharType="separate"/>
        </w:r>
        <w:r>
          <w:rPr>
            <w:noProof/>
            <w:webHidden/>
          </w:rPr>
          <w:t>63</w:t>
        </w:r>
        <w:r w:rsidR="00A37B18">
          <w:rPr>
            <w:noProof/>
            <w:webHidden/>
          </w:rPr>
          <w:fldChar w:fldCharType="end"/>
        </w:r>
      </w:hyperlink>
    </w:p>
    <w:p w:rsidR="00A37B18" w:rsidRDefault="00250478">
      <w:pPr>
        <w:pStyle w:val="TDC1"/>
        <w:rPr>
          <w:rFonts w:asciiTheme="minorHAnsi" w:eastAsiaTheme="minorEastAsia" w:hAnsiTheme="minorHAnsi" w:cstheme="minorBidi"/>
          <w:noProof/>
          <w:sz w:val="22"/>
          <w:szCs w:val="22"/>
          <w:lang w:val="es-GT" w:eastAsia="es-GT"/>
        </w:rPr>
      </w:pPr>
      <w:hyperlink w:anchor="_Toc83713650" w:history="1">
        <w:r w:rsidR="00A37B18" w:rsidRPr="00B20D5B">
          <w:rPr>
            <w:rStyle w:val="Hipervnculo"/>
            <w:noProof/>
          </w:rPr>
          <w:t>IV.</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Aspectos Relevantes del Primer Semestre 2021 y su continuidad para Fin de Año</w:t>
        </w:r>
        <w:r w:rsidR="00A37B18">
          <w:rPr>
            <w:noProof/>
            <w:webHidden/>
          </w:rPr>
          <w:tab/>
        </w:r>
        <w:r w:rsidR="00A37B18">
          <w:rPr>
            <w:noProof/>
            <w:webHidden/>
          </w:rPr>
          <w:fldChar w:fldCharType="begin"/>
        </w:r>
        <w:r w:rsidR="00A37B18">
          <w:rPr>
            <w:noProof/>
            <w:webHidden/>
          </w:rPr>
          <w:instrText xml:space="preserve"> PAGEREF _Toc83713650 \h </w:instrText>
        </w:r>
        <w:r w:rsidR="00A37B18">
          <w:rPr>
            <w:noProof/>
            <w:webHidden/>
          </w:rPr>
        </w:r>
        <w:r w:rsidR="00A37B18">
          <w:rPr>
            <w:noProof/>
            <w:webHidden/>
          </w:rPr>
          <w:fldChar w:fldCharType="separate"/>
        </w:r>
        <w:r>
          <w:rPr>
            <w:noProof/>
            <w:webHidden/>
          </w:rPr>
          <w:t>65</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51" w:history="1">
        <w:r w:rsidR="00A37B18" w:rsidRPr="00B20D5B">
          <w:rPr>
            <w:rStyle w:val="Hipervnculo"/>
            <w:noProof/>
          </w:rPr>
          <w:t>A.</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Logros sobre Transparencia Fiscal</w:t>
        </w:r>
        <w:r w:rsidR="00A37B18">
          <w:rPr>
            <w:noProof/>
            <w:webHidden/>
          </w:rPr>
          <w:tab/>
        </w:r>
        <w:r w:rsidR="00A37B18">
          <w:rPr>
            <w:noProof/>
            <w:webHidden/>
          </w:rPr>
          <w:fldChar w:fldCharType="begin"/>
        </w:r>
        <w:r w:rsidR="00A37B18">
          <w:rPr>
            <w:noProof/>
            <w:webHidden/>
          </w:rPr>
          <w:instrText xml:space="preserve"> PAGEREF _Toc83713651 \h </w:instrText>
        </w:r>
        <w:r w:rsidR="00A37B18">
          <w:rPr>
            <w:noProof/>
            <w:webHidden/>
          </w:rPr>
        </w:r>
        <w:r w:rsidR="00A37B18">
          <w:rPr>
            <w:noProof/>
            <w:webHidden/>
          </w:rPr>
          <w:fldChar w:fldCharType="separate"/>
        </w:r>
        <w:r>
          <w:rPr>
            <w:noProof/>
            <w:webHidden/>
          </w:rPr>
          <w:t>65</w:t>
        </w:r>
        <w:r w:rsidR="00A37B18">
          <w:rPr>
            <w:noProof/>
            <w:webHidden/>
          </w:rPr>
          <w:fldChar w:fldCharType="end"/>
        </w:r>
      </w:hyperlink>
    </w:p>
    <w:p w:rsidR="00A37B18" w:rsidRDefault="00250478">
      <w:pPr>
        <w:pStyle w:val="TDC2"/>
        <w:rPr>
          <w:rFonts w:asciiTheme="minorHAnsi" w:eastAsiaTheme="minorEastAsia" w:hAnsiTheme="minorHAnsi" w:cstheme="minorBidi"/>
          <w:noProof/>
          <w:sz w:val="22"/>
          <w:szCs w:val="22"/>
          <w:lang w:val="es-GT" w:eastAsia="es-GT"/>
        </w:rPr>
      </w:pPr>
      <w:hyperlink w:anchor="_Toc83713652" w:history="1">
        <w:r w:rsidR="00A37B18" w:rsidRPr="00B20D5B">
          <w:rPr>
            <w:rStyle w:val="Hipervnculo"/>
            <w:noProof/>
          </w:rPr>
          <w:t>B.</w:t>
        </w:r>
        <w:r w:rsidR="00A37B18">
          <w:rPr>
            <w:rFonts w:asciiTheme="minorHAnsi" w:eastAsiaTheme="minorEastAsia" w:hAnsiTheme="minorHAnsi" w:cstheme="minorBidi"/>
            <w:noProof/>
            <w:sz w:val="22"/>
            <w:szCs w:val="22"/>
            <w:lang w:val="es-GT" w:eastAsia="es-GT"/>
          </w:rPr>
          <w:tab/>
        </w:r>
        <w:r w:rsidR="00A37B18" w:rsidRPr="00B20D5B">
          <w:rPr>
            <w:rStyle w:val="Hipervnculo"/>
            <w:noProof/>
          </w:rPr>
          <w:t>Otras Acciones sobre Transparencia Fiscal</w:t>
        </w:r>
        <w:r w:rsidR="00A37B18">
          <w:rPr>
            <w:noProof/>
            <w:webHidden/>
          </w:rPr>
          <w:tab/>
        </w:r>
        <w:r w:rsidR="00A37B18">
          <w:rPr>
            <w:noProof/>
            <w:webHidden/>
          </w:rPr>
          <w:fldChar w:fldCharType="begin"/>
        </w:r>
        <w:r w:rsidR="00A37B18">
          <w:rPr>
            <w:noProof/>
            <w:webHidden/>
          </w:rPr>
          <w:instrText xml:space="preserve"> PAGEREF _Toc83713652 \h </w:instrText>
        </w:r>
        <w:r w:rsidR="00A37B18">
          <w:rPr>
            <w:noProof/>
            <w:webHidden/>
          </w:rPr>
        </w:r>
        <w:r w:rsidR="00A37B18">
          <w:rPr>
            <w:noProof/>
            <w:webHidden/>
          </w:rPr>
          <w:fldChar w:fldCharType="separate"/>
        </w:r>
        <w:r>
          <w:rPr>
            <w:noProof/>
            <w:webHidden/>
          </w:rPr>
          <w:t>66</w:t>
        </w:r>
        <w:r w:rsidR="00A37B18">
          <w:rPr>
            <w:noProof/>
            <w:webHidden/>
          </w:rPr>
          <w:fldChar w:fldCharType="end"/>
        </w:r>
      </w:hyperlink>
    </w:p>
    <w:p w:rsidR="009C2D46" w:rsidRPr="002414D8" w:rsidRDefault="007C7DEE" w:rsidP="002414D8">
      <w:pPr>
        <w:ind w:right="-142"/>
        <w:jc w:val="both"/>
      </w:pPr>
      <w:r w:rsidRPr="00C87438">
        <w:rPr>
          <w:b/>
          <w:bCs/>
          <w:highlight w:val="yellow"/>
        </w:rPr>
        <w:fldChar w:fldCharType="end"/>
      </w:r>
      <w:r w:rsidR="002414D8" w:rsidRPr="002414D8">
        <w:rPr>
          <w:bCs/>
        </w:rPr>
        <w:t>V</w:t>
      </w:r>
      <w:r w:rsidR="002414D8">
        <w:rPr>
          <w:bCs/>
        </w:rPr>
        <w:t>.   Anexos……………………………………………………………</w:t>
      </w:r>
      <w:r w:rsidR="002978A7">
        <w:rPr>
          <w:bCs/>
        </w:rPr>
        <w:t>..</w:t>
      </w:r>
      <w:r w:rsidR="002414D8">
        <w:rPr>
          <w:bCs/>
        </w:rPr>
        <w:t>……………</w:t>
      </w:r>
      <w:r w:rsidR="00657A97">
        <w:rPr>
          <w:bCs/>
        </w:rPr>
        <w:t>..</w:t>
      </w:r>
      <w:r w:rsidR="002414D8">
        <w:rPr>
          <w:bCs/>
        </w:rPr>
        <w:t>……</w:t>
      </w:r>
      <w:r w:rsidR="002414D8" w:rsidRPr="00C823CD">
        <w:rPr>
          <w:bCs/>
        </w:rPr>
        <w:t>…</w:t>
      </w:r>
      <w:r w:rsidR="005F7E63">
        <w:rPr>
          <w:bCs/>
        </w:rPr>
        <w:t>7</w:t>
      </w:r>
      <w:r w:rsidR="0054555F">
        <w:rPr>
          <w:bCs/>
        </w:rPr>
        <w:t>1</w:t>
      </w:r>
    </w:p>
    <w:p w:rsidR="00700218" w:rsidRPr="00C87438" w:rsidRDefault="00700218" w:rsidP="0090230E">
      <w:pPr>
        <w:pStyle w:val="Prrafodelista"/>
        <w:tabs>
          <w:tab w:val="left" w:pos="870"/>
        </w:tabs>
        <w:ind w:left="720"/>
        <w:contextualSpacing/>
        <w:jc w:val="right"/>
        <w:rPr>
          <w:highlight w:val="yellow"/>
        </w:rPr>
      </w:pPr>
    </w:p>
    <w:p w:rsidR="00612210" w:rsidRDefault="00612210">
      <w:pPr>
        <w:rPr>
          <w:highlight w:val="yellow"/>
          <w:lang w:val="es-MX"/>
        </w:rPr>
      </w:pPr>
      <w:r w:rsidRPr="00C87438">
        <w:rPr>
          <w:highlight w:val="yellow"/>
          <w:lang w:val="es-MX"/>
        </w:rPr>
        <w:br w:type="page"/>
      </w:r>
    </w:p>
    <w:p w:rsidR="00520B7E" w:rsidRDefault="00520B7E" w:rsidP="00520B7E">
      <w:pPr>
        <w:pStyle w:val="Ttulo1"/>
        <w:numPr>
          <w:ilvl w:val="0"/>
          <w:numId w:val="2"/>
        </w:numPr>
        <w:tabs>
          <w:tab w:val="num" w:pos="0"/>
        </w:tabs>
        <w:suppressAutoHyphens/>
        <w:ind w:left="709"/>
      </w:pPr>
      <w:bookmarkStart w:id="1" w:name="_Toc47610370"/>
      <w:bookmarkStart w:id="2" w:name="_Toc83713619"/>
      <w:bookmarkStart w:id="3" w:name="_Toc4742458"/>
      <w:bookmarkStart w:id="4" w:name="_Toc417992518"/>
      <w:r w:rsidRPr="00DD2DF7">
        <w:lastRenderedPageBreak/>
        <w:t>Entorno Macroeconómico</w:t>
      </w:r>
      <w:bookmarkEnd w:id="1"/>
      <w:bookmarkEnd w:id="2"/>
    </w:p>
    <w:p w:rsidR="00344C28" w:rsidRPr="00713CAB" w:rsidRDefault="00344C28" w:rsidP="00344C28"/>
    <w:p w:rsidR="00344C28" w:rsidRPr="0059599D" w:rsidRDefault="00344C28" w:rsidP="00344C28">
      <w:pPr>
        <w:pStyle w:val="Ttulo2"/>
        <w:rPr>
          <w:rFonts w:ascii="Times New Roman" w:hAnsi="Times New Roman"/>
          <w:color w:val="auto"/>
          <w:sz w:val="24"/>
          <w:lang w:val="es-MX"/>
        </w:rPr>
      </w:pPr>
      <w:bookmarkStart w:id="5" w:name="_Toc79146274"/>
      <w:bookmarkStart w:id="6" w:name="_Toc83713620"/>
      <w:r w:rsidRPr="0059599D">
        <w:rPr>
          <w:rFonts w:ascii="Times New Roman" w:hAnsi="Times New Roman"/>
          <w:color w:val="auto"/>
          <w:sz w:val="24"/>
          <w:lang w:val="es-MX"/>
        </w:rPr>
        <w:t>Entorno Macroeconómico Internacional</w:t>
      </w:r>
      <w:bookmarkEnd w:id="5"/>
      <w:bookmarkEnd w:id="6"/>
    </w:p>
    <w:p w:rsidR="00344C28" w:rsidRPr="00124AD6" w:rsidRDefault="00344C28" w:rsidP="00344C28">
      <w:pPr>
        <w:pStyle w:val="Ttulo1"/>
        <w:numPr>
          <w:ilvl w:val="0"/>
          <w:numId w:val="0"/>
        </w:numPr>
        <w:suppressAutoHyphens/>
        <w:ind w:left="709"/>
        <w:rPr>
          <w:lang w:val="es-MX"/>
        </w:rPr>
      </w:pPr>
    </w:p>
    <w:p w:rsidR="00344C28" w:rsidRPr="00824132" w:rsidRDefault="00344C28" w:rsidP="00344C28">
      <w:pPr>
        <w:jc w:val="both"/>
      </w:pPr>
      <w:r w:rsidRPr="00824132">
        <w:t xml:space="preserve">Durante 2020 y 2021, la pandemia </w:t>
      </w:r>
      <w:r w:rsidR="00F2720D">
        <w:t xml:space="preserve">derivada del </w:t>
      </w:r>
      <w:r w:rsidRPr="00824132">
        <w:t>COVID-19 ha provocado contracciones significativas en la actividad económica, por lo que, a nivel mundial, ha sido necesario implementar amplios estímulos fiscales y monetarios para moderar los efectos negativos. En particular, durante la primera mitad del año, el gobierno ha adoptado medidas para reducir el ritmo de los contagios de dicha enfermedad, ocasionando que la producción de bienes y servicios disminuya, particularmente en el segundo trimestre. No obstante, el efecto de las medidas de orden fiscal y monetario sin precedente que la mayoría de países ha implementado, y la reapertura económica gradual en las principales economías a nivel mundial y los avances en el desarrollo de tratamientos y vacunas contra el COVID-19, coadyuvaron a que la contracción en la actividad productiva no fuera más profunda y a que la actividad económica comenzara a recuperarse durante el segundo semestre de 2020 y el primer semestre 2021, a</w:t>
      </w:r>
      <w:r w:rsidR="00F2720D">
        <w:t xml:space="preserve"> un ritmo superior al previsto.</w:t>
      </w:r>
    </w:p>
    <w:p w:rsidR="00344C28" w:rsidRPr="00824132" w:rsidRDefault="00344C28" w:rsidP="00344C28">
      <w:pPr>
        <w:jc w:val="both"/>
      </w:pPr>
    </w:p>
    <w:p w:rsidR="00344C28" w:rsidRPr="00824132" w:rsidRDefault="00344C28" w:rsidP="00344C28">
      <w:pPr>
        <w:jc w:val="both"/>
      </w:pPr>
      <w:r w:rsidRPr="00824132">
        <w:t>La intensificación de los contagios por COVID-19 en algunos países a finales del año anterior</w:t>
      </w:r>
      <w:r w:rsidR="00D01CE9">
        <w:t>,</w:t>
      </w:r>
      <w:r w:rsidRPr="00824132">
        <w:t xml:space="preserve"> provocó que los gobiernos retomaran algunas restricciones de movilidad y de actividades productivas, lo cual, eventualmente, afectaría el dinamismo de recuperación en estas economías. En este contexto, el Fondo Monetario Internacional</w:t>
      </w:r>
      <w:r w:rsidR="00D01CE9">
        <w:t xml:space="preserve"> (FMI)</w:t>
      </w:r>
      <w:r w:rsidRPr="00824132">
        <w:t xml:space="preserve"> estima que durante el </w:t>
      </w:r>
      <w:r w:rsidR="00D01CE9">
        <w:t xml:space="preserve">año </w:t>
      </w:r>
      <w:r w:rsidRPr="00824132">
        <w:t>2020</w:t>
      </w:r>
      <w:r w:rsidR="00D01CE9">
        <w:t>,</w:t>
      </w:r>
      <w:r w:rsidRPr="00824132">
        <w:t xml:space="preserve"> la economía mundial sufrió una contracción de 3.</w:t>
      </w:r>
      <w:r>
        <w:t>2</w:t>
      </w:r>
      <w:r w:rsidRPr="00824132">
        <w:t>% y pronostica una sólida recuperación de la actividad económica en 2021</w:t>
      </w:r>
      <w:r w:rsidR="00D01CE9">
        <w:t>, alrededor del</w:t>
      </w:r>
      <w:r w:rsidRPr="00824132">
        <w:t xml:space="preserve"> 6.0%.</w:t>
      </w:r>
    </w:p>
    <w:p w:rsidR="00344C28" w:rsidRPr="00824132" w:rsidRDefault="00344C28" w:rsidP="00344C28">
      <w:pPr>
        <w:jc w:val="both"/>
      </w:pPr>
    </w:p>
    <w:p w:rsidR="00344C28" w:rsidRPr="00824132" w:rsidRDefault="00344C28" w:rsidP="00344C28">
      <w:pPr>
        <w:jc w:val="both"/>
      </w:pPr>
      <w:r w:rsidRPr="00824132">
        <w:t>Las economías avanzadas, mostraron una contracción de 4.</w:t>
      </w:r>
      <w:r>
        <w:t>6</w:t>
      </w:r>
      <w:r w:rsidRPr="00824132">
        <w:t>% durante 2020</w:t>
      </w:r>
      <w:r w:rsidR="00D01CE9">
        <w:t>;</w:t>
      </w:r>
      <w:r w:rsidRPr="00824132">
        <w:t xml:space="preserve"> sin embargo, para el 2021 se anticipa una recuperación de </w:t>
      </w:r>
      <w:r>
        <w:t>5.6</w:t>
      </w:r>
      <w:r w:rsidRPr="00824132">
        <w:t xml:space="preserve">%. En los Estados Unidos de América, la contracción económica se ubicó en 3.5% en 2020 y se proyecta un crecimiento de </w:t>
      </w:r>
      <w:r>
        <w:t>7.0</w:t>
      </w:r>
      <w:r w:rsidRPr="00824132">
        <w:t>% en 2021; mientras que, en la Zona del Euro, la actividad económica registró una caída de 6.</w:t>
      </w:r>
      <w:r>
        <w:t>5</w:t>
      </w:r>
      <w:r w:rsidRPr="00824132">
        <w:t>% en 2020, con una recuperación proyectada para 2021 de 4.</w:t>
      </w:r>
      <w:r>
        <w:t>6</w:t>
      </w:r>
      <w:r w:rsidR="00D01CE9">
        <w:t>%.</w:t>
      </w:r>
    </w:p>
    <w:p w:rsidR="00344C28" w:rsidRPr="00824132" w:rsidRDefault="00344C28" w:rsidP="00344C28">
      <w:pPr>
        <w:pStyle w:val="Sinespaciado"/>
        <w:ind w:left="567" w:right="49"/>
        <w:jc w:val="center"/>
        <w:rPr>
          <w:rFonts w:ascii="Times New Roman" w:hAnsi="Times New Roman"/>
          <w:lang w:val="es-ES" w:eastAsia="es-ES"/>
        </w:rPr>
      </w:pPr>
    </w:p>
    <w:p w:rsidR="00344C28" w:rsidRPr="00824132" w:rsidRDefault="00344C28" w:rsidP="00344C28">
      <w:pPr>
        <w:jc w:val="both"/>
      </w:pPr>
      <w:r w:rsidRPr="00824132">
        <w:t>En las economías emergentes y en desarrollo, la actividad económica se contrajo 2.</w:t>
      </w:r>
      <w:r>
        <w:t>1</w:t>
      </w:r>
      <w:r w:rsidRPr="00824132">
        <w:t>% en 2020 y crecería 6.</w:t>
      </w:r>
      <w:r>
        <w:t>3</w:t>
      </w:r>
      <w:r w:rsidRPr="00824132">
        <w:t>% en 2021. El desempeño observado en 2020 fue consecuencia del impacto de las medidas de confinamiento a nivel interno y del deterioro del entorno internacional, que se reflejó en la reducción de la demanda externa, la restricción temporal de las condiciones financieras internacionales y la reducción de los precios de las materias primas; en tanto que las expectativas de crecimiento para 2021, están sustentadas en una reanudación gradual de las actividades productivas, a nivel interno y externo, en la recuperación de los precios de las materias primas y en las medidas de política económica implementadas.</w:t>
      </w:r>
    </w:p>
    <w:p w:rsidR="00344C28" w:rsidRDefault="00344C28" w:rsidP="00344C28">
      <w:pPr>
        <w:rPr>
          <w:b/>
        </w:rPr>
      </w:pPr>
      <w:r>
        <w:rPr>
          <w:b/>
        </w:rPr>
        <w:br w:type="page"/>
      </w:r>
    </w:p>
    <w:p w:rsidR="00344C28" w:rsidRDefault="00344C28" w:rsidP="00344C28">
      <w:pPr>
        <w:jc w:val="center"/>
        <w:rPr>
          <w:b/>
        </w:rPr>
      </w:pPr>
    </w:p>
    <w:p w:rsidR="00344C28" w:rsidRPr="00824132" w:rsidRDefault="00344C28" w:rsidP="00344C28">
      <w:pPr>
        <w:jc w:val="center"/>
        <w:rPr>
          <w:b/>
        </w:rPr>
      </w:pPr>
      <w:r w:rsidRPr="00824132">
        <w:rPr>
          <w:b/>
        </w:rPr>
        <w:t>Cuadro 1</w:t>
      </w:r>
    </w:p>
    <w:p w:rsidR="00344C28" w:rsidRPr="00824132" w:rsidRDefault="00344C28" w:rsidP="00344C28">
      <w:pPr>
        <w:jc w:val="center"/>
        <w:rPr>
          <w:b/>
        </w:rPr>
      </w:pPr>
      <w:r w:rsidRPr="00824132">
        <w:rPr>
          <w:b/>
        </w:rPr>
        <w:t xml:space="preserve">Perspectivas de las </w:t>
      </w:r>
      <w:r w:rsidR="00D01CE9">
        <w:rPr>
          <w:b/>
        </w:rPr>
        <w:t>P</w:t>
      </w:r>
      <w:r w:rsidRPr="00824132">
        <w:rPr>
          <w:b/>
        </w:rPr>
        <w:t xml:space="preserve">rincipales </w:t>
      </w:r>
      <w:r w:rsidR="00D01CE9">
        <w:rPr>
          <w:b/>
        </w:rPr>
        <w:t>E</w:t>
      </w:r>
      <w:r w:rsidRPr="00824132">
        <w:rPr>
          <w:b/>
        </w:rPr>
        <w:t xml:space="preserve">conomías a </w:t>
      </w:r>
      <w:r w:rsidR="00D01CE9">
        <w:rPr>
          <w:b/>
        </w:rPr>
        <w:t>N</w:t>
      </w:r>
      <w:r w:rsidRPr="00824132">
        <w:rPr>
          <w:b/>
        </w:rPr>
        <w:t xml:space="preserve">ivel </w:t>
      </w:r>
      <w:r w:rsidR="00D01CE9">
        <w:rPr>
          <w:b/>
        </w:rPr>
        <w:t>M</w:t>
      </w:r>
      <w:r w:rsidRPr="00824132">
        <w:rPr>
          <w:b/>
        </w:rPr>
        <w:t>undial</w:t>
      </w:r>
    </w:p>
    <w:p w:rsidR="00344C28" w:rsidRDefault="00344C28" w:rsidP="00344C28">
      <w:pPr>
        <w:pStyle w:val="Default"/>
        <w:ind w:left="708"/>
        <w:jc w:val="both"/>
        <w:rPr>
          <w:rFonts w:ascii="Times New Roman" w:hAnsi="Times New Roman" w:cs="Times New Roman"/>
          <w:color w:val="auto"/>
          <w:sz w:val="16"/>
        </w:rPr>
      </w:pPr>
    </w:p>
    <w:tbl>
      <w:tblPr>
        <w:tblW w:w="7609"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057"/>
        <w:gridCol w:w="638"/>
        <w:gridCol w:w="638"/>
        <w:gridCol w:w="638"/>
        <w:gridCol w:w="638"/>
      </w:tblGrid>
      <w:tr w:rsidR="00344C28" w:rsidRPr="00482717" w:rsidTr="00D01CE9">
        <w:trPr>
          <w:trHeight w:val="356"/>
          <w:jc w:val="center"/>
        </w:trPr>
        <w:tc>
          <w:tcPr>
            <w:tcW w:w="7609" w:type="dxa"/>
            <w:gridSpan w:val="5"/>
            <w:shd w:val="clear" w:color="auto" w:fill="00B0F0"/>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Variación Porcentual</w:t>
            </w:r>
          </w:p>
        </w:tc>
      </w:tr>
      <w:tr w:rsidR="00344C28" w:rsidRPr="00482717" w:rsidTr="00D01CE9">
        <w:trPr>
          <w:trHeight w:val="356"/>
          <w:jc w:val="center"/>
        </w:trPr>
        <w:tc>
          <w:tcPr>
            <w:tcW w:w="5057" w:type="dxa"/>
            <w:shd w:val="clear" w:color="auto" w:fill="00B0F0"/>
            <w:noWrap/>
            <w:vAlign w:val="bottom"/>
            <w:hideMark/>
          </w:tcPr>
          <w:p w:rsidR="00344C28" w:rsidRPr="00482717" w:rsidRDefault="00344C28" w:rsidP="00D50B63">
            <w:pPr>
              <w:rPr>
                <w:color w:val="000000"/>
                <w:sz w:val="20"/>
                <w:lang w:val="es-GT" w:eastAsia="es-GT"/>
              </w:rPr>
            </w:pPr>
            <w:r w:rsidRPr="00482717">
              <w:rPr>
                <w:color w:val="000000"/>
                <w:sz w:val="20"/>
                <w:lang w:val="es-GT" w:eastAsia="es-GT"/>
              </w:rPr>
              <w:t> </w:t>
            </w:r>
          </w:p>
        </w:tc>
        <w:tc>
          <w:tcPr>
            <w:tcW w:w="638" w:type="dxa"/>
            <w:shd w:val="clear" w:color="auto" w:fill="00B0F0"/>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2019</w:t>
            </w:r>
          </w:p>
        </w:tc>
        <w:tc>
          <w:tcPr>
            <w:tcW w:w="638" w:type="dxa"/>
            <w:shd w:val="clear" w:color="auto" w:fill="00B0F0"/>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2020</w:t>
            </w:r>
          </w:p>
        </w:tc>
        <w:tc>
          <w:tcPr>
            <w:tcW w:w="638" w:type="dxa"/>
            <w:shd w:val="clear" w:color="auto" w:fill="00B0F0"/>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2021</w:t>
            </w:r>
          </w:p>
        </w:tc>
        <w:tc>
          <w:tcPr>
            <w:tcW w:w="638" w:type="dxa"/>
            <w:shd w:val="clear" w:color="auto" w:fill="00B0F0"/>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2022</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b/>
                <w:bCs/>
                <w:color w:val="000000"/>
                <w:sz w:val="20"/>
                <w:lang w:val="es-GT" w:eastAsia="es-GT"/>
              </w:rPr>
            </w:pPr>
            <w:r w:rsidRPr="00482717">
              <w:rPr>
                <w:b/>
                <w:bCs/>
                <w:color w:val="000000"/>
                <w:sz w:val="20"/>
                <w:lang w:val="es-GT" w:eastAsia="es-GT"/>
              </w:rPr>
              <w:t>Producto Mundial</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2.8</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-3.2</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6</w:t>
            </w:r>
            <w:r w:rsidR="00D01CE9">
              <w:rPr>
                <w:b/>
                <w:bCs/>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4.9</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b/>
                <w:bCs/>
                <w:color w:val="000000"/>
                <w:sz w:val="20"/>
                <w:lang w:val="es-GT" w:eastAsia="es-GT"/>
              </w:rPr>
            </w:pPr>
            <w:r w:rsidRPr="00482717">
              <w:rPr>
                <w:b/>
                <w:bCs/>
                <w:color w:val="000000"/>
                <w:sz w:val="20"/>
                <w:lang w:val="es-GT" w:eastAsia="es-GT"/>
              </w:rPr>
              <w:t>Economías Avanzadas</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1.6</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-4.6</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5.6</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4.4</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100" w:firstLine="200"/>
              <w:rPr>
                <w:color w:val="000000"/>
                <w:sz w:val="20"/>
                <w:szCs w:val="22"/>
                <w:lang w:val="es-GT" w:eastAsia="es-GT"/>
              </w:rPr>
            </w:pPr>
            <w:r w:rsidRPr="00482717">
              <w:rPr>
                <w:color w:val="000000"/>
                <w:sz w:val="20"/>
                <w:szCs w:val="22"/>
                <w:lang w:val="es-GT" w:eastAsia="es-GT"/>
              </w:rPr>
              <w:t>Estados Unidos</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2.2</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-3.5</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7</w:t>
            </w:r>
            <w:r w:rsidR="00D01CE9">
              <w:rPr>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4.9</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100" w:firstLine="200"/>
              <w:rPr>
                <w:color w:val="000000"/>
                <w:sz w:val="20"/>
                <w:szCs w:val="22"/>
                <w:lang w:val="es-GT" w:eastAsia="es-GT"/>
              </w:rPr>
            </w:pPr>
            <w:r w:rsidRPr="00482717">
              <w:rPr>
                <w:color w:val="000000"/>
                <w:sz w:val="20"/>
                <w:szCs w:val="22"/>
                <w:lang w:val="es-GT" w:eastAsia="es-GT"/>
              </w:rPr>
              <w:t>Zona del Euro</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1.3</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-6.5</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4.6</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4.3</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Alemania</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0.6</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3.6</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4.1</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Francia</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1.8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5.8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4.2</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 xml:space="preserve">Italia </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0.3</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-8.9</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4.9</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4.2</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España</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2</w:t>
            </w:r>
            <w:r w:rsidR="00D01CE9">
              <w:rPr>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-10.8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6.2</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5.8</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Japón</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0</w:t>
            </w:r>
            <w:r w:rsidR="00D01CE9">
              <w:rPr>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-4.7</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2.8</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3</w:t>
            </w:r>
            <w:r w:rsidR="00D01CE9">
              <w:rPr>
                <w:color w:val="000000"/>
                <w:sz w:val="20"/>
                <w:szCs w:val="22"/>
                <w:lang w:val="es-GT" w:eastAsia="es-GT"/>
              </w:rPr>
              <w:t>.0</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color w:val="000000"/>
                <w:sz w:val="20"/>
                <w:lang w:val="es-GT" w:eastAsia="es-GT"/>
              </w:rPr>
            </w:pPr>
            <w:r w:rsidRPr="00482717">
              <w:rPr>
                <w:color w:val="000000"/>
                <w:sz w:val="20"/>
                <w:lang w:val="es-GT" w:eastAsia="es-GT"/>
              </w:rPr>
              <w:t> </w:t>
            </w:r>
          </w:p>
        </w:tc>
        <w:tc>
          <w:tcPr>
            <w:tcW w:w="638" w:type="dxa"/>
            <w:shd w:val="clear" w:color="auto" w:fill="auto"/>
            <w:noWrap/>
            <w:vAlign w:val="bottom"/>
            <w:hideMark/>
          </w:tcPr>
          <w:p w:rsidR="00344C28" w:rsidRPr="00482717" w:rsidRDefault="00344C28" w:rsidP="00D50B63">
            <w:pPr>
              <w:rPr>
                <w:color w:val="000000"/>
                <w:sz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b/>
                <w:bCs/>
                <w:color w:val="000000"/>
                <w:sz w:val="20"/>
                <w:lang w:val="es-GT" w:eastAsia="es-GT"/>
              </w:rPr>
            </w:pPr>
            <w:r w:rsidRPr="00482717">
              <w:rPr>
                <w:b/>
                <w:bCs/>
                <w:color w:val="000000"/>
                <w:sz w:val="20"/>
                <w:lang w:val="es-GT" w:eastAsia="es-GT"/>
              </w:rPr>
              <w:t>Economías Emergentes y en Desarrollo</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3.7</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-2.1</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6.3</w:t>
            </w:r>
          </w:p>
        </w:tc>
        <w:tc>
          <w:tcPr>
            <w:tcW w:w="638" w:type="dxa"/>
            <w:shd w:val="clear" w:color="000000" w:fill="FFFFFF"/>
            <w:noWrap/>
            <w:vAlign w:val="bottom"/>
            <w:hideMark/>
          </w:tcPr>
          <w:p w:rsidR="00344C28" w:rsidRPr="00482717" w:rsidRDefault="00344C28" w:rsidP="00D50B63">
            <w:pPr>
              <w:jc w:val="center"/>
              <w:rPr>
                <w:b/>
                <w:bCs/>
                <w:color w:val="000000"/>
                <w:sz w:val="20"/>
                <w:szCs w:val="22"/>
                <w:lang w:val="es-GT" w:eastAsia="es-GT"/>
              </w:rPr>
            </w:pPr>
            <w:r w:rsidRPr="00482717">
              <w:rPr>
                <w:b/>
                <w:bCs/>
                <w:color w:val="000000"/>
                <w:sz w:val="20"/>
                <w:szCs w:val="22"/>
                <w:lang w:val="es-GT" w:eastAsia="es-GT"/>
              </w:rPr>
              <w:t>5.2</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b/>
                <w:bCs/>
                <w:color w:val="000000"/>
                <w:sz w:val="20"/>
                <w:lang w:val="es-GT" w:eastAsia="es-GT"/>
              </w:rPr>
            </w:pPr>
            <w:r w:rsidRPr="00482717">
              <w:rPr>
                <w:b/>
                <w:bCs/>
                <w:color w:val="000000"/>
                <w:sz w:val="20"/>
                <w:lang w:val="es-GT" w:eastAsia="es-GT"/>
              </w:rPr>
              <w:t>Asia</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5.4</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-0.9</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7.5</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6.4</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China</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6</w:t>
            </w:r>
            <w:r w:rsidR="00D01CE9">
              <w:rPr>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2.3</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8.1</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5.7</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 xml:space="preserve">India </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4.2</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-7.3</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9.5</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8.5</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rPr>
                <w:color w:val="000000"/>
                <w:sz w:val="20"/>
                <w:lang w:val="es-GT" w:eastAsia="es-GT"/>
              </w:rPr>
            </w:pPr>
            <w:r w:rsidRPr="00482717">
              <w:rPr>
                <w:color w:val="000000"/>
                <w:sz w:val="20"/>
                <w:lang w:val="es-GT" w:eastAsia="es-GT"/>
              </w:rPr>
              <w:t> </w:t>
            </w:r>
          </w:p>
        </w:tc>
        <w:tc>
          <w:tcPr>
            <w:tcW w:w="638" w:type="dxa"/>
            <w:shd w:val="clear" w:color="auto" w:fill="auto"/>
            <w:noWrap/>
            <w:vAlign w:val="bottom"/>
            <w:hideMark/>
          </w:tcPr>
          <w:p w:rsidR="00344C28" w:rsidRPr="00482717" w:rsidRDefault="00344C28" w:rsidP="00D50B63">
            <w:pPr>
              <w:rPr>
                <w:color w:val="000000"/>
                <w:sz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c>
          <w:tcPr>
            <w:tcW w:w="638" w:type="dxa"/>
            <w:shd w:val="clear" w:color="auto" w:fill="auto"/>
            <w:noWrap/>
            <w:vAlign w:val="bottom"/>
            <w:hideMark/>
          </w:tcPr>
          <w:p w:rsidR="00344C28" w:rsidRPr="00482717" w:rsidRDefault="00344C28" w:rsidP="00D50B63">
            <w:pPr>
              <w:rPr>
                <w:sz w:val="20"/>
                <w:szCs w:val="20"/>
                <w:lang w:val="es-GT" w:eastAsia="es-GT"/>
              </w:rPr>
            </w:pP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01CE9">
            <w:pPr>
              <w:rPr>
                <w:b/>
                <w:bCs/>
                <w:color w:val="000000"/>
                <w:sz w:val="20"/>
                <w:lang w:val="es-GT" w:eastAsia="es-GT"/>
              </w:rPr>
            </w:pPr>
            <w:r w:rsidRPr="00482717">
              <w:rPr>
                <w:b/>
                <w:bCs/>
                <w:color w:val="000000"/>
                <w:sz w:val="20"/>
                <w:lang w:val="es-GT" w:eastAsia="es-GT"/>
              </w:rPr>
              <w:t xml:space="preserve">América Latina y </w:t>
            </w:r>
            <w:r w:rsidR="00D01CE9">
              <w:rPr>
                <w:b/>
                <w:bCs/>
                <w:color w:val="000000"/>
                <w:sz w:val="20"/>
                <w:lang w:val="es-GT" w:eastAsia="es-GT"/>
              </w:rPr>
              <w:t>E</w:t>
            </w:r>
            <w:r w:rsidRPr="00482717">
              <w:rPr>
                <w:b/>
                <w:bCs/>
                <w:color w:val="000000"/>
                <w:sz w:val="20"/>
                <w:lang w:val="es-GT" w:eastAsia="es-GT"/>
              </w:rPr>
              <w:t>l Caribe</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0.1</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-7</w:t>
            </w:r>
            <w:r w:rsidR="00D01CE9">
              <w:rPr>
                <w:b/>
                <w:bCs/>
                <w:color w:val="000000"/>
                <w:sz w:val="20"/>
                <w:lang w:val="es-GT" w:eastAsia="es-GT"/>
              </w:rPr>
              <w:t>.0</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5.8</w:t>
            </w:r>
          </w:p>
        </w:tc>
        <w:tc>
          <w:tcPr>
            <w:tcW w:w="638" w:type="dxa"/>
            <w:shd w:val="clear" w:color="000000" w:fill="FFFFFF"/>
            <w:noWrap/>
            <w:vAlign w:val="center"/>
            <w:hideMark/>
          </w:tcPr>
          <w:p w:rsidR="00344C28" w:rsidRPr="00482717" w:rsidRDefault="00344C28" w:rsidP="00D50B63">
            <w:pPr>
              <w:jc w:val="center"/>
              <w:rPr>
                <w:b/>
                <w:bCs/>
                <w:color w:val="000000"/>
                <w:sz w:val="20"/>
                <w:lang w:val="es-GT" w:eastAsia="es-GT"/>
              </w:rPr>
            </w:pPr>
            <w:r w:rsidRPr="00482717">
              <w:rPr>
                <w:b/>
                <w:bCs/>
                <w:color w:val="000000"/>
                <w:sz w:val="20"/>
                <w:lang w:val="es-GT" w:eastAsia="es-GT"/>
              </w:rPr>
              <w:t>3.2</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Brasil</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1.4</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-4.1</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5.3</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1.9</w:t>
            </w:r>
          </w:p>
        </w:tc>
      </w:tr>
      <w:tr w:rsidR="00344C28" w:rsidRPr="00482717" w:rsidTr="00D01CE9">
        <w:trPr>
          <w:trHeight w:val="265"/>
          <w:jc w:val="center"/>
        </w:trPr>
        <w:tc>
          <w:tcPr>
            <w:tcW w:w="5057" w:type="dxa"/>
            <w:shd w:val="clear" w:color="000000" w:fill="FFFFFF"/>
            <w:noWrap/>
            <w:vAlign w:val="bottom"/>
            <w:hideMark/>
          </w:tcPr>
          <w:p w:rsidR="00344C28" w:rsidRPr="00482717" w:rsidRDefault="00344C28" w:rsidP="00D50B63">
            <w:pPr>
              <w:ind w:firstLineChars="200" w:firstLine="400"/>
              <w:rPr>
                <w:color w:val="000000"/>
                <w:sz w:val="20"/>
                <w:szCs w:val="22"/>
                <w:lang w:val="es-GT" w:eastAsia="es-GT"/>
              </w:rPr>
            </w:pPr>
            <w:r w:rsidRPr="00482717">
              <w:rPr>
                <w:color w:val="000000"/>
                <w:sz w:val="20"/>
                <w:szCs w:val="22"/>
                <w:lang w:val="es-GT" w:eastAsia="es-GT"/>
              </w:rPr>
              <w:t>México</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-0.2</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-2.6</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4</w:t>
            </w:r>
            <w:r w:rsidR="00D01CE9">
              <w:rPr>
                <w:color w:val="000000"/>
                <w:sz w:val="20"/>
                <w:szCs w:val="22"/>
                <w:lang w:val="es-GT" w:eastAsia="es-GT"/>
              </w:rPr>
              <w:t>.0</w:t>
            </w:r>
          </w:p>
        </w:tc>
        <w:tc>
          <w:tcPr>
            <w:tcW w:w="638" w:type="dxa"/>
            <w:shd w:val="clear" w:color="000000" w:fill="FFFFFF"/>
            <w:noWrap/>
            <w:vAlign w:val="bottom"/>
            <w:hideMark/>
          </w:tcPr>
          <w:p w:rsidR="00344C28" w:rsidRPr="00482717" w:rsidRDefault="00344C28" w:rsidP="00D50B63">
            <w:pPr>
              <w:jc w:val="center"/>
              <w:rPr>
                <w:color w:val="000000"/>
                <w:sz w:val="20"/>
                <w:szCs w:val="22"/>
                <w:lang w:val="es-GT" w:eastAsia="es-GT"/>
              </w:rPr>
            </w:pPr>
            <w:r w:rsidRPr="00482717">
              <w:rPr>
                <w:color w:val="000000"/>
                <w:sz w:val="20"/>
                <w:szCs w:val="22"/>
                <w:lang w:val="es-GT" w:eastAsia="es-GT"/>
              </w:rPr>
              <w:t>3.7</w:t>
            </w:r>
          </w:p>
        </w:tc>
      </w:tr>
    </w:tbl>
    <w:p w:rsidR="00344C28" w:rsidRPr="00D01CE9" w:rsidRDefault="00344C28" w:rsidP="00344C28">
      <w:pPr>
        <w:pStyle w:val="Default"/>
        <w:ind w:left="708"/>
        <w:jc w:val="both"/>
        <w:rPr>
          <w:rFonts w:ascii="Times New Roman" w:hAnsi="Times New Roman" w:cs="Times New Roman"/>
          <w:color w:val="auto"/>
          <w:sz w:val="18"/>
        </w:rPr>
      </w:pPr>
      <w:r w:rsidRPr="00D01CE9">
        <w:rPr>
          <w:rFonts w:ascii="Times New Roman" w:hAnsi="Times New Roman" w:cs="Times New Roman"/>
          <w:color w:val="auto"/>
          <w:sz w:val="18"/>
        </w:rPr>
        <w:t xml:space="preserve">Fuente: FMI: "Proyecciones de </w:t>
      </w:r>
      <w:r w:rsidR="00D01CE9">
        <w:rPr>
          <w:rFonts w:ascii="Times New Roman" w:hAnsi="Times New Roman" w:cs="Times New Roman"/>
          <w:color w:val="auto"/>
          <w:sz w:val="18"/>
        </w:rPr>
        <w:t>C</w:t>
      </w:r>
      <w:r w:rsidRPr="00D01CE9">
        <w:rPr>
          <w:rFonts w:ascii="Times New Roman" w:hAnsi="Times New Roman" w:cs="Times New Roman"/>
          <w:color w:val="auto"/>
          <w:sz w:val="18"/>
        </w:rPr>
        <w:t xml:space="preserve">recimiento de Perspectivas de la </w:t>
      </w:r>
      <w:r w:rsidR="00D01CE9">
        <w:rPr>
          <w:rFonts w:ascii="Times New Roman" w:hAnsi="Times New Roman" w:cs="Times New Roman"/>
          <w:color w:val="auto"/>
          <w:sz w:val="18"/>
        </w:rPr>
        <w:t>E</w:t>
      </w:r>
      <w:r w:rsidRPr="00D01CE9">
        <w:rPr>
          <w:rFonts w:ascii="Times New Roman" w:hAnsi="Times New Roman" w:cs="Times New Roman"/>
          <w:color w:val="auto"/>
          <w:sz w:val="18"/>
        </w:rPr>
        <w:t xml:space="preserve">conomía </w:t>
      </w:r>
      <w:r w:rsidR="00D01CE9">
        <w:rPr>
          <w:rFonts w:ascii="Times New Roman" w:hAnsi="Times New Roman" w:cs="Times New Roman"/>
          <w:color w:val="auto"/>
          <w:sz w:val="18"/>
        </w:rPr>
        <w:t>M</w:t>
      </w:r>
      <w:r w:rsidRPr="00D01CE9">
        <w:rPr>
          <w:rFonts w:ascii="Times New Roman" w:hAnsi="Times New Roman" w:cs="Times New Roman"/>
          <w:color w:val="auto"/>
          <w:sz w:val="18"/>
        </w:rPr>
        <w:t>undial”</w:t>
      </w:r>
      <w:r w:rsidR="00D01CE9">
        <w:rPr>
          <w:rFonts w:ascii="Times New Roman" w:hAnsi="Times New Roman" w:cs="Times New Roman"/>
          <w:color w:val="auto"/>
          <w:sz w:val="18"/>
        </w:rPr>
        <w:t>;</w:t>
      </w:r>
      <w:r w:rsidRPr="00D01CE9">
        <w:rPr>
          <w:rFonts w:ascii="Times New Roman" w:hAnsi="Times New Roman" w:cs="Times New Roman"/>
          <w:color w:val="auto"/>
          <w:sz w:val="18"/>
        </w:rPr>
        <w:t xml:space="preserve"> julio de 2021.</w:t>
      </w:r>
    </w:p>
    <w:p w:rsidR="00344C28" w:rsidRPr="00824132" w:rsidRDefault="00344C28" w:rsidP="00344C28">
      <w:pPr>
        <w:pStyle w:val="Sinespaciado"/>
        <w:ind w:left="567" w:right="49"/>
        <w:jc w:val="both"/>
        <w:rPr>
          <w:rFonts w:ascii="Times New Roman" w:hAnsi="Times New Roman"/>
          <w:sz w:val="16"/>
          <w:lang w:val="es-ES" w:eastAsia="es-ES"/>
        </w:rPr>
      </w:pPr>
    </w:p>
    <w:p w:rsidR="00344C28" w:rsidRPr="00824132" w:rsidRDefault="00344C28" w:rsidP="00344C28">
      <w:pPr>
        <w:jc w:val="both"/>
      </w:pPr>
    </w:p>
    <w:p w:rsidR="00344C28" w:rsidRPr="00824132" w:rsidRDefault="00344C28" w:rsidP="00344C28">
      <w:pPr>
        <w:jc w:val="both"/>
      </w:pPr>
      <w:r w:rsidRPr="00824132">
        <w:t>La caída en 2020 del PIB Latinoamericano (7.0%), fue mayor que el de las economías avanzadas (4.</w:t>
      </w:r>
      <w:r>
        <w:t>6</w:t>
      </w:r>
      <w:r w:rsidRPr="00824132">
        <w:t>%)</w:t>
      </w:r>
      <w:r w:rsidR="00721AF9">
        <w:t>;</w:t>
      </w:r>
      <w:r w:rsidRPr="00824132">
        <w:t xml:space="preserve"> </w:t>
      </w:r>
      <w:r>
        <w:t>sin embargo,</w:t>
      </w:r>
      <w:r w:rsidRPr="00824132">
        <w:t xml:space="preserve"> la recuperación prevista para 2021 es </w:t>
      </w:r>
      <w:r>
        <w:t xml:space="preserve">superior </w:t>
      </w:r>
      <w:r w:rsidRPr="00824132">
        <w:t>(</w:t>
      </w:r>
      <w:r>
        <w:t>5</w:t>
      </w:r>
      <w:r w:rsidRPr="00824132">
        <w:t>.</w:t>
      </w:r>
      <w:r>
        <w:t>8</w:t>
      </w:r>
      <w:r w:rsidRPr="00824132">
        <w:t>% frente a 5.</w:t>
      </w:r>
      <w:r>
        <w:t>6</w:t>
      </w:r>
      <w:r w:rsidR="00721AF9">
        <w:t>%).</w:t>
      </w:r>
    </w:p>
    <w:p w:rsidR="00344C28" w:rsidRPr="00824132" w:rsidRDefault="00344C28" w:rsidP="00344C28">
      <w:pPr>
        <w:jc w:val="both"/>
      </w:pPr>
    </w:p>
    <w:p w:rsidR="00344C28" w:rsidRPr="00824132" w:rsidRDefault="00344C28" w:rsidP="00344C28">
      <w:pPr>
        <w:jc w:val="both"/>
      </w:pPr>
      <w:r w:rsidRPr="00824132">
        <w:t>En todos los casos, las perspectivas para 2021 suponen que la reapertura continuaría materializándose gradualmente y que las políticas macroeconómicas seguirían apoyando la recuperación. No obstante, dichas perspectivas están expuestas, especialmente, al resurgimiento de contagios de COVID-19, y el restablecimiento, aunque parcial, de alg</w:t>
      </w:r>
      <w:r w:rsidR="00721AF9">
        <w:t>unas medidas de confinamiento.</w:t>
      </w:r>
    </w:p>
    <w:p w:rsidR="00344C28" w:rsidRPr="00824132" w:rsidRDefault="00344C28" w:rsidP="00344C28">
      <w:pPr>
        <w:jc w:val="both"/>
      </w:pPr>
    </w:p>
    <w:p w:rsidR="00344C28" w:rsidRPr="00824132" w:rsidRDefault="00344C28" w:rsidP="00344C28">
      <w:pPr>
        <w:jc w:val="both"/>
      </w:pPr>
      <w:r w:rsidRPr="00824132">
        <w:t>De acuerdo con la O</w:t>
      </w:r>
      <w:r w:rsidR="00721AF9">
        <w:t>rganización para la Cooperación y el Desarrollo Económicos (O</w:t>
      </w:r>
      <w:r w:rsidRPr="00824132">
        <w:t>CDE</w:t>
      </w:r>
      <w:r w:rsidR="00721AF9">
        <w:t>),</w:t>
      </w:r>
      <w:r w:rsidRPr="00824132">
        <w:t xml:space="preserve"> el avance de la vacunación y las restricciones ocasionales para contener la progresión de nuevas cepas del virus, serán factores clave para el desempeño económico. La incertidumbre podría establecer diversos escenarios, en torno a las perspectivas de crecimiento que dependen de la evolución de la pandemia. En un escenario positivo, la confianza podría mejorar al existir indicios de avances significativos en la aplicación de la vacuna. En un escenario negativo, la incertidumbre podría agudizarse si se intensificaran brotes de nuevas variantes de COVID-19, o bien si nuevas olas de contagios, requirieran medidas de contención </w:t>
      </w:r>
      <w:r w:rsidR="008D3184">
        <w:t xml:space="preserve">más </w:t>
      </w:r>
      <w:r w:rsidRPr="00824132">
        <w:t>estrictas</w:t>
      </w:r>
      <w:r w:rsidR="008D3184">
        <w:t xml:space="preserve"> para controlar su propagación.</w:t>
      </w:r>
    </w:p>
    <w:p w:rsidR="00344C28" w:rsidRPr="00824132" w:rsidRDefault="00344C28" w:rsidP="00344C28">
      <w:pPr>
        <w:pStyle w:val="Sinespaciado"/>
        <w:ind w:left="567" w:right="49"/>
        <w:jc w:val="both"/>
        <w:rPr>
          <w:rFonts w:ascii="Times New Roman" w:hAnsi="Times New Roman"/>
          <w:lang w:val="es-ES" w:eastAsia="es-ES"/>
        </w:rPr>
      </w:pPr>
    </w:p>
    <w:p w:rsidR="00344C28" w:rsidRDefault="00344C28" w:rsidP="00344C28">
      <w:pPr>
        <w:jc w:val="center"/>
        <w:rPr>
          <w:b/>
        </w:rPr>
      </w:pPr>
    </w:p>
    <w:p w:rsidR="00344C28" w:rsidRDefault="00344C28" w:rsidP="00344C28">
      <w:pPr>
        <w:jc w:val="center"/>
        <w:rPr>
          <w:b/>
        </w:rPr>
      </w:pPr>
    </w:p>
    <w:p w:rsidR="00344C28" w:rsidRDefault="00344C28" w:rsidP="00344C28">
      <w:pPr>
        <w:jc w:val="center"/>
        <w:rPr>
          <w:b/>
        </w:rPr>
      </w:pPr>
    </w:p>
    <w:p w:rsidR="00344C28" w:rsidRPr="00824132" w:rsidRDefault="00344C28" w:rsidP="00344C28">
      <w:pPr>
        <w:jc w:val="center"/>
        <w:rPr>
          <w:b/>
        </w:rPr>
      </w:pPr>
      <w:r>
        <w:rPr>
          <w:b/>
        </w:rPr>
        <w:t>Gráfica</w:t>
      </w:r>
      <w:r w:rsidRPr="00824132">
        <w:rPr>
          <w:b/>
        </w:rPr>
        <w:t xml:space="preserve"> 1</w:t>
      </w:r>
    </w:p>
    <w:p w:rsidR="00344C28" w:rsidRPr="00824132" w:rsidRDefault="00344C28" w:rsidP="00344C28">
      <w:pPr>
        <w:jc w:val="center"/>
        <w:rPr>
          <w:b/>
        </w:rPr>
      </w:pPr>
      <w:r w:rsidRPr="00824132">
        <w:rPr>
          <w:b/>
        </w:rPr>
        <w:t xml:space="preserve">Perspectivas de </w:t>
      </w:r>
      <w:r w:rsidR="00422BEE">
        <w:rPr>
          <w:b/>
        </w:rPr>
        <w:t>C</w:t>
      </w:r>
      <w:r w:rsidRPr="00824132">
        <w:rPr>
          <w:b/>
        </w:rPr>
        <w:t xml:space="preserve">recimiento </w:t>
      </w:r>
      <w:r w:rsidR="00422BEE">
        <w:rPr>
          <w:b/>
        </w:rPr>
        <w:t>M</w:t>
      </w:r>
      <w:r w:rsidRPr="00824132">
        <w:rPr>
          <w:b/>
        </w:rPr>
        <w:t xml:space="preserve">undial </w:t>
      </w:r>
      <w:r w:rsidR="00422BEE">
        <w:rPr>
          <w:b/>
        </w:rPr>
        <w:t>S</w:t>
      </w:r>
      <w:r w:rsidRPr="00824132">
        <w:rPr>
          <w:b/>
        </w:rPr>
        <w:t xml:space="preserve">ujetas a </w:t>
      </w:r>
      <w:r w:rsidR="00422BEE">
        <w:rPr>
          <w:b/>
        </w:rPr>
        <w:t>R</w:t>
      </w:r>
      <w:r w:rsidRPr="00824132">
        <w:rPr>
          <w:b/>
        </w:rPr>
        <w:t>iesgos</w:t>
      </w:r>
    </w:p>
    <w:p w:rsidR="00344C28" w:rsidRPr="00824132" w:rsidRDefault="00344C28" w:rsidP="00344C28">
      <w:pPr>
        <w:jc w:val="center"/>
        <w:rPr>
          <w:b/>
        </w:rPr>
      </w:pPr>
      <w:r w:rsidRPr="00824132">
        <w:rPr>
          <w:b/>
        </w:rPr>
        <w:t xml:space="preserve">PIB </w:t>
      </w:r>
      <w:r w:rsidR="00422BEE">
        <w:rPr>
          <w:b/>
        </w:rPr>
        <w:t>M</w:t>
      </w:r>
      <w:r w:rsidRPr="00824132">
        <w:rPr>
          <w:b/>
        </w:rPr>
        <w:t>undial</w:t>
      </w:r>
    </w:p>
    <w:p w:rsidR="00344C28" w:rsidRPr="00824132" w:rsidRDefault="00344C28" w:rsidP="00344C28">
      <w:pPr>
        <w:jc w:val="center"/>
        <w:rPr>
          <w:b/>
        </w:rPr>
      </w:pPr>
      <w:r w:rsidRPr="00824132">
        <w:rPr>
          <w:b/>
        </w:rPr>
        <w:t>Índice, 4to trimestre 2019</w:t>
      </w:r>
      <w:r w:rsidR="00181FA1">
        <w:rPr>
          <w:b/>
        </w:rPr>
        <w:t xml:space="preserve"> </w:t>
      </w:r>
      <w:r w:rsidRPr="00824132">
        <w:rPr>
          <w:b/>
        </w:rPr>
        <w:t>=</w:t>
      </w:r>
      <w:r w:rsidR="00181FA1">
        <w:rPr>
          <w:b/>
        </w:rPr>
        <w:t xml:space="preserve"> </w:t>
      </w:r>
      <w:r w:rsidRPr="00824132">
        <w:rPr>
          <w:b/>
        </w:rPr>
        <w:t>100</w:t>
      </w:r>
    </w:p>
    <w:p w:rsidR="00344C28" w:rsidRPr="00E81C86" w:rsidRDefault="00344C28" w:rsidP="00344C28">
      <w:pPr>
        <w:pStyle w:val="Sinespaciado"/>
        <w:ind w:left="567" w:right="49"/>
        <w:jc w:val="center"/>
        <w:rPr>
          <w:rFonts w:ascii="Times New Roman" w:hAnsi="Times New Roman"/>
          <w:sz w:val="14"/>
          <w:lang w:val="es-ES" w:eastAsia="es-ES"/>
        </w:rPr>
      </w:pPr>
    </w:p>
    <w:p w:rsidR="00344C28" w:rsidRPr="00824132" w:rsidRDefault="00344C28" w:rsidP="00344C28">
      <w:pPr>
        <w:pStyle w:val="Sinespaciado"/>
        <w:ind w:left="567" w:right="49"/>
        <w:jc w:val="center"/>
        <w:rPr>
          <w:rFonts w:ascii="Times New Roman" w:hAnsi="Times New Roman"/>
          <w:lang w:val="es-ES" w:eastAsia="es-ES"/>
        </w:rPr>
      </w:pPr>
      <w:r w:rsidRPr="00824132">
        <w:rPr>
          <w:rFonts w:ascii="Times New Roman" w:hAnsi="Times New Roman"/>
          <w:noProof/>
          <w:lang w:val="es-GT" w:eastAsia="es-GT"/>
        </w:rPr>
        <w:drawing>
          <wp:inline distT="0" distB="0" distL="0" distR="0" wp14:anchorId="594FBE59" wp14:editId="634643F5">
            <wp:extent cx="5438775" cy="2533304"/>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5817"/>
                    <a:stretch/>
                  </pic:blipFill>
                  <pic:spPr bwMode="auto">
                    <a:xfrm>
                      <a:off x="0" y="0"/>
                      <a:ext cx="5507918" cy="2565510"/>
                    </a:xfrm>
                    <a:prstGeom prst="rect">
                      <a:avLst/>
                    </a:prstGeom>
                    <a:noFill/>
                    <a:ln>
                      <a:noFill/>
                    </a:ln>
                    <a:extLst>
                      <a:ext uri="{53640926-AAD7-44D8-BBD7-CCE9431645EC}">
                        <a14:shadowObscured xmlns:a14="http://schemas.microsoft.com/office/drawing/2010/main"/>
                      </a:ext>
                    </a:extLst>
                  </pic:spPr>
                </pic:pic>
              </a:graphicData>
            </a:graphic>
          </wp:inline>
        </w:drawing>
      </w:r>
    </w:p>
    <w:p w:rsidR="00344C28" w:rsidRPr="00422BEE" w:rsidRDefault="00344C28" w:rsidP="00344C28">
      <w:pPr>
        <w:pStyle w:val="Default"/>
        <w:ind w:left="708"/>
        <w:jc w:val="both"/>
        <w:rPr>
          <w:rFonts w:ascii="Times New Roman" w:hAnsi="Times New Roman" w:cs="Times New Roman"/>
          <w:color w:val="auto"/>
          <w:sz w:val="18"/>
        </w:rPr>
      </w:pPr>
      <w:r w:rsidRPr="00422BEE">
        <w:rPr>
          <w:rFonts w:ascii="Times New Roman" w:hAnsi="Times New Roman" w:cs="Times New Roman"/>
          <w:color w:val="auto"/>
          <w:sz w:val="18"/>
        </w:rPr>
        <w:t>Fuente: Perspectivas Económicas OCDE. Una recuperación fuera de lo común</w:t>
      </w:r>
      <w:r w:rsidR="00422BEE">
        <w:rPr>
          <w:rFonts w:ascii="Times New Roman" w:hAnsi="Times New Roman" w:cs="Times New Roman"/>
          <w:color w:val="auto"/>
          <w:sz w:val="18"/>
        </w:rPr>
        <w:t>;</w:t>
      </w:r>
      <w:r w:rsidRPr="00422BEE">
        <w:rPr>
          <w:rFonts w:ascii="Times New Roman" w:hAnsi="Times New Roman" w:cs="Times New Roman"/>
          <w:color w:val="auto"/>
          <w:sz w:val="18"/>
        </w:rPr>
        <w:t xml:space="preserve"> navegando hacia la transición. Mayo </w:t>
      </w:r>
      <w:r w:rsidR="00422BEE">
        <w:rPr>
          <w:rFonts w:ascii="Times New Roman" w:hAnsi="Times New Roman" w:cs="Times New Roman"/>
          <w:color w:val="auto"/>
          <w:sz w:val="18"/>
        </w:rPr>
        <w:t xml:space="preserve">de </w:t>
      </w:r>
      <w:r w:rsidRPr="00422BEE">
        <w:rPr>
          <w:rFonts w:ascii="Times New Roman" w:hAnsi="Times New Roman" w:cs="Times New Roman"/>
          <w:color w:val="auto"/>
          <w:sz w:val="18"/>
        </w:rPr>
        <w:t>2021.</w:t>
      </w:r>
    </w:p>
    <w:p w:rsidR="00344C28" w:rsidRPr="00422BEE" w:rsidRDefault="00344C28" w:rsidP="00344C28">
      <w:pPr>
        <w:pStyle w:val="Sinespaciado"/>
        <w:ind w:left="567" w:right="49"/>
        <w:jc w:val="both"/>
        <w:rPr>
          <w:rFonts w:ascii="Times New Roman" w:hAnsi="Times New Roman"/>
          <w:sz w:val="28"/>
          <w:lang w:val="es-ES" w:eastAsia="es-ES"/>
        </w:rPr>
      </w:pPr>
    </w:p>
    <w:p w:rsidR="00344C28" w:rsidRDefault="00344C28" w:rsidP="00344C28">
      <w:pPr>
        <w:jc w:val="both"/>
      </w:pPr>
      <w:r w:rsidRPr="00824132">
        <w:t>En el escenario favorable, los avances más rápidos en la administración de vacunas efectivas en todo el mundo y los esfuerzos más eficaces para controlar la propagación del virus</w:t>
      </w:r>
      <w:r w:rsidR="00422BEE">
        <w:t>,</w:t>
      </w:r>
      <w:r w:rsidRPr="00824132">
        <w:t xml:space="preserve"> antes que se completen las vacunaciones</w:t>
      </w:r>
      <w:r w:rsidR="00422BEE">
        <w:t>,</w:t>
      </w:r>
      <w:r w:rsidRPr="00824132">
        <w:t xml:space="preserve"> mejorarían el ritmo de las medidas de contención y darían un mayor impulso a la confianza y el gasto de los consumidores y </w:t>
      </w:r>
      <w:r w:rsidR="00422BEE">
        <w:t xml:space="preserve">de </w:t>
      </w:r>
      <w:r w:rsidRPr="00824132">
        <w:t>las empresas. En el escenario desfavorable, la producción y distribución de vacunas no son lo suficientemente rápidas para detener la transmisión del virus e impedir la aparición de nuevas variantes contagiosas que requieran vacunas nuevas o modificadas</w:t>
      </w:r>
      <w:r w:rsidR="00422BEE">
        <w:t>;</w:t>
      </w:r>
      <w:r w:rsidRPr="00824132">
        <w:t xml:space="preserve"> la confianza y el gasto del sector privado se recienten, algunas inversiones se posponen o bien se cancelan, además, existe una mayor aversión al riesgo en los mercados financieros.</w:t>
      </w:r>
    </w:p>
    <w:p w:rsidR="00344C28" w:rsidRDefault="00344C28" w:rsidP="00344C28">
      <w:pPr>
        <w:jc w:val="both"/>
      </w:pPr>
    </w:p>
    <w:p w:rsidR="00344C28" w:rsidRPr="00824132" w:rsidRDefault="00344C28" w:rsidP="00344C28">
      <w:pPr>
        <w:jc w:val="both"/>
      </w:pPr>
      <w:r w:rsidRPr="00824132">
        <w:t xml:space="preserve">En toda la región, la durabilidad de la economía </w:t>
      </w:r>
      <w:r w:rsidR="00422BEE">
        <w:t>y l</w:t>
      </w:r>
      <w:r w:rsidRPr="00824132">
        <w:t>a recuperación depende</w:t>
      </w:r>
      <w:r w:rsidR="00422BEE">
        <w:t>n</w:t>
      </w:r>
      <w:r w:rsidRPr="00824132">
        <w:t xml:space="preserve"> en gran medida del control de la pandemia. Aunque parte de </w:t>
      </w:r>
      <w:r w:rsidR="00422BEE">
        <w:t xml:space="preserve">la </w:t>
      </w:r>
      <w:r w:rsidRPr="00824132">
        <w:t>población regional ha recibido al menos una dosis de la vacuna, el ritmo sugiere que la vacunación a gran escala no podrá alcanzarse hasta bien entrado el 2022 o más allá</w:t>
      </w:r>
      <w:r w:rsidR="00422BEE">
        <w:t>,</w:t>
      </w:r>
      <w:r w:rsidRPr="00824132">
        <w:t xml:space="preserve"> en varios países de la región. En este contexto, nuevas oleadas de infecciones, o circulación de nuevas variantes, podría retrasar la recuperación económica de la región y poner más presión sobre los sistemas de salud ya sobrecargados, lo que podría generar, nuevas restricciones, condiciones fiscales menos favorables y reacciones relacionadas con el malestar social ante el empeoramiento de la percepción de la eficacia del gobierno frente a la atención </w:t>
      </w:r>
      <w:r w:rsidR="00422BEE">
        <w:t>de</w:t>
      </w:r>
      <w:r w:rsidRPr="00824132">
        <w:t xml:space="preserve"> la crisis.</w:t>
      </w:r>
    </w:p>
    <w:p w:rsidR="00344C28" w:rsidRPr="00824132" w:rsidRDefault="00344C28" w:rsidP="00344C28">
      <w:pPr>
        <w:jc w:val="both"/>
      </w:pPr>
    </w:p>
    <w:p w:rsidR="00344C28" w:rsidRDefault="00344C28" w:rsidP="00344C28">
      <w:pPr>
        <w:jc w:val="both"/>
      </w:pPr>
    </w:p>
    <w:p w:rsidR="00344C28" w:rsidRDefault="00344C28" w:rsidP="00344C28">
      <w:pPr>
        <w:jc w:val="both"/>
      </w:pPr>
    </w:p>
    <w:p w:rsidR="00344C28" w:rsidRDefault="00344C28" w:rsidP="00344C28">
      <w:pPr>
        <w:jc w:val="both"/>
      </w:pPr>
    </w:p>
    <w:p w:rsidR="00344C28" w:rsidRPr="00824132" w:rsidRDefault="00344C28" w:rsidP="00344C28">
      <w:pPr>
        <w:jc w:val="both"/>
      </w:pPr>
      <w:r w:rsidRPr="00824132">
        <w:lastRenderedPageBreak/>
        <w:t>Las proyecciones para el crecimiento de la región en 2021 también aumentaron a lo largo de 2020, pero mucho más gradualmente que en la Zona Euro o en Estados Unidos</w:t>
      </w:r>
      <w:r w:rsidR="000E67E2">
        <w:t xml:space="preserve"> de América</w:t>
      </w:r>
      <w:r w:rsidRPr="00824132">
        <w:t xml:space="preserve">. La proyección de base para 2021 es una recuperación del crecimiento hasta 4.1%. A partir de allí, se proyecta que el crecimiento convergerá a la tendencia de largo plazo, de cerca de 2.5% al año. En un modelo estadístico que incluye a 14 países </w:t>
      </w:r>
      <w:r w:rsidR="000E67E2">
        <w:t>de</w:t>
      </w:r>
      <w:r w:rsidRPr="00824132">
        <w:t xml:space="preserve"> la región, el Banco Interamericano de Desarrollo</w:t>
      </w:r>
      <w:r w:rsidR="000E67E2">
        <w:t xml:space="preserve"> (BID)</w:t>
      </w:r>
      <w:r w:rsidRPr="00824132">
        <w:t xml:space="preserve">, estima que el crecimiento en el escenario de base es de 4.4% para </w:t>
      </w:r>
      <w:r w:rsidR="000E67E2">
        <w:t>2021.</w:t>
      </w:r>
    </w:p>
    <w:p w:rsidR="00344C28" w:rsidRPr="00824132" w:rsidRDefault="00344C28" w:rsidP="00344C28">
      <w:pPr>
        <w:jc w:val="both"/>
      </w:pPr>
    </w:p>
    <w:p w:rsidR="00344C28" w:rsidRPr="00824132" w:rsidRDefault="00344C28" w:rsidP="00344C28">
      <w:pPr>
        <w:jc w:val="both"/>
      </w:pPr>
      <w:r w:rsidRPr="00824132">
        <w:t xml:space="preserve">Este escenario supone que los países en todo el mundo y en la región pueden abrir sus economías y crecer en la segunda mitad del año, a pesar del importante número de nuevos casos </w:t>
      </w:r>
      <w:r w:rsidR="000E67E2">
        <w:t xml:space="preserve">de </w:t>
      </w:r>
      <w:r w:rsidRPr="00824132">
        <w:t>COVID</w:t>
      </w:r>
      <w:r w:rsidR="000E67E2">
        <w:t>-19</w:t>
      </w:r>
      <w:r w:rsidRPr="00824132">
        <w:t xml:space="preserve">. También supone que los programas de despliegue de la vacuna avanzan según lo planeado y que, hacia mediados de año, producirán una inmunidad generalizada en la mayoría de los países avanzados y de las economías emergentes, incluyendo América Latina y </w:t>
      </w:r>
      <w:r w:rsidR="000E67E2">
        <w:t>E</w:t>
      </w:r>
      <w:r w:rsidRPr="00824132">
        <w:t>l Caribe. Hay riesgos importantes asociados con la proyección de base. A medida que los países reabren sus economías, posibles aumentos en los casos y en las tasas de hospitalización podrían llevar a las autoridades a volver a adoptar medidas restrictivas, lo cual tendría un impacto negativo en la actividad económica.</w:t>
      </w:r>
    </w:p>
    <w:p w:rsidR="00344C28" w:rsidRPr="00824132" w:rsidRDefault="00344C28" w:rsidP="00344C28">
      <w:pPr>
        <w:jc w:val="both"/>
      </w:pPr>
    </w:p>
    <w:p w:rsidR="00344C28" w:rsidRPr="00824132" w:rsidRDefault="00344C28" w:rsidP="00344C28">
      <w:pPr>
        <w:jc w:val="both"/>
      </w:pPr>
      <w:r w:rsidRPr="00824132">
        <w:t>La logística de los programas de vacunación puede resultar más compleja de lo que se había anticipado, y podrían retrasar el momento en que los países alcan</w:t>
      </w:r>
      <w:r w:rsidR="000E67E2">
        <w:t>ce</w:t>
      </w:r>
      <w:r w:rsidRPr="00824132">
        <w:t>n niveles suficientes de inmunidad para abrir, incluso hasta después de finales de 2021. Las mutaciones del virus pueden producir cepas que vuelven a las vacunas menos efectivas, lo que requeriría nuevas vacu</w:t>
      </w:r>
      <w:r w:rsidR="000E67E2">
        <w:t>nas y más medidas restrictivas.</w:t>
      </w:r>
    </w:p>
    <w:p w:rsidR="00344C28" w:rsidRPr="00824132" w:rsidRDefault="00344C28" w:rsidP="00344C28">
      <w:pPr>
        <w:jc w:val="both"/>
      </w:pPr>
    </w:p>
    <w:p w:rsidR="00344C28" w:rsidRPr="00824132" w:rsidRDefault="00344C28" w:rsidP="00344C28">
      <w:pPr>
        <w:jc w:val="both"/>
      </w:pPr>
      <w:r w:rsidRPr="00824132">
        <w:t>En un escenario negativo, un crecimiento más bajo de socios comerciales como Estados Unidos</w:t>
      </w:r>
      <w:r w:rsidR="000E67E2">
        <w:t xml:space="preserve"> de América</w:t>
      </w:r>
      <w:r w:rsidRPr="00824132">
        <w:t xml:space="preserve"> y la Zona Euro, perjudicaría a América Latina y </w:t>
      </w:r>
      <w:r w:rsidR="000E67E2">
        <w:t>E</w:t>
      </w:r>
      <w:r w:rsidRPr="00824132">
        <w:t>l Caribe. Se plantea un escenario de base y dos escenarios negativos alternativos. El primero denominado «shock estándar» considera un shock de una desviación estándar de las tasas de crecimiento para Estados Unidos y la Zona Euro, respectivamente, durante 2021. El segundo, denominado «escenario negativo», se basa en supuestos más pesimistas considerados por el FMI para</w:t>
      </w:r>
      <w:r w:rsidR="003876C7">
        <w:t xml:space="preserve"> Estados Unidos y la Zona Euro.</w:t>
      </w:r>
    </w:p>
    <w:p w:rsidR="00344C28" w:rsidRPr="00824132" w:rsidRDefault="00344C28" w:rsidP="00344C28">
      <w:pPr>
        <w:jc w:val="both"/>
      </w:pPr>
    </w:p>
    <w:p w:rsidR="00344C28" w:rsidRPr="00824132" w:rsidRDefault="00344C28" w:rsidP="00344C28">
      <w:pPr>
        <w:jc w:val="both"/>
      </w:pPr>
      <w:r w:rsidRPr="00824132">
        <w:t>La pérdida del PIB en relación con el escenario base es de 4.5% para el escenario de shock estándar para tres años, lo que equivale a una pérdida promedio anual de 1.5%; y de 8.1% para el escenario negativo en el período 2021 a 2023, equivalente a una pérdida promedio anual de 2.7% durante dicho per</w:t>
      </w:r>
      <w:r w:rsidR="003876C7">
        <w:t>í</w:t>
      </w:r>
      <w:r w:rsidRPr="00824132">
        <w:t>odo.</w:t>
      </w:r>
    </w:p>
    <w:p w:rsidR="00344C28" w:rsidRPr="00824132" w:rsidRDefault="00344C28" w:rsidP="00344C28">
      <w:pPr>
        <w:pStyle w:val="Sinespaciado"/>
        <w:ind w:left="567" w:right="49"/>
        <w:jc w:val="both"/>
        <w:rPr>
          <w:rFonts w:ascii="Times New Roman" w:hAnsi="Times New Roman"/>
          <w:lang w:val="es-ES" w:eastAsia="es-ES"/>
        </w:rPr>
      </w:pPr>
    </w:p>
    <w:p w:rsidR="00344C28" w:rsidRPr="00824132" w:rsidRDefault="00344C28" w:rsidP="00344C28">
      <w:pPr>
        <w:jc w:val="both"/>
      </w:pPr>
      <w:r w:rsidRPr="00824132">
        <w:t xml:space="preserve">En el escenario de shock estándar, el crecimiento estimado para 2021 es de 2.5%, </w:t>
      </w:r>
      <w:r w:rsidR="003876C7">
        <w:t xml:space="preserve">de </w:t>
      </w:r>
      <w:r w:rsidRPr="00824132">
        <w:t xml:space="preserve">0.5% para 2022 y </w:t>
      </w:r>
      <w:r w:rsidR="003876C7">
        <w:t xml:space="preserve">de </w:t>
      </w:r>
      <w:r w:rsidRPr="00824132">
        <w:t>2.1% en 2023. En el escenario negativo, el crecimiento estimado para 2021 es de 0.8%, en el 2022 disminuye a –1.1% y luego en 2023 se recupera hasta el 1.8%. Por lo tanto, la recuperación se parece más a una “W” que a una “V” o incluso a una “U”.</w:t>
      </w:r>
    </w:p>
    <w:p w:rsidR="00344C28" w:rsidRPr="00824132" w:rsidRDefault="00344C28" w:rsidP="00344C28">
      <w:pPr>
        <w:pStyle w:val="Sinespaciado"/>
        <w:ind w:left="567" w:right="49"/>
        <w:jc w:val="center"/>
        <w:rPr>
          <w:rFonts w:ascii="Times New Roman" w:hAnsi="Times New Roman"/>
          <w:lang w:val="es-ES" w:eastAsia="es-ES"/>
        </w:rPr>
      </w:pPr>
    </w:p>
    <w:p w:rsidR="00344C28" w:rsidRDefault="00344C28" w:rsidP="00344C28">
      <w:pPr>
        <w:rPr>
          <w:b/>
        </w:rPr>
      </w:pPr>
      <w:r>
        <w:rPr>
          <w:b/>
        </w:rPr>
        <w:br w:type="page"/>
      </w:r>
    </w:p>
    <w:p w:rsidR="00344C28" w:rsidRPr="00FF4D84" w:rsidRDefault="00344C28" w:rsidP="00344C28">
      <w:pPr>
        <w:jc w:val="center"/>
        <w:rPr>
          <w:b/>
        </w:rPr>
      </w:pPr>
      <w:r>
        <w:rPr>
          <w:b/>
        </w:rPr>
        <w:lastRenderedPageBreak/>
        <w:t xml:space="preserve">Gráfica </w:t>
      </w:r>
      <w:r w:rsidRPr="00FF4D84">
        <w:rPr>
          <w:b/>
        </w:rPr>
        <w:t>2</w:t>
      </w:r>
    </w:p>
    <w:p w:rsidR="00344C28" w:rsidRPr="00FF4D84" w:rsidRDefault="00344C28" w:rsidP="00344C28">
      <w:pPr>
        <w:jc w:val="center"/>
        <w:rPr>
          <w:b/>
        </w:rPr>
      </w:pPr>
      <w:r w:rsidRPr="00FF4D84">
        <w:rPr>
          <w:b/>
        </w:rPr>
        <w:t xml:space="preserve">Escenarios de </w:t>
      </w:r>
      <w:r w:rsidR="003876C7">
        <w:rPr>
          <w:b/>
        </w:rPr>
        <w:t>C</w:t>
      </w:r>
      <w:r w:rsidRPr="00FF4D84">
        <w:rPr>
          <w:b/>
        </w:rPr>
        <w:t xml:space="preserve">recimiento para América Latina y </w:t>
      </w:r>
      <w:r w:rsidR="003876C7">
        <w:rPr>
          <w:b/>
        </w:rPr>
        <w:t>E</w:t>
      </w:r>
      <w:r w:rsidRPr="00FF4D84">
        <w:rPr>
          <w:b/>
        </w:rPr>
        <w:t>l Caribe</w:t>
      </w:r>
    </w:p>
    <w:p w:rsidR="00344C28" w:rsidRPr="00824132" w:rsidRDefault="00344C28" w:rsidP="004A668C">
      <w:pPr>
        <w:pStyle w:val="Sinespaciado"/>
        <w:ind w:left="567" w:right="49"/>
        <w:rPr>
          <w:rFonts w:ascii="Times New Roman" w:hAnsi="Times New Roman"/>
          <w:lang w:val="es-ES" w:eastAsia="es-ES"/>
        </w:rPr>
      </w:pPr>
      <w:r w:rsidRPr="00824132">
        <w:rPr>
          <w:rFonts w:ascii="Times New Roman" w:hAnsi="Times New Roman"/>
          <w:noProof/>
          <w:lang w:val="es-GT" w:eastAsia="es-GT"/>
        </w:rPr>
        <w:drawing>
          <wp:inline distT="0" distB="0" distL="0" distR="0" wp14:anchorId="19A9EFDD" wp14:editId="2763AD4E">
            <wp:extent cx="5391150" cy="25812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006" t="14921" r="7791" b="27957"/>
                    <a:stretch/>
                  </pic:blipFill>
                  <pic:spPr bwMode="auto">
                    <a:xfrm>
                      <a:off x="0" y="0"/>
                      <a:ext cx="5416913" cy="2593610"/>
                    </a:xfrm>
                    <a:prstGeom prst="rect">
                      <a:avLst/>
                    </a:prstGeom>
                    <a:ln>
                      <a:noFill/>
                    </a:ln>
                    <a:extLst>
                      <a:ext uri="{53640926-AAD7-44D8-BBD7-CCE9431645EC}">
                        <a14:shadowObscured xmlns:a14="http://schemas.microsoft.com/office/drawing/2010/main"/>
                      </a:ext>
                    </a:extLst>
                  </pic:spPr>
                </pic:pic>
              </a:graphicData>
            </a:graphic>
          </wp:inline>
        </w:drawing>
      </w:r>
    </w:p>
    <w:p w:rsidR="00344C28" w:rsidRPr="003876C7" w:rsidRDefault="00344C28" w:rsidP="00344C28">
      <w:pPr>
        <w:pStyle w:val="Sinespaciado"/>
        <w:ind w:left="567" w:right="49"/>
        <w:jc w:val="both"/>
        <w:rPr>
          <w:rFonts w:ascii="Times New Roman" w:hAnsi="Times New Roman"/>
          <w:sz w:val="4"/>
          <w:lang w:val="es-ES" w:eastAsia="es-ES"/>
        </w:rPr>
      </w:pPr>
    </w:p>
    <w:p w:rsidR="00344C28" w:rsidRPr="003876C7" w:rsidRDefault="00344C28" w:rsidP="00344C28">
      <w:pPr>
        <w:pStyle w:val="Default"/>
        <w:ind w:left="708"/>
        <w:jc w:val="both"/>
        <w:rPr>
          <w:rFonts w:ascii="Times New Roman" w:hAnsi="Times New Roman" w:cs="Times New Roman"/>
          <w:color w:val="auto"/>
          <w:sz w:val="28"/>
        </w:rPr>
      </w:pPr>
      <w:r w:rsidRPr="003876C7">
        <w:rPr>
          <w:rFonts w:ascii="Times New Roman" w:hAnsi="Times New Roman" w:cs="Times New Roman"/>
          <w:color w:val="auto"/>
          <w:sz w:val="18"/>
        </w:rPr>
        <w:t xml:space="preserve">Fuente: Informe </w:t>
      </w:r>
      <w:r w:rsidR="003876C7">
        <w:rPr>
          <w:rFonts w:ascii="Times New Roman" w:hAnsi="Times New Roman" w:cs="Times New Roman"/>
          <w:color w:val="auto"/>
          <w:sz w:val="18"/>
        </w:rPr>
        <w:t>M</w:t>
      </w:r>
      <w:r w:rsidRPr="003876C7">
        <w:rPr>
          <w:rFonts w:ascii="Times New Roman" w:hAnsi="Times New Roman" w:cs="Times New Roman"/>
          <w:color w:val="auto"/>
          <w:sz w:val="18"/>
        </w:rPr>
        <w:t xml:space="preserve">acroeconómico de América Latina y </w:t>
      </w:r>
      <w:r w:rsidR="003876C7">
        <w:rPr>
          <w:rFonts w:ascii="Times New Roman" w:hAnsi="Times New Roman" w:cs="Times New Roman"/>
          <w:color w:val="auto"/>
          <w:sz w:val="18"/>
        </w:rPr>
        <w:t>E</w:t>
      </w:r>
      <w:r w:rsidRPr="003876C7">
        <w:rPr>
          <w:rFonts w:ascii="Times New Roman" w:hAnsi="Times New Roman" w:cs="Times New Roman"/>
          <w:color w:val="auto"/>
          <w:sz w:val="18"/>
        </w:rPr>
        <w:t>l Caribe 2021. Oportunidades para un mayor crecimiento sostenible tras la pandemia</w:t>
      </w:r>
      <w:r w:rsidR="003876C7">
        <w:rPr>
          <w:rFonts w:ascii="Times New Roman" w:hAnsi="Times New Roman" w:cs="Times New Roman"/>
          <w:color w:val="auto"/>
          <w:sz w:val="18"/>
        </w:rPr>
        <w:t>;</w:t>
      </w:r>
      <w:r w:rsidRPr="003876C7">
        <w:rPr>
          <w:rFonts w:ascii="Times New Roman" w:hAnsi="Times New Roman" w:cs="Times New Roman"/>
          <w:color w:val="auto"/>
          <w:sz w:val="18"/>
        </w:rPr>
        <w:t xml:space="preserve"> Banco Interamericano de Desarrollo, 2021.</w:t>
      </w:r>
    </w:p>
    <w:p w:rsidR="00344C28" w:rsidRPr="003876C7" w:rsidRDefault="00344C28" w:rsidP="00344C28">
      <w:pPr>
        <w:pStyle w:val="Sinespaciado"/>
        <w:ind w:left="567" w:right="49"/>
        <w:jc w:val="both"/>
        <w:rPr>
          <w:rFonts w:ascii="Times New Roman" w:hAnsi="Times New Roman"/>
          <w:sz w:val="32"/>
          <w:lang w:val="es-ES" w:eastAsia="es-ES"/>
        </w:rPr>
      </w:pPr>
    </w:p>
    <w:p w:rsidR="00344C28" w:rsidRPr="00824132" w:rsidRDefault="00344C28" w:rsidP="00344C28">
      <w:pPr>
        <w:jc w:val="both"/>
      </w:pPr>
      <w:r w:rsidRPr="00824132">
        <w:t>El shock del crecimiento en Estados Unidos y la Zona Euro tiene un impacto en toda la región, aunque de manera diferente según los países. El shock en Estados Unidos</w:t>
      </w:r>
      <w:r w:rsidR="0074178F">
        <w:t xml:space="preserve"> de América</w:t>
      </w:r>
      <w:r w:rsidRPr="00824132">
        <w:t xml:space="preserve"> es particularmente importante para México, América Central y </w:t>
      </w:r>
      <w:r w:rsidR="0074178F">
        <w:t>E</w:t>
      </w:r>
      <w:r w:rsidRPr="00824132">
        <w:t xml:space="preserve">l Caribe. El Cono Sur sufre el impacto del shock en la </w:t>
      </w:r>
      <w:r w:rsidR="0074178F">
        <w:t>Z</w:t>
      </w:r>
      <w:r w:rsidRPr="00824132">
        <w:t xml:space="preserve">ona </w:t>
      </w:r>
      <w:r w:rsidR="0074178F">
        <w:t>E</w:t>
      </w:r>
      <w:r w:rsidRPr="00824132">
        <w:t>uro y en Estados Unidos. Brasil es el país menos afectado por estos shocks. Los dos escenarios implican un menor crecimiento en 2021</w:t>
      </w:r>
      <w:r w:rsidR="0074178F">
        <w:t>,</w:t>
      </w:r>
      <w:r w:rsidRPr="00824132">
        <w:t xml:space="preserve"> en comparación con el escenario de base, cayendo aún más en 2022</w:t>
      </w:r>
      <w:r w:rsidR="0074178F">
        <w:t>,</w:t>
      </w:r>
      <w:r w:rsidRPr="00824132">
        <w:t xml:space="preserve"> antes de recuperarse para acercarse al </w:t>
      </w:r>
      <w:r w:rsidR="0074178F">
        <w:t>crecimiento tendencial en 2023.</w:t>
      </w:r>
    </w:p>
    <w:p w:rsidR="00344C28" w:rsidRPr="00824132" w:rsidRDefault="00344C28" w:rsidP="00344C28">
      <w:pPr>
        <w:pStyle w:val="Sinespaciado"/>
        <w:ind w:left="567" w:right="49"/>
        <w:jc w:val="both"/>
        <w:rPr>
          <w:rFonts w:ascii="Times New Roman" w:hAnsi="Times New Roman"/>
          <w:lang w:val="es-ES" w:eastAsia="es-ES"/>
        </w:rPr>
      </w:pPr>
    </w:p>
    <w:p w:rsidR="00344C28" w:rsidRPr="00824132" w:rsidRDefault="00344C28" w:rsidP="00344C28">
      <w:pPr>
        <w:jc w:val="both"/>
      </w:pPr>
      <w:bookmarkStart w:id="7" w:name="_Hlk78454483"/>
      <w:r w:rsidRPr="00824132">
        <w:t>Por otro lado, las perspectivas negativas de calificación por parte de las agencias calificadoras continúan un año después del estallido de la pandemia C</w:t>
      </w:r>
      <w:r w:rsidR="007554BD">
        <w:t>OVID</w:t>
      </w:r>
      <w:r w:rsidRPr="00824132">
        <w:t>-19 en México, Centro</w:t>
      </w:r>
      <w:r w:rsidR="007554BD">
        <w:t xml:space="preserve"> A</w:t>
      </w:r>
      <w:r w:rsidRPr="00824132">
        <w:t xml:space="preserve">mérica y </w:t>
      </w:r>
      <w:r w:rsidR="007554BD">
        <w:t>E</w:t>
      </w:r>
      <w:r w:rsidRPr="00824132">
        <w:t>l Caribe. Las finanzas públicas son el factor clave de la rebaja en la calificación o la variación en la perspectiva del riesgo soberano para la mayoría de los países centroamericanos, ya que la pandemia produjo cambios hacia el deterioro de las tendencias fiscales observadas con anterioridad a 2020. De acuerdo con Fitch Ratings, la relación Deuda/PIB aumentó en 12.3 puntos porcentuales en promedio, aunque los aumentos en Guatemala, México y Nicaragua fueron menores, la recaudación de impuestos en la región va a la zaga de las calificaciones de sus pares, lo que limita la capacidad de los gobiernos para brindar alivio fiscal, apoyar la recuperación económica y junto con incrementos en el pago de intereses, indica un espacio fiscal relativamente estrecho y con tendencia a reducirse aún más.</w:t>
      </w:r>
    </w:p>
    <w:p w:rsidR="00344C28" w:rsidRPr="00824132" w:rsidRDefault="00344C28" w:rsidP="00344C28">
      <w:pPr>
        <w:jc w:val="both"/>
      </w:pPr>
      <w:r w:rsidRPr="00824132">
        <w:br/>
        <w:t>Un aumento sustancial del desempleo en la región y la lenta recuperación del turismo podría retrasar la recuperación económica posterior a la pandemia.</w:t>
      </w:r>
      <w:r w:rsidR="007554BD">
        <w:t xml:space="preserve"> </w:t>
      </w:r>
      <w:r w:rsidRPr="00824132">
        <w:t>Adicionalmente, el lento progreso de la inoculación en la región es un riesgo latente, dado que la campaña de vacunación, particularmente, ha quedado rezagada en comparación con otras regiones del mundo</w:t>
      </w:r>
      <w:r w:rsidR="007554BD">
        <w:t>;</w:t>
      </w:r>
      <w:r w:rsidRPr="00824132">
        <w:t xml:space="preserve"> ello supone potenciales brotes o el aparecimiento de nuevas variantes que retrasarían o pondrían en riesgo la consecución de las metas de crecimiento económico</w:t>
      </w:r>
      <w:r w:rsidR="007554BD">
        <w:t>;</w:t>
      </w:r>
      <w:r w:rsidRPr="00824132">
        <w:t xml:space="preserve"> en consecuencia, la estabilidad de las variables macro fiscales y el cumplimiento de las proyecciones realizadas.</w:t>
      </w:r>
    </w:p>
    <w:bookmarkEnd w:id="7"/>
    <w:p w:rsidR="00344C28" w:rsidRDefault="00344C28" w:rsidP="00344C28"/>
    <w:p w:rsidR="00344C28" w:rsidRPr="0059599D" w:rsidRDefault="00344C28" w:rsidP="00344C28">
      <w:pPr>
        <w:pStyle w:val="Ttulo2"/>
        <w:rPr>
          <w:rFonts w:ascii="Times New Roman" w:hAnsi="Times New Roman"/>
          <w:color w:val="auto"/>
          <w:sz w:val="24"/>
          <w:lang w:val="es-MX"/>
        </w:rPr>
      </w:pPr>
      <w:bookmarkStart w:id="8" w:name="_Toc4742460"/>
      <w:bookmarkStart w:id="9" w:name="_Toc79146275"/>
      <w:bookmarkStart w:id="10" w:name="_Toc83713621"/>
      <w:r w:rsidRPr="0059599D">
        <w:rPr>
          <w:rFonts w:ascii="Times New Roman" w:hAnsi="Times New Roman"/>
          <w:color w:val="auto"/>
          <w:sz w:val="24"/>
          <w:lang w:val="es-MX"/>
        </w:rPr>
        <w:t>Entorno Macroeconómico Nacional</w:t>
      </w:r>
      <w:bookmarkEnd w:id="8"/>
      <w:bookmarkEnd w:id="9"/>
      <w:bookmarkEnd w:id="10"/>
    </w:p>
    <w:p w:rsidR="00344C28" w:rsidRPr="00124AD6" w:rsidRDefault="00344C28" w:rsidP="00344C28">
      <w:pPr>
        <w:rPr>
          <w:lang w:val="es-MX"/>
        </w:rPr>
      </w:pPr>
    </w:p>
    <w:p w:rsidR="00344C28" w:rsidRDefault="00344C28" w:rsidP="00344C28">
      <w:pPr>
        <w:jc w:val="both"/>
      </w:pPr>
      <w:r>
        <w:t>La evolución de la economía nacional, al igual que en el resto de economías a nivel mundial, fue afectada por la propagación del COVID-19 que impactó tanto la demanda como la oferta agregadas. En este contexto, el Producto Interno Bruto (PIB) en 2020 cerró con una variación de -1.5%, explicado principalmente por el débil desempeño de la demanda interna (particularmente durante el primer semestre), misma que registró una contracción de 1.8%. Por el origen de la producción, en 2020 se observaron tasas de variación negativas en la mayoría de actividades económicas, incidiendo en mayor medida las actividades de alojamiento y servicio de comidas; transporte y almacenamiento; otras actividades de servicios; construcción; enseñanza; comercio y reparación de vehículos; actividades profesionales científicas y técnicas; e industrias manufactureras (Banco de Guatemala, Informe de Política Monetaria a marzo de 2021).</w:t>
      </w:r>
    </w:p>
    <w:p w:rsidR="007554BD" w:rsidRDefault="007554BD" w:rsidP="00344C28">
      <w:pPr>
        <w:jc w:val="both"/>
      </w:pPr>
    </w:p>
    <w:p w:rsidR="00344C28" w:rsidRPr="00124AD6" w:rsidRDefault="00344C28" w:rsidP="00344C28">
      <w:pPr>
        <w:jc w:val="center"/>
        <w:rPr>
          <w:b/>
        </w:rPr>
      </w:pPr>
      <w:r w:rsidRPr="00124AD6">
        <w:rPr>
          <w:b/>
        </w:rPr>
        <w:t xml:space="preserve">Gráfica </w:t>
      </w:r>
      <w:r>
        <w:rPr>
          <w:b/>
        </w:rPr>
        <w:t>3</w:t>
      </w:r>
    </w:p>
    <w:p w:rsidR="00344C28" w:rsidRPr="00124AD6" w:rsidRDefault="00344C28" w:rsidP="00344C28">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rsidR="00344C28" w:rsidRPr="00124AD6" w:rsidRDefault="00344C28" w:rsidP="00344C28">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14 </w:t>
      </w:r>
      <w:r w:rsidRPr="00124AD6">
        <w:rPr>
          <w:b/>
        </w:rPr>
        <w:t>- 20</w:t>
      </w:r>
      <w:r>
        <w:rPr>
          <w:b/>
        </w:rPr>
        <w:t>21</w:t>
      </w:r>
      <w:r w:rsidRPr="00124AD6">
        <w:rPr>
          <w:b/>
        </w:rPr>
        <w:t>)</w:t>
      </w:r>
    </w:p>
    <w:p w:rsidR="00344C28" w:rsidRDefault="00344C28" w:rsidP="00344C28">
      <w:pPr>
        <w:jc w:val="center"/>
      </w:pPr>
      <w:r>
        <w:rPr>
          <w:noProof/>
          <w:lang w:val="es-GT" w:eastAsia="es-GT"/>
        </w:rPr>
        <w:drawing>
          <wp:inline distT="0" distB="0" distL="0" distR="0" wp14:anchorId="35FC4FC5" wp14:editId="2B8D0884">
            <wp:extent cx="5951855" cy="3009900"/>
            <wp:effectExtent l="0" t="0" r="0" b="0"/>
            <wp:docPr id="14" name="Gráfico 1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44C28" w:rsidRPr="00223D6A" w:rsidRDefault="00181FA1" w:rsidP="00344C28">
      <w:pPr>
        <w:jc w:val="both"/>
        <w:rPr>
          <w:sz w:val="18"/>
          <w:lang w:val="es-MX"/>
        </w:rPr>
      </w:pPr>
      <w:r>
        <w:rPr>
          <w:sz w:val="18"/>
          <w:lang w:val="es-MX"/>
        </w:rPr>
        <w:t xml:space="preserve">             </w:t>
      </w:r>
      <w:r w:rsidR="00344C28" w:rsidRPr="00223D6A">
        <w:rPr>
          <w:sz w:val="18"/>
          <w:lang w:val="es-MX"/>
        </w:rPr>
        <w:t>p/preliminar</w:t>
      </w:r>
    </w:p>
    <w:p w:rsidR="00344C28" w:rsidRPr="00FF4D84" w:rsidRDefault="00181FA1" w:rsidP="00344C28">
      <w:pPr>
        <w:jc w:val="both"/>
        <w:rPr>
          <w:sz w:val="18"/>
          <w:lang w:val="es-GT"/>
        </w:rPr>
      </w:pPr>
      <w:r>
        <w:rPr>
          <w:sz w:val="18"/>
          <w:lang w:val="es-MX"/>
        </w:rPr>
        <w:t xml:space="preserve">             </w:t>
      </w:r>
      <w:r w:rsidR="00344C28">
        <w:rPr>
          <w:sz w:val="18"/>
          <w:lang w:val="es-MX"/>
        </w:rPr>
        <w:t xml:space="preserve">2021 </w:t>
      </w:r>
      <w:r w:rsidR="00344C28" w:rsidRPr="00223D6A">
        <w:rPr>
          <w:sz w:val="18"/>
          <w:lang w:val="es-MX"/>
        </w:rPr>
        <w:t>py/ escenarios</w:t>
      </w:r>
      <w:r w:rsidR="00344C28" w:rsidRPr="00FF4D84">
        <w:rPr>
          <w:sz w:val="18"/>
          <w:lang w:val="es-GT"/>
        </w:rPr>
        <w:t xml:space="preserve"> </w:t>
      </w:r>
      <w:r w:rsidR="00344C28">
        <w:rPr>
          <w:sz w:val="18"/>
          <w:lang w:val="es-GT"/>
        </w:rPr>
        <w:t>(</w:t>
      </w:r>
      <w:r w:rsidR="00344C28" w:rsidRPr="00FF4D84">
        <w:rPr>
          <w:sz w:val="18"/>
          <w:lang w:val="es-GT"/>
        </w:rPr>
        <w:t>bajo</w:t>
      </w:r>
      <w:r w:rsidR="00344C28">
        <w:rPr>
          <w:sz w:val="18"/>
          <w:lang w:val="es-GT"/>
        </w:rPr>
        <w:t>)</w:t>
      </w:r>
      <w:r w:rsidR="00344C28" w:rsidRPr="00FF4D84">
        <w:rPr>
          <w:sz w:val="18"/>
          <w:lang w:val="es-GT"/>
        </w:rPr>
        <w:t xml:space="preserve"> y </w:t>
      </w:r>
      <w:r w:rsidR="00344C28">
        <w:rPr>
          <w:sz w:val="18"/>
          <w:lang w:val="es-GT"/>
        </w:rPr>
        <w:t>(</w:t>
      </w:r>
      <w:r w:rsidR="00344C28" w:rsidRPr="00FF4D84">
        <w:rPr>
          <w:sz w:val="18"/>
          <w:lang w:val="es-GT"/>
        </w:rPr>
        <w:t>alto</w:t>
      </w:r>
      <w:r w:rsidR="00344C28">
        <w:rPr>
          <w:sz w:val="18"/>
          <w:lang w:val="es-GT"/>
        </w:rPr>
        <w:t xml:space="preserve">) </w:t>
      </w:r>
      <w:r w:rsidR="00344C28" w:rsidRPr="00223D6A">
        <w:rPr>
          <w:sz w:val="18"/>
          <w:lang w:val="es-MX"/>
        </w:rPr>
        <w:t>proyectado</w:t>
      </w:r>
      <w:r w:rsidR="00344C28">
        <w:rPr>
          <w:sz w:val="18"/>
          <w:lang w:val="es-MX"/>
        </w:rPr>
        <w:t>s</w:t>
      </w:r>
    </w:p>
    <w:p w:rsidR="00344C28" w:rsidRPr="004312A9" w:rsidRDefault="00181FA1" w:rsidP="00344C28">
      <w:pPr>
        <w:jc w:val="both"/>
        <w:rPr>
          <w:sz w:val="18"/>
          <w:lang w:val="es-MX"/>
        </w:rPr>
      </w:pPr>
      <w:r>
        <w:rPr>
          <w:sz w:val="18"/>
          <w:lang w:val="es-MX"/>
        </w:rPr>
        <w:t xml:space="preserve">             </w:t>
      </w:r>
      <w:r w:rsidR="00344C28" w:rsidRPr="004312A9">
        <w:rPr>
          <w:sz w:val="18"/>
          <w:lang w:val="es-MX"/>
        </w:rPr>
        <w:t>Fuente: Banco de Guatemala.</w:t>
      </w:r>
    </w:p>
    <w:p w:rsidR="00344C28" w:rsidRPr="00223D6A" w:rsidRDefault="00344C28" w:rsidP="00344C28">
      <w:pPr>
        <w:jc w:val="both"/>
        <w:rPr>
          <w:sz w:val="18"/>
          <w:lang w:val="es-MX"/>
        </w:rPr>
      </w:pPr>
    </w:p>
    <w:p w:rsidR="00344C28" w:rsidRDefault="00344C28" w:rsidP="00344C28">
      <w:pPr>
        <w:jc w:val="both"/>
      </w:pPr>
      <w:r>
        <w:t>Respecto de las proyecciones de crecimiento para 2021</w:t>
      </w:r>
      <w:r w:rsidR="00CD3E38">
        <w:t>,</w:t>
      </w:r>
      <w:r>
        <w:t xml:space="preserve"> se plantean dos escenarios</w:t>
      </w:r>
      <w:r w:rsidR="00CD3E38">
        <w:t>:</w:t>
      </w:r>
      <w:r>
        <w:t xml:space="preserve"> el primer escenario bajo</w:t>
      </w:r>
      <w:r w:rsidR="00CD3E38">
        <w:t>,</w:t>
      </w:r>
      <w:r>
        <w:t xml:space="preserve"> el cual estima un 3.0% de crecimiento y un escenario alto en el cual la expectativa se establece en 5.0%</w:t>
      </w:r>
      <w:r w:rsidR="00CD3E38">
        <w:t>,</w:t>
      </w:r>
      <w:r>
        <w:t xml:space="preserve"> respecto de 2020. De acuerdo con el Banco de Guatemala, el comportamiento de algunos indicadores de corto plazo, sustenta el dinamismo de la actividad económica en lo que va del presente año, lo que hace consistentes con las estimaciones de crecimiento para 2021.</w:t>
      </w:r>
    </w:p>
    <w:p w:rsidR="00344C28" w:rsidRDefault="00344C28" w:rsidP="00344C28">
      <w:pPr>
        <w:jc w:val="both"/>
      </w:pPr>
    </w:p>
    <w:p w:rsidR="00344C28" w:rsidRDefault="00344C28" w:rsidP="00344C28">
      <w:pPr>
        <w:jc w:val="both"/>
      </w:pPr>
      <w:r>
        <w:br w:type="page"/>
      </w:r>
    </w:p>
    <w:p w:rsidR="00344C28" w:rsidRDefault="00344C28" w:rsidP="00344C28">
      <w:pPr>
        <w:jc w:val="both"/>
      </w:pPr>
      <w:r>
        <w:lastRenderedPageBreak/>
        <w:t xml:space="preserve">El Índice de Confianza de la Actividad Económica, </w:t>
      </w:r>
      <w:r w:rsidRPr="00124AD6">
        <w:t xml:space="preserve">refleja la percepción </w:t>
      </w:r>
      <w:r>
        <w:t xml:space="preserve">que tiene el panel de analistas económicos entrevistados </w:t>
      </w:r>
      <w:r w:rsidRPr="00124AD6">
        <w:t xml:space="preserve">sobre la situación económica actual </w:t>
      </w:r>
      <w:r>
        <w:t>y el ambiente para los negocios.</w:t>
      </w:r>
    </w:p>
    <w:p w:rsidR="00344C28" w:rsidRDefault="00344C28" w:rsidP="00344C28">
      <w:pPr>
        <w:jc w:val="both"/>
      </w:pPr>
    </w:p>
    <w:p w:rsidR="00344C28" w:rsidRDefault="00344C28" w:rsidP="00344C28">
      <w:pPr>
        <w:jc w:val="both"/>
      </w:pPr>
      <w:r>
        <w:t>A</w:t>
      </w:r>
      <w:r w:rsidR="00CD3E38">
        <w:t xml:space="preserve">l 30 de </w:t>
      </w:r>
      <w:r>
        <w:t xml:space="preserve"> junio de 2021, el nivel del Índice se situó en 76.07 puntos, superior en 3.4% </w:t>
      </w:r>
      <w:r w:rsidR="00CD3E38">
        <w:t xml:space="preserve">con </w:t>
      </w:r>
      <w:r>
        <w:t>respecto al registrado en mayo de 2021 (73.52 puntos) y aumentó 108.9% respecto al registrado en junio de 2020 (36.40 puntos).</w:t>
      </w:r>
    </w:p>
    <w:p w:rsidR="00344C28" w:rsidRDefault="00344C28" w:rsidP="00344C28">
      <w:pPr>
        <w:jc w:val="both"/>
      </w:pPr>
    </w:p>
    <w:p w:rsidR="00344C28" w:rsidRDefault="00344C28" w:rsidP="00344C28">
      <w:pPr>
        <w:jc w:val="both"/>
      </w:pPr>
    </w:p>
    <w:p w:rsidR="00344C28" w:rsidRPr="00124AD6" w:rsidRDefault="00344C28" w:rsidP="00344C28">
      <w:pPr>
        <w:jc w:val="center"/>
        <w:rPr>
          <w:b/>
        </w:rPr>
      </w:pPr>
      <w:r w:rsidRPr="00124AD6">
        <w:rPr>
          <w:b/>
        </w:rPr>
        <w:t xml:space="preserve">Gráfica </w:t>
      </w:r>
      <w:r>
        <w:rPr>
          <w:b/>
        </w:rPr>
        <w:t>4</w:t>
      </w:r>
    </w:p>
    <w:p w:rsidR="00344C28" w:rsidRPr="00124AD6" w:rsidRDefault="00344C28" w:rsidP="00344C28">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p>
    <w:p w:rsidR="00344C28" w:rsidRPr="00124AD6" w:rsidRDefault="00344C28" w:rsidP="00344C28">
      <w:pPr>
        <w:jc w:val="center"/>
        <w:rPr>
          <w:rFonts w:eastAsia="Calibri"/>
          <w:b/>
          <w:bCs/>
          <w:color w:val="000000"/>
          <w:lang w:val="es-GT" w:eastAsia="es-GT"/>
        </w:rPr>
      </w:pPr>
      <w:r w:rsidRPr="00124AD6">
        <w:rPr>
          <w:rFonts w:eastAsia="Calibri"/>
          <w:b/>
          <w:bCs/>
          <w:color w:val="000000"/>
          <w:lang w:val="es-GT" w:eastAsia="es-GT"/>
        </w:rPr>
        <w:t>Enero 201</w:t>
      </w:r>
      <w:r>
        <w:rPr>
          <w:rFonts w:eastAsia="Calibri"/>
          <w:b/>
          <w:bCs/>
          <w:color w:val="000000"/>
          <w:lang w:val="es-GT" w:eastAsia="es-GT"/>
        </w:rPr>
        <w:t>6</w:t>
      </w:r>
      <w:r w:rsidRPr="00124AD6">
        <w:rPr>
          <w:rFonts w:eastAsia="Calibri"/>
          <w:b/>
          <w:bCs/>
          <w:color w:val="000000"/>
          <w:lang w:val="es-GT" w:eastAsia="es-GT"/>
        </w:rPr>
        <w:t xml:space="preserve"> </w:t>
      </w:r>
      <w:r>
        <w:rPr>
          <w:rFonts w:eastAsia="Calibri"/>
          <w:b/>
          <w:bCs/>
          <w:color w:val="000000"/>
          <w:lang w:val="es-GT" w:eastAsia="es-GT"/>
        </w:rPr>
        <w:t>-</w:t>
      </w:r>
      <w:r w:rsidRPr="00124AD6">
        <w:rPr>
          <w:rFonts w:eastAsia="Calibri"/>
          <w:b/>
          <w:bCs/>
          <w:color w:val="000000"/>
          <w:lang w:val="es-GT" w:eastAsia="es-GT"/>
        </w:rPr>
        <w:t xml:space="preserve"> </w:t>
      </w:r>
      <w:r>
        <w:rPr>
          <w:rFonts w:eastAsia="Calibri"/>
          <w:b/>
          <w:bCs/>
          <w:color w:val="000000"/>
          <w:lang w:val="es-GT" w:eastAsia="es-GT"/>
        </w:rPr>
        <w:t xml:space="preserve">Junio </w:t>
      </w:r>
      <w:r w:rsidRPr="00124AD6">
        <w:rPr>
          <w:rFonts w:eastAsia="Calibri"/>
          <w:b/>
          <w:bCs/>
          <w:color w:val="000000"/>
          <w:lang w:val="es-GT" w:eastAsia="es-GT"/>
        </w:rPr>
        <w:t>20</w:t>
      </w:r>
      <w:r>
        <w:rPr>
          <w:rFonts w:eastAsia="Calibri"/>
          <w:b/>
          <w:bCs/>
          <w:color w:val="000000"/>
          <w:lang w:val="es-GT" w:eastAsia="es-GT"/>
        </w:rPr>
        <w:t>21*</w:t>
      </w:r>
    </w:p>
    <w:p w:rsidR="00344C28" w:rsidRPr="00124AD6" w:rsidRDefault="00344C28" w:rsidP="00344C28">
      <w:pPr>
        <w:jc w:val="center"/>
        <w:rPr>
          <w:lang w:val="es-MX"/>
        </w:rPr>
      </w:pPr>
      <w:r w:rsidRPr="00124AD6">
        <w:rPr>
          <w:rFonts w:eastAsia="Calibri"/>
          <w:b/>
          <w:bCs/>
          <w:color w:val="000000"/>
          <w:lang w:val="es-GT" w:eastAsia="es-GT"/>
        </w:rPr>
        <w:t>Puntos</w:t>
      </w:r>
    </w:p>
    <w:p w:rsidR="00344C28" w:rsidRDefault="00344C28" w:rsidP="00344C28">
      <w:pPr>
        <w:jc w:val="both"/>
        <w:rPr>
          <w:lang w:val="es-MX"/>
        </w:rPr>
      </w:pPr>
    </w:p>
    <w:p w:rsidR="00344C28" w:rsidRDefault="00344C28" w:rsidP="00344C28">
      <w:pPr>
        <w:jc w:val="both"/>
        <w:rPr>
          <w:lang w:val="es-MX"/>
        </w:rPr>
      </w:pPr>
      <w:r>
        <w:rPr>
          <w:noProof/>
          <w:lang w:val="es-GT" w:eastAsia="es-GT"/>
        </w:rPr>
        <w:drawing>
          <wp:inline distT="0" distB="0" distL="0" distR="0" wp14:anchorId="5C8C8286" wp14:editId="15782EF7">
            <wp:extent cx="5762625" cy="2914650"/>
            <wp:effectExtent l="0" t="0" r="0" b="0"/>
            <wp:docPr id="12" name="Gráfico 12">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44C28" w:rsidRDefault="00344C28" w:rsidP="00344C28">
      <w:pPr>
        <w:jc w:val="both"/>
        <w:rPr>
          <w:sz w:val="16"/>
          <w:lang w:val="es-MX"/>
        </w:rPr>
      </w:pPr>
    </w:p>
    <w:p w:rsidR="00344C28" w:rsidRPr="004312A9" w:rsidRDefault="00344C28" w:rsidP="00344C28">
      <w:pPr>
        <w:jc w:val="both"/>
        <w:rPr>
          <w:sz w:val="18"/>
          <w:lang w:val="es-MX"/>
        </w:rPr>
      </w:pPr>
      <w:r>
        <w:rPr>
          <w:sz w:val="16"/>
          <w:lang w:val="es-MX"/>
        </w:rPr>
        <w:t xml:space="preserve">* </w:t>
      </w:r>
      <w:r w:rsidRPr="004312A9">
        <w:rPr>
          <w:sz w:val="18"/>
          <w:lang w:val="es-MX"/>
        </w:rPr>
        <w:t>Al 30 de junio de 2</w:t>
      </w:r>
      <w:r>
        <w:rPr>
          <w:sz w:val="18"/>
          <w:lang w:val="es-MX"/>
        </w:rPr>
        <w:t>021</w:t>
      </w:r>
    </w:p>
    <w:p w:rsidR="00344C28" w:rsidRPr="004312A9" w:rsidRDefault="00344C28" w:rsidP="00344C28">
      <w:pPr>
        <w:jc w:val="both"/>
        <w:rPr>
          <w:sz w:val="18"/>
          <w:lang w:val="es-MX"/>
        </w:rPr>
      </w:pPr>
      <w:r>
        <w:rPr>
          <w:sz w:val="18"/>
          <w:lang w:val="es-MX"/>
        </w:rPr>
        <w:t xml:space="preserve">   </w:t>
      </w:r>
      <w:r w:rsidRPr="004312A9">
        <w:rPr>
          <w:sz w:val="18"/>
          <w:lang w:val="es-MX"/>
        </w:rPr>
        <w:t>Fuente: Banco de Guatemala.</w:t>
      </w:r>
    </w:p>
    <w:p w:rsidR="00344C28" w:rsidRPr="00124AD6" w:rsidRDefault="00344C28" w:rsidP="00344C28">
      <w:pPr>
        <w:jc w:val="both"/>
        <w:rPr>
          <w:lang w:val="es-MX"/>
        </w:rPr>
      </w:pPr>
    </w:p>
    <w:p w:rsidR="00344C28" w:rsidRDefault="00344C28" w:rsidP="00344C28">
      <w:r>
        <w:br w:type="page"/>
      </w:r>
    </w:p>
    <w:p w:rsidR="00250478" w:rsidRDefault="00250478" w:rsidP="00344C28">
      <w:pPr>
        <w:jc w:val="both"/>
      </w:pPr>
    </w:p>
    <w:p w:rsidR="00344C28" w:rsidRDefault="00344C28" w:rsidP="00344C28">
      <w:pPr>
        <w:jc w:val="both"/>
      </w:pPr>
      <w:r>
        <w:t>De acuerdo con el Banco de Guatemala, a</w:t>
      </w:r>
      <w:r w:rsidRPr="009D0467">
        <w:t xml:space="preserve"> </w:t>
      </w:r>
      <w:r>
        <w:t xml:space="preserve">junio </w:t>
      </w:r>
      <w:r w:rsidRPr="009D0467">
        <w:t>de 20</w:t>
      </w:r>
      <w:r>
        <w:t>21</w:t>
      </w:r>
      <w:r w:rsidRPr="009D0467">
        <w:t xml:space="preserve">, el ritmo inflacionario se situó en </w:t>
      </w:r>
      <w:r>
        <w:t>5.2</w:t>
      </w:r>
      <w:r w:rsidRPr="009D0467">
        <w:t xml:space="preserve">%, valor </w:t>
      </w:r>
      <w:r>
        <w:t>superior a</w:t>
      </w:r>
      <w:r w:rsidRPr="009D0467">
        <w:t xml:space="preserve"> la meta de inflación establecida por la Junta Monetaria (4.0 +/- 1 punto porcentual). Entre enero y ju</w:t>
      </w:r>
      <w:r>
        <w:t>n</w:t>
      </w:r>
      <w:r w:rsidRPr="009D0467">
        <w:t xml:space="preserve">io del presente año, la evolución de precios mostró </w:t>
      </w:r>
      <w:r>
        <w:t>una variación interanual, superior en 3.41 puntos porcentuales a lo registrado en junio de 2020 (1.81%).</w:t>
      </w:r>
    </w:p>
    <w:p w:rsidR="00344C28" w:rsidRDefault="00344C28" w:rsidP="00344C28">
      <w:pPr>
        <w:jc w:val="both"/>
      </w:pPr>
    </w:p>
    <w:p w:rsidR="00344C28" w:rsidRPr="008578BF" w:rsidRDefault="00344C28" w:rsidP="00344C28">
      <w:pPr>
        <w:jc w:val="both"/>
      </w:pPr>
      <w:r>
        <w:t xml:space="preserve">La inflación subyacente a junio de 2021 se ubica en 3.0%, cifra superior en 0.92 puntos a la registrada durante el mismo período de 2020. El nivel de inflación que se registró en junio se debe principalmente a un incremento </w:t>
      </w:r>
      <w:r w:rsidRPr="0033652B">
        <w:t xml:space="preserve">en el nivel general de precios, pero especialmente en las divisiones </w:t>
      </w:r>
      <w:r>
        <w:t xml:space="preserve">de transporte (+0.48%), alimentos (+0.29%), muebles y artículos para el hogar (+0.12%), y vivienda (+0.11%); mientras que hubo leves disminuciones en las divisiones de comunicaciones (-0.02%) y educación (-0.01%). (FUNDESA, </w:t>
      </w:r>
      <w:r w:rsidRPr="0033652B">
        <w:t>Reporte de los principales indicadores de la economía durante mayo y junio 202</w:t>
      </w:r>
      <w:r>
        <w:t>1).</w:t>
      </w:r>
    </w:p>
    <w:p w:rsidR="00344C28" w:rsidRPr="0033652B" w:rsidRDefault="00344C28" w:rsidP="00344C28">
      <w:pPr>
        <w:jc w:val="center"/>
      </w:pPr>
    </w:p>
    <w:p w:rsidR="00344C28" w:rsidRPr="0033652B" w:rsidRDefault="00344C28" w:rsidP="00344C28">
      <w:pPr>
        <w:autoSpaceDE w:val="0"/>
        <w:autoSpaceDN w:val="0"/>
        <w:adjustRightInd w:val="0"/>
        <w:rPr>
          <w:rFonts w:ascii="Atlas Grotesk Regular" w:eastAsia="Calibri" w:hAnsi="Atlas Grotesk Regular" w:cs="Atlas Grotesk Regular"/>
          <w:color w:val="000000"/>
          <w:lang w:val="es-MX" w:eastAsia="es-MX"/>
        </w:rPr>
      </w:pPr>
    </w:p>
    <w:p w:rsidR="00344C28" w:rsidRPr="00124AD6" w:rsidRDefault="00344C28" w:rsidP="00344C28">
      <w:pPr>
        <w:jc w:val="center"/>
        <w:rPr>
          <w:b/>
        </w:rPr>
      </w:pPr>
      <w:r w:rsidRPr="00124AD6">
        <w:rPr>
          <w:b/>
        </w:rPr>
        <w:t xml:space="preserve">Gráfica </w:t>
      </w:r>
      <w:r>
        <w:rPr>
          <w:b/>
        </w:rPr>
        <w:t>5</w:t>
      </w:r>
    </w:p>
    <w:p w:rsidR="00344C28" w:rsidRDefault="00344C28" w:rsidP="00344C28">
      <w:pPr>
        <w:jc w:val="center"/>
        <w:rPr>
          <w:b/>
        </w:rPr>
      </w:pPr>
      <w:r w:rsidRPr="00124AD6">
        <w:rPr>
          <w:b/>
        </w:rPr>
        <w:t>Guatemala: Ritmo Inflacionario</w:t>
      </w:r>
      <w:r>
        <w:rPr>
          <w:b/>
        </w:rPr>
        <w:t xml:space="preserve"> Total e Inflación Subyacente</w:t>
      </w:r>
    </w:p>
    <w:p w:rsidR="00344C28" w:rsidRDefault="00344C28" w:rsidP="00344C28">
      <w:pPr>
        <w:jc w:val="center"/>
        <w:rPr>
          <w:b/>
        </w:rPr>
      </w:pPr>
      <w:r>
        <w:rPr>
          <w:b/>
        </w:rPr>
        <w:t>Período 2013 - 2021*</w:t>
      </w:r>
    </w:p>
    <w:p w:rsidR="00344C28" w:rsidRPr="000A3371" w:rsidRDefault="00344C28" w:rsidP="00344C28">
      <w:pPr>
        <w:jc w:val="center"/>
        <w:rPr>
          <w:b/>
          <w:lang w:val="es-GT"/>
        </w:rPr>
      </w:pPr>
      <w:r w:rsidRPr="004C237A">
        <w:rPr>
          <w:noProof/>
        </w:rPr>
        <w:t xml:space="preserve"> </w:t>
      </w:r>
      <w:r>
        <w:rPr>
          <w:noProof/>
          <w:lang w:val="es-GT" w:eastAsia="es-GT"/>
        </w:rPr>
        <w:drawing>
          <wp:inline distT="0" distB="0" distL="0" distR="0" wp14:anchorId="37BFF21F" wp14:editId="59B858EA">
            <wp:extent cx="5762625" cy="2905125"/>
            <wp:effectExtent l="0" t="0" r="0" b="0"/>
            <wp:docPr id="45" name="Gráfico 45">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44C28" w:rsidRPr="00117227" w:rsidRDefault="00344C28" w:rsidP="00344C28">
      <w:pPr>
        <w:rPr>
          <w:sz w:val="18"/>
          <w:lang w:val="es-MX"/>
        </w:rPr>
      </w:pPr>
      <w:r w:rsidRPr="00117227">
        <w:rPr>
          <w:sz w:val="18"/>
          <w:lang w:val="es-MX"/>
        </w:rPr>
        <w:t>*</w:t>
      </w:r>
      <w:r>
        <w:rPr>
          <w:sz w:val="18"/>
          <w:lang w:val="es-MX"/>
        </w:rPr>
        <w:t xml:space="preserve"> </w:t>
      </w:r>
      <w:r w:rsidRPr="00117227">
        <w:rPr>
          <w:sz w:val="18"/>
          <w:lang w:val="es-MX"/>
        </w:rPr>
        <w:t xml:space="preserve">Al 30 de junio de </w:t>
      </w:r>
      <w:r>
        <w:rPr>
          <w:sz w:val="18"/>
          <w:lang w:val="es-MX"/>
        </w:rPr>
        <w:t>2021</w:t>
      </w:r>
    </w:p>
    <w:p w:rsidR="00344C28" w:rsidRPr="00117227" w:rsidRDefault="00344C28" w:rsidP="00344C28">
      <w:pPr>
        <w:rPr>
          <w:sz w:val="18"/>
          <w:lang w:val="es-MX"/>
        </w:rPr>
      </w:pPr>
      <w:r>
        <w:rPr>
          <w:sz w:val="18"/>
          <w:lang w:val="es-MX"/>
        </w:rPr>
        <w:t xml:space="preserve">   </w:t>
      </w:r>
      <w:r w:rsidRPr="00117227">
        <w:rPr>
          <w:sz w:val="18"/>
          <w:lang w:val="es-MX"/>
        </w:rPr>
        <w:t>Fuente: Banco de Guatemala.</w:t>
      </w:r>
    </w:p>
    <w:p w:rsidR="00344C28" w:rsidRPr="00117227" w:rsidRDefault="00344C28" w:rsidP="00344C28">
      <w:pPr>
        <w:rPr>
          <w:sz w:val="18"/>
          <w:lang w:val="es-MX"/>
        </w:rPr>
      </w:pPr>
      <w:r>
        <w:rPr>
          <w:sz w:val="18"/>
          <w:lang w:val="es-MX"/>
        </w:rPr>
        <w:t xml:space="preserve">   </w:t>
      </w:r>
      <w:r w:rsidRPr="00117227">
        <w:rPr>
          <w:sz w:val="18"/>
          <w:lang w:val="es-MX"/>
        </w:rPr>
        <w:t xml:space="preserve">Base de datos </w:t>
      </w:r>
      <w:r>
        <w:rPr>
          <w:sz w:val="18"/>
          <w:lang w:val="es-MX"/>
        </w:rPr>
        <w:t>de I</w:t>
      </w:r>
      <w:r w:rsidRPr="00117227">
        <w:rPr>
          <w:sz w:val="18"/>
          <w:lang w:val="es-MX"/>
        </w:rPr>
        <w:t xml:space="preserve">nflación </w:t>
      </w:r>
      <w:r>
        <w:rPr>
          <w:sz w:val="18"/>
          <w:lang w:val="es-MX"/>
        </w:rPr>
        <w:t>S</w:t>
      </w:r>
      <w:r w:rsidRPr="00117227">
        <w:rPr>
          <w:sz w:val="18"/>
          <w:lang w:val="es-MX"/>
        </w:rPr>
        <w:t xml:space="preserve">ubyacente y </w:t>
      </w:r>
      <w:r>
        <w:rPr>
          <w:sz w:val="18"/>
          <w:lang w:val="es-MX"/>
        </w:rPr>
        <w:t>R</w:t>
      </w:r>
      <w:r w:rsidRPr="00117227">
        <w:rPr>
          <w:sz w:val="18"/>
          <w:lang w:val="es-MX"/>
        </w:rPr>
        <w:t xml:space="preserve">itmo </w:t>
      </w:r>
      <w:r>
        <w:rPr>
          <w:sz w:val="18"/>
          <w:lang w:val="es-MX"/>
        </w:rPr>
        <w:t>I</w:t>
      </w:r>
      <w:r w:rsidRPr="00117227">
        <w:rPr>
          <w:sz w:val="18"/>
          <w:lang w:val="es-MX"/>
        </w:rPr>
        <w:t xml:space="preserve">nflacionario </w:t>
      </w:r>
      <w:r>
        <w:rPr>
          <w:sz w:val="18"/>
          <w:lang w:val="es-MX"/>
        </w:rPr>
        <w:t>T</w:t>
      </w:r>
      <w:r w:rsidRPr="00117227">
        <w:rPr>
          <w:sz w:val="18"/>
          <w:lang w:val="es-MX"/>
        </w:rPr>
        <w:t>otal 20</w:t>
      </w:r>
      <w:r>
        <w:rPr>
          <w:sz w:val="18"/>
          <w:lang w:val="es-MX"/>
        </w:rPr>
        <w:t>20</w:t>
      </w:r>
      <w:r w:rsidRPr="00117227">
        <w:rPr>
          <w:sz w:val="18"/>
          <w:lang w:val="es-MX"/>
        </w:rPr>
        <w:t>.</w:t>
      </w:r>
    </w:p>
    <w:p w:rsidR="00344C28" w:rsidRDefault="00344C28" w:rsidP="00344C28">
      <w:pPr>
        <w:jc w:val="both"/>
      </w:pPr>
    </w:p>
    <w:p w:rsidR="00344C28" w:rsidRPr="004C237A" w:rsidRDefault="00344C28" w:rsidP="00344C28"/>
    <w:p w:rsidR="00344C28" w:rsidRDefault="00344C28" w:rsidP="00344C28">
      <w:pPr>
        <w:jc w:val="both"/>
      </w:pPr>
      <w:r>
        <w:rPr>
          <w:lang w:val="es-MX"/>
        </w:rPr>
        <w:t xml:space="preserve">En relación con </w:t>
      </w:r>
      <w:r w:rsidRPr="00124AD6">
        <w:rPr>
          <w:lang w:val="es-MX"/>
        </w:rPr>
        <w:t>las remesas familiares</w:t>
      </w:r>
      <w:r>
        <w:rPr>
          <w:lang w:val="es-MX"/>
        </w:rPr>
        <w:t>, a</w:t>
      </w:r>
      <w:r>
        <w:t xml:space="preserve"> junio </w:t>
      </w:r>
      <w:r w:rsidR="0059069C">
        <w:t xml:space="preserve">de </w:t>
      </w:r>
      <w:r>
        <w:t xml:space="preserve">2021 se registró un monto acumulado de US$6,966.1 millones (monto superior al acumulado a junio </w:t>
      </w:r>
      <w:r w:rsidR="0059069C">
        <w:t xml:space="preserve">de </w:t>
      </w:r>
      <w:r>
        <w:t xml:space="preserve">2020 en US$2,085.9 millones), </w:t>
      </w:r>
      <w:r w:rsidR="0059069C">
        <w:t xml:space="preserve">situación </w:t>
      </w:r>
      <w:r>
        <w:t>que significa un incremento del 42.7%. Para 2021 se espera un incremento de alrededor de 15</w:t>
      </w:r>
      <w:r w:rsidR="0059069C">
        <w:t>.0</w:t>
      </w:r>
      <w:r>
        <w:t>%, llegando a un ingreso estimado en US$13,500</w:t>
      </w:r>
      <w:r w:rsidR="0059069C">
        <w:t>.0</w:t>
      </w:r>
      <w:r>
        <w:t xml:space="preserve"> millones</w:t>
      </w:r>
      <w:r w:rsidR="0059069C">
        <w:t>,</w:t>
      </w:r>
      <w:r>
        <w:t xml:space="preserve"> representando cifras récord.</w:t>
      </w:r>
    </w:p>
    <w:p w:rsidR="00344C28" w:rsidRDefault="00344C28" w:rsidP="00344C28">
      <w:pPr>
        <w:jc w:val="both"/>
        <w:rPr>
          <w:b/>
        </w:rPr>
      </w:pPr>
    </w:p>
    <w:p w:rsidR="00250478" w:rsidRDefault="00250478" w:rsidP="00344C28">
      <w:pPr>
        <w:jc w:val="both"/>
        <w:rPr>
          <w:b/>
        </w:rPr>
      </w:pPr>
    </w:p>
    <w:p w:rsidR="00344C28" w:rsidRDefault="00344C28" w:rsidP="00344C28">
      <w:pPr>
        <w:jc w:val="both"/>
        <w:rPr>
          <w:b/>
        </w:rPr>
      </w:pPr>
    </w:p>
    <w:p w:rsidR="00344C28" w:rsidRPr="00124AD6" w:rsidRDefault="00344C28" w:rsidP="00344C28">
      <w:pPr>
        <w:jc w:val="center"/>
        <w:rPr>
          <w:b/>
        </w:rPr>
      </w:pPr>
      <w:r w:rsidRPr="00124AD6">
        <w:rPr>
          <w:b/>
        </w:rPr>
        <w:t xml:space="preserve">Gráfica </w:t>
      </w:r>
      <w:r>
        <w:rPr>
          <w:b/>
        </w:rPr>
        <w:t>6</w:t>
      </w:r>
    </w:p>
    <w:p w:rsidR="00344C28" w:rsidRDefault="00344C28" w:rsidP="00344C28">
      <w:pPr>
        <w:jc w:val="center"/>
        <w:rPr>
          <w:b/>
        </w:rPr>
      </w:pPr>
      <w:r w:rsidRPr="00124AD6">
        <w:rPr>
          <w:b/>
        </w:rPr>
        <w:t>Guatemala: Remesas Familiares</w:t>
      </w:r>
    </w:p>
    <w:p w:rsidR="00344C28" w:rsidRPr="00124AD6" w:rsidRDefault="00344C28" w:rsidP="00344C28">
      <w:pPr>
        <w:jc w:val="center"/>
        <w:rPr>
          <w:b/>
        </w:rPr>
      </w:pPr>
      <w:r>
        <w:rPr>
          <w:b/>
        </w:rPr>
        <w:t>En Millones de US Dólares</w:t>
      </w:r>
    </w:p>
    <w:p w:rsidR="00344C28" w:rsidRDefault="00344C28" w:rsidP="00344C28">
      <w:pPr>
        <w:jc w:val="center"/>
        <w:rPr>
          <w:b/>
        </w:rPr>
      </w:pPr>
      <w:r w:rsidRPr="00124AD6">
        <w:rPr>
          <w:b/>
        </w:rPr>
        <w:t xml:space="preserve">(Acumulado </w:t>
      </w:r>
      <w:r>
        <w:rPr>
          <w:b/>
        </w:rPr>
        <w:t>A</w:t>
      </w:r>
      <w:r w:rsidRPr="00124AD6">
        <w:rPr>
          <w:b/>
        </w:rPr>
        <w:t xml:space="preserve">nual 2010 </w:t>
      </w:r>
      <w:r>
        <w:rPr>
          <w:b/>
        </w:rPr>
        <w:t>–</w:t>
      </w:r>
      <w:r w:rsidRPr="00124AD6">
        <w:rPr>
          <w:b/>
        </w:rPr>
        <w:t xml:space="preserve"> 20</w:t>
      </w:r>
      <w:r>
        <w:rPr>
          <w:b/>
        </w:rPr>
        <w:t>21*</w:t>
      </w:r>
      <w:r w:rsidRPr="00124AD6">
        <w:rPr>
          <w:b/>
        </w:rPr>
        <w:t>)</w:t>
      </w:r>
    </w:p>
    <w:p w:rsidR="00344C28" w:rsidRDefault="00344C28" w:rsidP="00344C28">
      <w:pPr>
        <w:jc w:val="center"/>
        <w:rPr>
          <w:b/>
        </w:rPr>
      </w:pPr>
    </w:p>
    <w:p w:rsidR="00344C28" w:rsidRDefault="00344C28" w:rsidP="00344C28">
      <w:pPr>
        <w:jc w:val="center"/>
        <w:rPr>
          <w:b/>
        </w:rPr>
      </w:pPr>
      <w:r>
        <w:rPr>
          <w:noProof/>
          <w:lang w:val="es-GT" w:eastAsia="es-GT"/>
        </w:rPr>
        <w:drawing>
          <wp:inline distT="0" distB="0" distL="0" distR="0" wp14:anchorId="5E6FDFA2" wp14:editId="04E34004">
            <wp:extent cx="5762625" cy="4029075"/>
            <wp:effectExtent l="0" t="0" r="0" b="0"/>
            <wp:docPr id="46" name="Gráfico 46">
              <a:extLst xmlns:a="http://schemas.openxmlformats.org/drawingml/2006/main">
                <a:ext uri="{FF2B5EF4-FFF2-40B4-BE49-F238E27FC236}">
                  <a16:creationId xmlns:a16="http://schemas.microsoft.com/office/drawing/2014/main" id="{4F7159A2-F0F1-4B6D-8B61-37A6EC214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44C28" w:rsidRPr="00117227" w:rsidRDefault="00344C28" w:rsidP="00344C28">
      <w:pPr>
        <w:jc w:val="both"/>
        <w:rPr>
          <w:noProof/>
          <w:sz w:val="18"/>
        </w:rPr>
      </w:pPr>
      <w:r>
        <w:rPr>
          <w:noProof/>
          <w:sz w:val="18"/>
        </w:rPr>
        <w:t xml:space="preserve">  </w:t>
      </w:r>
      <w:r w:rsidRPr="00117227">
        <w:rPr>
          <w:noProof/>
          <w:sz w:val="18"/>
        </w:rPr>
        <w:t>*</w:t>
      </w:r>
      <w:r>
        <w:rPr>
          <w:noProof/>
          <w:sz w:val="18"/>
        </w:rPr>
        <w:t xml:space="preserve"> </w:t>
      </w:r>
      <w:r w:rsidRPr="00117227">
        <w:rPr>
          <w:noProof/>
          <w:sz w:val="18"/>
        </w:rPr>
        <w:t xml:space="preserve">Acumulado al 30 de junio </w:t>
      </w:r>
      <w:r>
        <w:rPr>
          <w:noProof/>
          <w:sz w:val="18"/>
        </w:rPr>
        <w:t>de 2021</w:t>
      </w:r>
    </w:p>
    <w:p w:rsidR="00344C28" w:rsidRPr="00117227" w:rsidRDefault="00344C28" w:rsidP="00344C28">
      <w:pPr>
        <w:jc w:val="both"/>
        <w:rPr>
          <w:noProof/>
          <w:sz w:val="18"/>
        </w:rPr>
      </w:pPr>
      <w:r>
        <w:rPr>
          <w:noProof/>
          <w:sz w:val="18"/>
        </w:rPr>
        <w:t xml:space="preserve">     </w:t>
      </w:r>
      <w:r w:rsidRPr="00117227">
        <w:rPr>
          <w:noProof/>
          <w:sz w:val="18"/>
        </w:rPr>
        <w:t>Fuente: Banco de Guatemala.</w:t>
      </w:r>
    </w:p>
    <w:p w:rsidR="00344C28" w:rsidRDefault="00344C28" w:rsidP="00344C28">
      <w:pPr>
        <w:rPr>
          <w:lang w:val="es-MX"/>
        </w:rPr>
      </w:pPr>
    </w:p>
    <w:p w:rsidR="00344C28" w:rsidRDefault="00344C28" w:rsidP="00344C28">
      <w:pPr>
        <w:jc w:val="both"/>
        <w:rPr>
          <w:lang w:val="es-MX"/>
        </w:rPr>
      </w:pPr>
      <w:r>
        <w:rPr>
          <w:lang w:val="es-MX"/>
        </w:rPr>
        <w:t xml:space="preserve">Las </w:t>
      </w:r>
      <w:r w:rsidRPr="00124AD6">
        <w:rPr>
          <w:lang w:val="es-MX"/>
        </w:rPr>
        <w:t>Reservas Monetarias Internacionales</w:t>
      </w:r>
      <w:r>
        <w:rPr>
          <w:lang w:val="es-MX"/>
        </w:rPr>
        <w:t xml:space="preserve"> </w:t>
      </w:r>
      <w:r w:rsidRPr="00124AD6">
        <w:rPr>
          <w:lang w:val="es-MX"/>
        </w:rPr>
        <w:t>Netas</w:t>
      </w:r>
      <w:r>
        <w:rPr>
          <w:lang w:val="es-MX"/>
        </w:rPr>
        <w:t xml:space="preserve"> </w:t>
      </w:r>
      <w:r w:rsidR="0059069C">
        <w:rPr>
          <w:lang w:val="es-MX"/>
        </w:rPr>
        <w:t>(</w:t>
      </w:r>
      <w:r>
        <w:rPr>
          <w:lang w:val="es-MX"/>
        </w:rPr>
        <w:t>RIN</w:t>
      </w:r>
      <w:r w:rsidR="0059069C">
        <w:rPr>
          <w:lang w:val="es-MX"/>
        </w:rPr>
        <w:t>)</w:t>
      </w:r>
      <w:r>
        <w:rPr>
          <w:lang w:val="es-MX"/>
        </w:rPr>
        <w:t xml:space="preserve">, </w:t>
      </w:r>
      <w:r w:rsidRPr="00124AD6">
        <w:rPr>
          <w:lang w:val="es-MX"/>
        </w:rPr>
        <w:t xml:space="preserve">continuaron reflejando </w:t>
      </w:r>
      <w:r>
        <w:rPr>
          <w:lang w:val="es-MX"/>
        </w:rPr>
        <w:t>l</w:t>
      </w:r>
      <w:r w:rsidRPr="00124AD6">
        <w:rPr>
          <w:lang w:val="es-MX"/>
        </w:rPr>
        <w:t xml:space="preserve">a sólida posición externa del país. </w:t>
      </w:r>
      <w:r>
        <w:rPr>
          <w:lang w:val="es-MX"/>
        </w:rPr>
        <w:t xml:space="preserve">Al 30 de junio de 2021 </w:t>
      </w:r>
      <w:r w:rsidRPr="00124AD6">
        <w:rPr>
          <w:lang w:val="es-MX"/>
        </w:rPr>
        <w:t>se situ</w:t>
      </w:r>
      <w:r>
        <w:rPr>
          <w:lang w:val="es-MX"/>
        </w:rPr>
        <w:t>aron</w:t>
      </w:r>
      <w:r w:rsidRPr="00124AD6">
        <w:rPr>
          <w:lang w:val="es-MX"/>
        </w:rPr>
        <w:t xml:space="preserve"> en US$</w:t>
      </w:r>
      <w:r>
        <w:rPr>
          <w:lang w:val="es-MX"/>
        </w:rPr>
        <w:t>18,748.8</w:t>
      </w:r>
      <w:r w:rsidRPr="00124AD6">
        <w:rPr>
          <w:lang w:val="es-MX"/>
        </w:rPr>
        <w:t xml:space="preserve"> millones, </w:t>
      </w:r>
      <w:r>
        <w:rPr>
          <w:lang w:val="es-MX"/>
        </w:rPr>
        <w:t xml:space="preserve">monto superior en </w:t>
      </w:r>
      <w:r w:rsidRPr="00124AD6">
        <w:rPr>
          <w:lang w:val="es-MX"/>
        </w:rPr>
        <w:t>US$</w:t>
      </w:r>
      <w:r>
        <w:rPr>
          <w:lang w:val="es-MX"/>
        </w:rPr>
        <w:t xml:space="preserve">280.6 millones, </w:t>
      </w:r>
      <w:r w:rsidRPr="00124AD6">
        <w:rPr>
          <w:lang w:val="es-MX"/>
        </w:rPr>
        <w:t>equivalente</w:t>
      </w:r>
      <w:r>
        <w:rPr>
          <w:lang w:val="es-MX"/>
        </w:rPr>
        <w:t>s</w:t>
      </w:r>
      <w:r w:rsidRPr="00124AD6">
        <w:rPr>
          <w:lang w:val="es-MX"/>
        </w:rPr>
        <w:t xml:space="preserve"> a </w:t>
      </w:r>
      <w:r>
        <w:rPr>
          <w:lang w:val="es-MX"/>
        </w:rPr>
        <w:t>1.5%</w:t>
      </w:r>
      <w:r w:rsidRPr="00124AD6">
        <w:rPr>
          <w:lang w:val="es-MX"/>
        </w:rPr>
        <w:t xml:space="preserve"> de incremento </w:t>
      </w:r>
      <w:r w:rsidR="0059069C">
        <w:rPr>
          <w:lang w:val="es-MX"/>
        </w:rPr>
        <w:t xml:space="preserve">con </w:t>
      </w:r>
      <w:r w:rsidRPr="00124AD6">
        <w:rPr>
          <w:lang w:val="es-MX"/>
        </w:rPr>
        <w:t>respecto a</w:t>
      </w:r>
      <w:r>
        <w:rPr>
          <w:lang w:val="es-MX"/>
        </w:rPr>
        <w:t xml:space="preserve"> diciembre</w:t>
      </w:r>
      <w:r w:rsidRPr="00124AD6">
        <w:rPr>
          <w:lang w:val="es-MX"/>
        </w:rPr>
        <w:t xml:space="preserve"> </w:t>
      </w:r>
      <w:r>
        <w:rPr>
          <w:lang w:val="es-MX"/>
        </w:rPr>
        <w:t xml:space="preserve">de </w:t>
      </w:r>
      <w:r w:rsidRPr="00124AD6">
        <w:rPr>
          <w:lang w:val="es-MX"/>
        </w:rPr>
        <w:t>20</w:t>
      </w:r>
      <w:r>
        <w:rPr>
          <w:lang w:val="es-MX"/>
        </w:rPr>
        <w:t>20</w:t>
      </w:r>
      <w:r w:rsidRPr="00124AD6">
        <w:rPr>
          <w:lang w:val="es-MX"/>
        </w:rPr>
        <w:t>.</w:t>
      </w:r>
    </w:p>
    <w:p w:rsidR="00344C28" w:rsidRDefault="00344C28" w:rsidP="00344C28">
      <w:pPr>
        <w:jc w:val="both"/>
        <w:rPr>
          <w:lang w:val="es-MX"/>
        </w:rPr>
      </w:pPr>
    </w:p>
    <w:p w:rsidR="00344C28" w:rsidRDefault="00344C28" w:rsidP="00344C28">
      <w:pPr>
        <w:jc w:val="both"/>
        <w:rPr>
          <w:lang w:val="es-MX"/>
        </w:rPr>
      </w:pPr>
      <w:r>
        <w:t>El resultado, se debe principalmente, a la colocación de bonos del tesoro en el mercado internacional, de las compras netas por activación de la regla cambiaria, de la acumulación de reservas y de la colocación en el mercado nacional de bonos expresados en dólares estadounidenses; lo cual fue compensado, parcialmente, por los pagos netos por deuda externa del sector público y por el pago de intereses de los depósitos a plazo en dólares de los Estados Unidos de América emitidos por el Gobierno de la República. El referido nivel de RIN equivale a 12.0 meses de importaciones de bienes, lo que refleja la sólida posición externa del país.</w:t>
      </w:r>
      <w:r>
        <w:rPr>
          <w:lang w:val="es-MX"/>
        </w:rPr>
        <w:t xml:space="preserve"> (Banco de Guatemala, julio de 2021).</w:t>
      </w:r>
    </w:p>
    <w:p w:rsidR="00344C28" w:rsidRDefault="00344C28" w:rsidP="00344C28">
      <w:pPr>
        <w:jc w:val="both"/>
        <w:rPr>
          <w:lang w:val="es-MX"/>
        </w:rPr>
      </w:pPr>
    </w:p>
    <w:p w:rsidR="00344C28" w:rsidRDefault="00344C28" w:rsidP="00344C28">
      <w:pPr>
        <w:rPr>
          <w:b/>
          <w:lang w:val="es-MX"/>
        </w:rPr>
      </w:pPr>
    </w:p>
    <w:p w:rsidR="00344C28" w:rsidRDefault="00344C28" w:rsidP="00344C28">
      <w:pPr>
        <w:jc w:val="center"/>
        <w:rPr>
          <w:b/>
          <w:lang w:val="es-MX"/>
        </w:rPr>
      </w:pPr>
    </w:p>
    <w:p w:rsidR="00344C28" w:rsidRPr="00124AD6" w:rsidRDefault="00344C28" w:rsidP="00344C28">
      <w:pPr>
        <w:jc w:val="center"/>
        <w:rPr>
          <w:b/>
          <w:lang w:val="es-MX"/>
        </w:rPr>
      </w:pPr>
      <w:r w:rsidRPr="00124AD6">
        <w:rPr>
          <w:b/>
          <w:lang w:val="es-MX"/>
        </w:rPr>
        <w:lastRenderedPageBreak/>
        <w:t xml:space="preserve">Gráfica </w:t>
      </w:r>
      <w:r>
        <w:rPr>
          <w:b/>
          <w:lang w:val="es-MX"/>
        </w:rPr>
        <w:t>7</w:t>
      </w:r>
    </w:p>
    <w:p w:rsidR="00344C28" w:rsidRPr="00124AD6" w:rsidRDefault="00344C28" w:rsidP="00344C28">
      <w:pPr>
        <w:jc w:val="center"/>
        <w:rPr>
          <w:b/>
          <w:lang w:val="es-MX"/>
        </w:rPr>
      </w:pPr>
      <w:r w:rsidRPr="00124AD6">
        <w:rPr>
          <w:b/>
          <w:lang w:val="es-MX"/>
        </w:rPr>
        <w:t>Reservas Monetarias Internacionales 2010</w:t>
      </w:r>
      <w:r>
        <w:rPr>
          <w:b/>
          <w:lang w:val="es-MX"/>
        </w:rPr>
        <w:t xml:space="preserve"> </w:t>
      </w:r>
      <w:r w:rsidRPr="00124AD6">
        <w:rPr>
          <w:b/>
          <w:lang w:val="es-MX"/>
        </w:rPr>
        <w:t>-</w:t>
      </w:r>
      <w:r>
        <w:rPr>
          <w:b/>
          <w:lang w:val="es-MX"/>
        </w:rPr>
        <w:t xml:space="preserve"> </w:t>
      </w:r>
      <w:r w:rsidRPr="00124AD6">
        <w:rPr>
          <w:b/>
          <w:lang w:val="es-MX"/>
        </w:rPr>
        <w:t>20</w:t>
      </w:r>
      <w:r>
        <w:rPr>
          <w:b/>
          <w:lang w:val="es-MX"/>
        </w:rPr>
        <w:t>21*</w:t>
      </w:r>
    </w:p>
    <w:p w:rsidR="00344C28" w:rsidRDefault="00344C28" w:rsidP="00344C28">
      <w:pPr>
        <w:jc w:val="center"/>
        <w:rPr>
          <w:noProof/>
          <w:lang w:val="es-GT" w:eastAsia="es-GT"/>
        </w:rPr>
      </w:pPr>
      <w:r w:rsidRPr="00124AD6">
        <w:rPr>
          <w:b/>
          <w:lang w:val="es-MX"/>
        </w:rPr>
        <w:t>(En Millones de US Dólares)</w:t>
      </w:r>
    </w:p>
    <w:p w:rsidR="00344C28" w:rsidRDefault="00344C28" w:rsidP="00344C28">
      <w:pPr>
        <w:jc w:val="center"/>
        <w:rPr>
          <w:b/>
          <w:lang w:val="es-MX"/>
        </w:rPr>
      </w:pPr>
      <w:r>
        <w:rPr>
          <w:noProof/>
          <w:lang w:val="es-GT" w:eastAsia="es-GT"/>
        </w:rPr>
        <w:drawing>
          <wp:inline distT="0" distB="0" distL="0" distR="0" wp14:anchorId="1D1B9E17" wp14:editId="478C9A84">
            <wp:extent cx="5762625" cy="3457575"/>
            <wp:effectExtent l="0" t="0" r="0" b="0"/>
            <wp:docPr id="47" name="Gráfico 47">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44C28" w:rsidRPr="00131277" w:rsidRDefault="00344C28" w:rsidP="00344C28">
      <w:pPr>
        <w:rPr>
          <w:sz w:val="18"/>
          <w:lang w:val="es-MX"/>
        </w:rPr>
      </w:pPr>
      <w:r>
        <w:rPr>
          <w:sz w:val="18"/>
          <w:lang w:val="es-MX"/>
        </w:rPr>
        <w:t xml:space="preserve">      </w:t>
      </w:r>
      <w:r w:rsidRPr="00131277">
        <w:rPr>
          <w:sz w:val="18"/>
          <w:lang w:val="es-MX"/>
        </w:rPr>
        <w:t>*</w:t>
      </w:r>
      <w:r>
        <w:rPr>
          <w:sz w:val="18"/>
          <w:lang w:val="es-MX"/>
        </w:rPr>
        <w:t xml:space="preserve"> </w:t>
      </w:r>
      <w:r w:rsidRPr="00131277">
        <w:rPr>
          <w:sz w:val="18"/>
          <w:lang w:val="es-MX"/>
        </w:rPr>
        <w:t>Acumulado al 30 de junio de 2</w:t>
      </w:r>
      <w:r>
        <w:rPr>
          <w:sz w:val="18"/>
          <w:lang w:val="es-MX"/>
        </w:rPr>
        <w:t>021</w:t>
      </w:r>
    </w:p>
    <w:p w:rsidR="00344C28" w:rsidRPr="00124AD6" w:rsidRDefault="00344C28" w:rsidP="00344C28">
      <w:pPr>
        <w:rPr>
          <w:lang w:val="es-MX"/>
        </w:rPr>
      </w:pPr>
      <w:r>
        <w:rPr>
          <w:sz w:val="18"/>
          <w:lang w:val="es-MX"/>
        </w:rPr>
        <w:t xml:space="preserve">         </w:t>
      </w:r>
      <w:r w:rsidRPr="00131277">
        <w:rPr>
          <w:sz w:val="18"/>
          <w:lang w:val="es-MX"/>
        </w:rPr>
        <w:t>Fuente: Banco de Guatemala</w:t>
      </w:r>
      <w:r>
        <w:rPr>
          <w:sz w:val="16"/>
          <w:lang w:val="es-MX"/>
        </w:rPr>
        <w:t>.</w:t>
      </w:r>
    </w:p>
    <w:p w:rsidR="00344C28" w:rsidRDefault="00344C28" w:rsidP="00344C28">
      <w:pPr>
        <w:rPr>
          <w:lang w:val="es-MX"/>
        </w:rPr>
      </w:pPr>
    </w:p>
    <w:p w:rsidR="00344C28" w:rsidRPr="00AA5C01" w:rsidRDefault="00344C28" w:rsidP="00344C28">
      <w:pPr>
        <w:jc w:val="both"/>
        <w:rPr>
          <w:sz w:val="14"/>
          <w:lang w:val="es-MX"/>
        </w:rPr>
      </w:pPr>
    </w:p>
    <w:p w:rsidR="00344C28" w:rsidRDefault="00344C28" w:rsidP="00344C28">
      <w:pPr>
        <w:jc w:val="both"/>
      </w:pPr>
      <w:r>
        <w:rPr>
          <w:lang w:val="es-MX"/>
        </w:rPr>
        <w:t xml:space="preserve">Respecto de la Tasa Líder de Política Monetaria, </w:t>
      </w:r>
      <w:r>
        <w:t>durante el primer semestre de 2021, conforme el calendario previsto, la Junta Monetaria se reunió en febrero, marzo, abril, mayo y junio</w:t>
      </w:r>
      <w:r w:rsidR="0048782C">
        <w:t>,</w:t>
      </w:r>
      <w:r>
        <w:t xml:space="preserve"> para decidir sobre el nivel de la tasa de interés líder de </w:t>
      </w:r>
      <w:r w:rsidR="0048782C">
        <w:t xml:space="preserve">la </w:t>
      </w:r>
      <w:r>
        <w:t>política monetaria. En dichas sesiones, la Junta Monetaria decidió mantener la tasa en 1.75%, tomando como base el análisis integral de la coyuntura tanto externa como interna, expresado en un b</w:t>
      </w:r>
      <w:r w:rsidR="0048782C">
        <w:t>alance de riesgos de inflación.</w:t>
      </w:r>
    </w:p>
    <w:p w:rsidR="00344C28" w:rsidRDefault="00344C28" w:rsidP="00344C28">
      <w:pPr>
        <w:jc w:val="both"/>
      </w:pPr>
    </w:p>
    <w:p w:rsidR="00344C28" w:rsidRDefault="00344C28" w:rsidP="00344C28">
      <w:pPr>
        <w:jc w:val="both"/>
      </w:pPr>
      <w:r>
        <w:t>En el ámbito externo, entre otros aspectos, destacó que las perspectivas de crecimiento económico a nivel mundial siguen anticipando un ritmo dinámico tanto para 2021 como para 2022; El precio internacional del petróleo ha registrado alzas en las últimas semanas y continúa anticipando que, en el escenario base, el precio medio durante el presente año y el próximo, sería superior al observado en 2020. No obstante, enfatizó que siguen existiendo algunos riesgos, particularmente los asociados a la evolución de la pandemia.</w:t>
      </w:r>
    </w:p>
    <w:p w:rsidR="00344C28" w:rsidRDefault="00344C28" w:rsidP="00344C28">
      <w:pPr>
        <w:jc w:val="both"/>
      </w:pPr>
    </w:p>
    <w:p w:rsidR="00344C28" w:rsidRDefault="00344C28" w:rsidP="00344C28">
      <w:r>
        <w:br w:type="page"/>
      </w:r>
    </w:p>
    <w:p w:rsidR="00344C28" w:rsidRDefault="00344C28" w:rsidP="00344C28">
      <w:pPr>
        <w:jc w:val="both"/>
        <w:rPr>
          <w:lang w:val="es-MX"/>
        </w:rPr>
      </w:pPr>
      <w:r>
        <w:lastRenderedPageBreak/>
        <w:t>En el ámbito interno, señaló que el comportamiento de algunos indicadores de corto plazo, sustenta el dinamismo de la actividad económica en lo que va del presente año, lo cual es consistente con la estimación de crecimiento económico para 2021</w:t>
      </w:r>
      <w:r w:rsidR="0048782C">
        <w:t>.</w:t>
      </w:r>
      <w:r>
        <w:t xml:space="preserve"> El ritmo inflacionario, a partir de marzo, ha venido desacelerándose gradualmente, aunque aún continúa evidenciando los efectos de base de comparación y de algunos choques de oferta; Los pronósticos y las expectativas de inflación para el presente año y el próximo, continúan ubicándose dentro de la meta </w:t>
      </w:r>
      <w:r>
        <w:rPr>
          <w:lang w:val="es-MX"/>
        </w:rPr>
        <w:t xml:space="preserve">(Banco de Guatemala. </w:t>
      </w:r>
      <w:r>
        <w:t>Desempeño Macroeconómico Reciente y Perspectivas</w:t>
      </w:r>
      <w:r>
        <w:rPr>
          <w:lang w:val="es-MX"/>
        </w:rPr>
        <w:t>, junio de 2021).</w:t>
      </w:r>
    </w:p>
    <w:p w:rsidR="00344C28" w:rsidRDefault="00344C28" w:rsidP="00344C28">
      <w:pPr>
        <w:jc w:val="both"/>
        <w:rPr>
          <w:b/>
          <w:lang w:val="es-MX"/>
        </w:rPr>
      </w:pPr>
    </w:p>
    <w:p w:rsidR="00344C28" w:rsidRPr="00124AD6" w:rsidRDefault="00344C28" w:rsidP="00344C28">
      <w:pPr>
        <w:jc w:val="center"/>
        <w:rPr>
          <w:b/>
          <w:lang w:val="es-MX"/>
        </w:rPr>
      </w:pPr>
      <w:r w:rsidRPr="00124AD6">
        <w:rPr>
          <w:b/>
          <w:lang w:val="es-MX"/>
        </w:rPr>
        <w:t xml:space="preserve">Gráfica </w:t>
      </w:r>
      <w:r>
        <w:rPr>
          <w:b/>
          <w:lang w:val="es-MX"/>
        </w:rPr>
        <w:t>8</w:t>
      </w:r>
    </w:p>
    <w:p w:rsidR="00344C28" w:rsidRPr="00124AD6" w:rsidRDefault="00344C28" w:rsidP="00344C28">
      <w:pPr>
        <w:jc w:val="center"/>
        <w:rPr>
          <w:b/>
          <w:lang w:val="es-MX"/>
        </w:rPr>
      </w:pPr>
      <w:r w:rsidRPr="00124AD6">
        <w:rPr>
          <w:b/>
          <w:lang w:val="es-MX"/>
        </w:rPr>
        <w:t xml:space="preserve">Tasa </w:t>
      </w:r>
      <w:r>
        <w:rPr>
          <w:b/>
          <w:lang w:val="es-MX"/>
        </w:rPr>
        <w:t xml:space="preserve">de Interés </w:t>
      </w:r>
      <w:r w:rsidRPr="00124AD6">
        <w:rPr>
          <w:b/>
          <w:lang w:val="es-MX"/>
        </w:rPr>
        <w:t>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p>
    <w:p w:rsidR="00344C28" w:rsidRPr="00124AD6" w:rsidRDefault="00344C28" w:rsidP="00344C28">
      <w:pPr>
        <w:jc w:val="center"/>
        <w:rPr>
          <w:b/>
          <w:lang w:val="es-MX"/>
        </w:rPr>
      </w:pPr>
      <w:r w:rsidRPr="00124AD6">
        <w:rPr>
          <w:b/>
          <w:lang w:val="es-MX"/>
        </w:rPr>
        <w:t>(Período enero 20</w:t>
      </w:r>
      <w:r>
        <w:rPr>
          <w:b/>
          <w:lang w:val="es-MX"/>
        </w:rPr>
        <w:t>10</w:t>
      </w:r>
      <w:r w:rsidRPr="00124AD6">
        <w:rPr>
          <w:b/>
          <w:lang w:val="es-MX"/>
        </w:rPr>
        <w:t xml:space="preserve"> - </w:t>
      </w:r>
      <w:r>
        <w:rPr>
          <w:b/>
          <w:lang w:val="es-MX"/>
        </w:rPr>
        <w:t>junio</w:t>
      </w:r>
      <w:r w:rsidRPr="00124AD6">
        <w:rPr>
          <w:b/>
          <w:lang w:val="es-MX"/>
        </w:rPr>
        <w:t xml:space="preserve"> 20</w:t>
      </w:r>
      <w:r>
        <w:rPr>
          <w:b/>
          <w:lang w:val="es-MX"/>
        </w:rPr>
        <w:t>21</w:t>
      </w:r>
      <w:r w:rsidRPr="00124AD6">
        <w:rPr>
          <w:b/>
          <w:lang w:val="es-MX"/>
        </w:rPr>
        <w:t>)</w:t>
      </w:r>
    </w:p>
    <w:p w:rsidR="00344C28" w:rsidRDefault="00344C28" w:rsidP="00344C28">
      <w:pPr>
        <w:jc w:val="both"/>
        <w:rPr>
          <w:noProof/>
          <w:lang w:val="es-GT" w:eastAsia="es-GT"/>
        </w:rPr>
      </w:pPr>
    </w:p>
    <w:p w:rsidR="00344C28" w:rsidRDefault="00344C28" w:rsidP="00344C28">
      <w:pPr>
        <w:jc w:val="both"/>
        <w:rPr>
          <w:lang w:val="es-MX"/>
        </w:rPr>
      </w:pPr>
      <w:r>
        <w:rPr>
          <w:noProof/>
          <w:lang w:val="es-GT" w:eastAsia="es-GT"/>
        </w:rPr>
        <w:drawing>
          <wp:inline distT="0" distB="0" distL="0" distR="0" wp14:anchorId="7810A2B3" wp14:editId="313EAAAF">
            <wp:extent cx="5762625" cy="2924175"/>
            <wp:effectExtent l="0" t="0" r="0" b="0"/>
            <wp:docPr id="48" name="Gráfico 48">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44C28" w:rsidRPr="00442774" w:rsidRDefault="008B5E5C" w:rsidP="00344C28">
      <w:pPr>
        <w:rPr>
          <w:sz w:val="16"/>
          <w:lang w:val="es-MX"/>
        </w:rPr>
      </w:pPr>
      <w:r>
        <w:rPr>
          <w:sz w:val="18"/>
          <w:lang w:val="es-MX"/>
        </w:rPr>
        <w:t xml:space="preserve">    </w:t>
      </w:r>
      <w:r w:rsidR="00344C28" w:rsidRPr="00565001">
        <w:rPr>
          <w:sz w:val="18"/>
          <w:lang w:val="es-MX"/>
        </w:rPr>
        <w:t>Fuente: Banco de Guatemala</w:t>
      </w:r>
      <w:r w:rsidR="00344C28">
        <w:rPr>
          <w:sz w:val="16"/>
          <w:lang w:val="es-MX"/>
        </w:rPr>
        <w:t>.</w:t>
      </w:r>
    </w:p>
    <w:p w:rsidR="00344C28" w:rsidRDefault="00344C28" w:rsidP="00344C28">
      <w:pPr>
        <w:jc w:val="both"/>
        <w:rPr>
          <w:lang w:val="es-MX"/>
        </w:rPr>
      </w:pPr>
    </w:p>
    <w:p w:rsidR="00344C28" w:rsidRDefault="00344C28" w:rsidP="00344C28">
      <w:pPr>
        <w:jc w:val="both"/>
        <w:rPr>
          <w:lang w:val="es-MX"/>
        </w:rPr>
      </w:pPr>
    </w:p>
    <w:p w:rsidR="00344C28" w:rsidRDefault="00344C28" w:rsidP="00344C28">
      <w:pPr>
        <w:jc w:val="both"/>
        <w:rPr>
          <w:b/>
          <w:lang w:val="es-MX"/>
        </w:rPr>
      </w:pPr>
      <w:r w:rsidRPr="00F27DAA">
        <w:rPr>
          <w:lang w:val="es-MX"/>
        </w:rPr>
        <w:t xml:space="preserve">De acuerdo con el Banco de Guatemala, </w:t>
      </w:r>
      <w:r>
        <w:rPr>
          <w:lang w:val="es-MX"/>
        </w:rPr>
        <w:t>e</w:t>
      </w:r>
      <w:r w:rsidRPr="00F27DAA">
        <w:rPr>
          <w:lang w:val="es-MX"/>
        </w:rPr>
        <w:t xml:space="preserve">l tipo de cambio </w:t>
      </w:r>
      <w:r>
        <w:rPr>
          <w:lang w:val="es-MX"/>
        </w:rPr>
        <w:t xml:space="preserve">promedio </w:t>
      </w:r>
      <w:r w:rsidRPr="00F27DAA">
        <w:rPr>
          <w:lang w:val="es-MX"/>
        </w:rPr>
        <w:t>nominal registró, al 30 de junio</w:t>
      </w:r>
      <w:r>
        <w:rPr>
          <w:lang w:val="es-MX"/>
        </w:rPr>
        <w:t xml:space="preserve"> de 2021</w:t>
      </w:r>
      <w:r w:rsidR="0048782C">
        <w:rPr>
          <w:lang w:val="es-MX"/>
        </w:rPr>
        <w:t>,</w:t>
      </w:r>
      <w:r>
        <w:rPr>
          <w:lang w:val="es-MX"/>
        </w:rPr>
        <w:t xml:space="preserve"> un valor de Q.7.72 por US$1.00, </w:t>
      </w:r>
      <w:r w:rsidRPr="00F27DAA">
        <w:rPr>
          <w:lang w:val="es-MX"/>
        </w:rPr>
        <w:t>resultado asociado al comportamiento</w:t>
      </w:r>
      <w:r>
        <w:rPr>
          <w:lang w:val="es-MX"/>
        </w:rPr>
        <w:t xml:space="preserve"> de</w:t>
      </w:r>
      <w:r w:rsidRPr="00F27DAA">
        <w:rPr>
          <w:lang w:val="es-MX"/>
        </w:rPr>
        <w:t xml:space="preserve"> factores </w:t>
      </w:r>
      <w:r>
        <w:rPr>
          <w:lang w:val="es-MX"/>
        </w:rPr>
        <w:t>como</w:t>
      </w:r>
      <w:r w:rsidRPr="00F27DAA">
        <w:rPr>
          <w:lang w:val="es-MX"/>
        </w:rPr>
        <w:t xml:space="preserve"> el flujo de remesas familiares</w:t>
      </w:r>
      <w:r>
        <w:rPr>
          <w:lang w:val="es-MX"/>
        </w:rPr>
        <w:t>,</w:t>
      </w:r>
      <w:r w:rsidRPr="00F27DAA">
        <w:rPr>
          <w:lang w:val="es-MX"/>
        </w:rPr>
        <w:t xml:space="preserve"> que creció a un ritmo </w:t>
      </w:r>
      <w:r>
        <w:rPr>
          <w:lang w:val="es-MX"/>
        </w:rPr>
        <w:t xml:space="preserve">mayor </w:t>
      </w:r>
      <w:r w:rsidRPr="00F27DAA">
        <w:rPr>
          <w:lang w:val="es-MX"/>
        </w:rPr>
        <w:t xml:space="preserve">respecto del </w:t>
      </w:r>
      <w:r>
        <w:rPr>
          <w:lang w:val="es-MX"/>
        </w:rPr>
        <w:t>2020.</w:t>
      </w:r>
    </w:p>
    <w:p w:rsidR="00344C28" w:rsidRDefault="00344C28" w:rsidP="00344C28">
      <w:pPr>
        <w:rPr>
          <w:b/>
          <w:lang w:val="es-MX"/>
        </w:rPr>
      </w:pPr>
    </w:p>
    <w:p w:rsidR="00344C28" w:rsidRDefault="00344C28" w:rsidP="00344C28">
      <w:r>
        <w:br w:type="page"/>
      </w:r>
    </w:p>
    <w:p w:rsidR="00344C28" w:rsidRDefault="00344C28" w:rsidP="00344C28">
      <w:pPr>
        <w:jc w:val="both"/>
      </w:pPr>
      <w:r>
        <w:lastRenderedPageBreak/>
        <w:t>El Banco de Guatemala, conforme a la política cambiaria vigente utilizó la regla de participación en el Mercado Institucional de Divisas en el acumulado al 23 de junio de 2021</w:t>
      </w:r>
      <w:r w:rsidR="00C73AC9">
        <w:t>. E</w:t>
      </w:r>
      <w:r>
        <w:t>l Banco de Guatemala reporta la compra por el mecanismo de activación de la regla cambiaria de US$282.4 millones; y por el mecanismo de acumulación de reservas monetarias internacionales de US$752.7 millones, adicionalmente reporta ventas por US$54.0 millones.</w:t>
      </w:r>
    </w:p>
    <w:p w:rsidR="00344C28" w:rsidRPr="004A4222" w:rsidRDefault="00344C28" w:rsidP="00344C28">
      <w:pPr>
        <w:rPr>
          <w:b/>
        </w:rPr>
      </w:pPr>
    </w:p>
    <w:p w:rsidR="00344C28" w:rsidRPr="00124AD6" w:rsidRDefault="00344C28" w:rsidP="00344C28">
      <w:pPr>
        <w:jc w:val="center"/>
        <w:rPr>
          <w:b/>
          <w:lang w:val="es-MX"/>
        </w:rPr>
      </w:pPr>
      <w:r w:rsidRPr="00124AD6">
        <w:rPr>
          <w:b/>
          <w:lang w:val="es-MX"/>
        </w:rPr>
        <w:t xml:space="preserve">Gráfica </w:t>
      </w:r>
      <w:r>
        <w:rPr>
          <w:b/>
          <w:lang w:val="es-MX"/>
        </w:rPr>
        <w:t>9</w:t>
      </w:r>
    </w:p>
    <w:p w:rsidR="00344C28" w:rsidRPr="00124AD6" w:rsidRDefault="00344C28" w:rsidP="00344C28">
      <w:pPr>
        <w:jc w:val="center"/>
        <w:rPr>
          <w:b/>
          <w:lang w:val="es-MX"/>
        </w:rPr>
      </w:pPr>
      <w:r w:rsidRPr="00124AD6">
        <w:rPr>
          <w:b/>
          <w:lang w:val="es-MX"/>
        </w:rPr>
        <w:t>Tipo de Cambio</w:t>
      </w:r>
    </w:p>
    <w:p w:rsidR="00344C28" w:rsidRDefault="00344C28" w:rsidP="00344C28">
      <w:pPr>
        <w:jc w:val="center"/>
        <w:rPr>
          <w:b/>
          <w:lang w:val="es-MX"/>
        </w:rPr>
      </w:pPr>
      <w:r w:rsidRPr="00124AD6">
        <w:rPr>
          <w:b/>
          <w:lang w:val="es-MX"/>
        </w:rPr>
        <w:t>(Quetzales por US</w:t>
      </w:r>
      <w:r>
        <w:rPr>
          <w:b/>
          <w:lang w:val="es-MX"/>
        </w:rPr>
        <w:t>$1.00</w:t>
      </w:r>
      <w:r w:rsidRPr="00124AD6">
        <w:rPr>
          <w:b/>
          <w:lang w:val="es-MX"/>
        </w:rPr>
        <w:t>)</w:t>
      </w:r>
    </w:p>
    <w:p w:rsidR="00344C28" w:rsidRDefault="00344C28" w:rsidP="00344C28">
      <w:pPr>
        <w:jc w:val="center"/>
        <w:rPr>
          <w:noProof/>
          <w:lang w:val="es-GT" w:eastAsia="es-GT"/>
        </w:rPr>
      </w:pPr>
    </w:p>
    <w:p w:rsidR="00344C28" w:rsidRDefault="00344C28" w:rsidP="00344C28">
      <w:pPr>
        <w:jc w:val="center"/>
        <w:rPr>
          <w:b/>
          <w:lang w:val="es-MX"/>
        </w:rPr>
      </w:pPr>
      <w:r>
        <w:rPr>
          <w:noProof/>
          <w:lang w:val="es-GT" w:eastAsia="es-GT"/>
        </w:rPr>
        <w:drawing>
          <wp:inline distT="0" distB="0" distL="0" distR="0" wp14:anchorId="4C26C694" wp14:editId="069CEECA">
            <wp:extent cx="5762625" cy="3095625"/>
            <wp:effectExtent l="0" t="0" r="0" b="0"/>
            <wp:docPr id="49" name="Gráfico 49">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44C28" w:rsidRDefault="00344C28" w:rsidP="00344C28">
      <w:pPr>
        <w:rPr>
          <w:sz w:val="16"/>
          <w:lang w:val="es-MX"/>
        </w:rPr>
      </w:pPr>
      <w:r>
        <w:rPr>
          <w:sz w:val="18"/>
          <w:lang w:val="es-MX"/>
        </w:rPr>
        <w:t xml:space="preserve">  </w:t>
      </w:r>
      <w:r w:rsidRPr="00565001">
        <w:rPr>
          <w:sz w:val="18"/>
          <w:lang w:val="es-MX"/>
        </w:rPr>
        <w:t>Fuente: Banco de Guatemala</w:t>
      </w:r>
      <w:r>
        <w:rPr>
          <w:sz w:val="16"/>
          <w:lang w:val="es-MX"/>
        </w:rPr>
        <w:t>.</w:t>
      </w:r>
    </w:p>
    <w:p w:rsidR="00344C28" w:rsidRDefault="00344C28" w:rsidP="00344C28">
      <w:pPr>
        <w:rPr>
          <w:sz w:val="16"/>
          <w:lang w:val="es-MX"/>
        </w:rPr>
      </w:pPr>
    </w:p>
    <w:p w:rsidR="00344C28" w:rsidRDefault="00344C28" w:rsidP="00344C28"/>
    <w:p w:rsidR="00344C28" w:rsidRDefault="00344C28" w:rsidP="00344C28">
      <w:pPr>
        <w:rPr>
          <w:sz w:val="16"/>
          <w:lang w:val="es-MX"/>
        </w:rPr>
      </w:pPr>
      <w:r>
        <w:rPr>
          <w:sz w:val="16"/>
          <w:lang w:val="es-MX"/>
        </w:rPr>
        <w:br w:type="page"/>
      </w:r>
    </w:p>
    <w:p w:rsidR="00344C28" w:rsidRDefault="00344C28" w:rsidP="00344C28">
      <w:pPr>
        <w:rPr>
          <w:sz w:val="16"/>
          <w:lang w:val="es-MX"/>
        </w:rPr>
      </w:pPr>
    </w:p>
    <w:p w:rsidR="00344C28" w:rsidRPr="00680C5C" w:rsidRDefault="00344C28" w:rsidP="00344C28">
      <w:pPr>
        <w:pStyle w:val="Ttulo1"/>
        <w:numPr>
          <w:ilvl w:val="0"/>
          <w:numId w:val="2"/>
        </w:numPr>
        <w:tabs>
          <w:tab w:val="num" w:pos="0"/>
        </w:tabs>
        <w:suppressAutoHyphens/>
        <w:ind w:left="709"/>
      </w:pPr>
      <w:bookmarkStart w:id="11" w:name="_Toc79146276"/>
      <w:bookmarkStart w:id="12" w:name="_Toc83713622"/>
      <w:r w:rsidRPr="00680C5C">
        <w:t>Situación Financiera de la Administración Central</w:t>
      </w:r>
      <w:bookmarkEnd w:id="11"/>
      <w:bookmarkEnd w:id="12"/>
    </w:p>
    <w:p w:rsidR="00344C28" w:rsidRPr="00835314" w:rsidRDefault="00344C28" w:rsidP="004C636B">
      <w:pPr>
        <w:pStyle w:val="Ttulo2"/>
        <w:numPr>
          <w:ilvl w:val="0"/>
          <w:numId w:val="5"/>
        </w:numPr>
        <w:ind w:left="709" w:hanging="709"/>
        <w:rPr>
          <w:rFonts w:ascii="Times New Roman" w:hAnsi="Times New Roman"/>
          <w:color w:val="auto"/>
          <w:sz w:val="24"/>
        </w:rPr>
      </w:pPr>
      <w:bookmarkStart w:id="13" w:name="_Toc79146277"/>
      <w:bookmarkStart w:id="14" w:name="_Toc83713623"/>
      <w:r w:rsidRPr="00835314">
        <w:rPr>
          <w:rFonts w:ascii="Times New Roman" w:hAnsi="Times New Roman"/>
          <w:color w:val="auto"/>
          <w:sz w:val="24"/>
        </w:rPr>
        <w:t>Ingresos</w:t>
      </w:r>
      <w:bookmarkEnd w:id="13"/>
      <w:bookmarkEnd w:id="14"/>
    </w:p>
    <w:p w:rsidR="00344C28" w:rsidRDefault="00344C28" w:rsidP="00344C28">
      <w:pPr>
        <w:pStyle w:val="Default"/>
        <w:jc w:val="both"/>
        <w:rPr>
          <w:rFonts w:ascii="Times New Roman" w:hAnsi="Times New Roman" w:cs="Times New Roman"/>
        </w:rPr>
      </w:pPr>
    </w:p>
    <w:p w:rsidR="00344C28" w:rsidRPr="009562D6" w:rsidRDefault="00344C28" w:rsidP="00344C28">
      <w:pPr>
        <w:jc w:val="both"/>
        <w:rPr>
          <w:rFonts w:eastAsia="OptimaLTStd"/>
          <w:color w:val="000000"/>
          <w:lang w:val="es-MX"/>
        </w:rPr>
      </w:pPr>
      <w:r w:rsidRPr="009562D6">
        <w:rPr>
          <w:rFonts w:eastAsia="OptimaLTStd"/>
          <w:color w:val="000000"/>
          <w:lang w:val="es-MX"/>
        </w:rPr>
        <w:t xml:space="preserve">La recaudación de ingresos tributarios </w:t>
      </w:r>
      <w:r>
        <w:rPr>
          <w:rFonts w:eastAsia="OptimaLTStd"/>
          <w:color w:val="000000"/>
          <w:lang w:val="es-MX"/>
        </w:rPr>
        <w:t xml:space="preserve">netos </w:t>
      </w:r>
      <w:r w:rsidRPr="009562D6">
        <w:rPr>
          <w:rFonts w:eastAsia="OptimaLTStd"/>
          <w:color w:val="000000"/>
          <w:lang w:val="es-MX"/>
        </w:rPr>
        <w:t xml:space="preserve">acumulada al </w:t>
      </w:r>
      <w:r>
        <w:rPr>
          <w:rFonts w:eastAsia="OptimaLTStd"/>
          <w:color w:val="000000"/>
          <w:lang w:val="es-MX"/>
        </w:rPr>
        <w:t>30</w:t>
      </w:r>
      <w:r w:rsidRPr="009562D6">
        <w:rPr>
          <w:rFonts w:eastAsia="OptimaLTStd"/>
          <w:color w:val="000000"/>
          <w:lang w:val="es-MX"/>
        </w:rPr>
        <w:t xml:space="preserve"> de </w:t>
      </w:r>
      <w:r>
        <w:rPr>
          <w:rFonts w:eastAsia="OptimaLTStd"/>
          <w:color w:val="000000"/>
          <w:lang w:val="es-MX"/>
        </w:rPr>
        <w:t>junio de 2021</w:t>
      </w:r>
      <w:r w:rsidR="00F7094D">
        <w:rPr>
          <w:rFonts w:eastAsia="OptimaLTStd"/>
          <w:color w:val="000000"/>
          <w:lang w:val="es-MX"/>
        </w:rPr>
        <w:t>,</w:t>
      </w:r>
      <w:r w:rsidRPr="009562D6">
        <w:rPr>
          <w:rFonts w:eastAsia="OptimaLTStd"/>
          <w:color w:val="000000"/>
          <w:lang w:val="es-MX"/>
        </w:rPr>
        <w:t xml:space="preserve"> se ubicó en Q.</w:t>
      </w:r>
      <w:r>
        <w:rPr>
          <w:rFonts w:eastAsia="OptimaLTStd"/>
          <w:color w:val="000000"/>
          <w:lang w:val="es-MX"/>
        </w:rPr>
        <w:t>36</w:t>
      </w:r>
      <w:r w:rsidRPr="009562D6">
        <w:rPr>
          <w:rFonts w:eastAsia="OptimaLTStd"/>
          <w:color w:val="000000"/>
          <w:lang w:val="es-MX"/>
        </w:rPr>
        <w:t>,</w:t>
      </w:r>
      <w:r>
        <w:rPr>
          <w:rFonts w:eastAsia="OptimaLTStd"/>
          <w:color w:val="000000"/>
          <w:lang w:val="es-MX"/>
        </w:rPr>
        <w:t>019</w:t>
      </w:r>
      <w:r w:rsidRPr="009562D6">
        <w:rPr>
          <w:rFonts w:eastAsia="OptimaLTStd"/>
          <w:color w:val="000000"/>
          <w:lang w:val="es-MX"/>
        </w:rPr>
        <w:t>.</w:t>
      </w:r>
      <w:r>
        <w:rPr>
          <w:rFonts w:eastAsia="OptimaLTStd"/>
          <w:color w:val="000000"/>
          <w:lang w:val="es-MX"/>
        </w:rPr>
        <w:t>3</w:t>
      </w:r>
      <w:r w:rsidRPr="009562D6">
        <w:rPr>
          <w:rFonts w:eastAsia="OptimaLTStd"/>
          <w:color w:val="000000"/>
          <w:lang w:val="es-MX"/>
        </w:rPr>
        <w:t xml:space="preserve"> millones, lo que representó un incremento de </w:t>
      </w:r>
      <w:r>
        <w:rPr>
          <w:rFonts w:eastAsia="OptimaLTStd"/>
          <w:color w:val="000000"/>
          <w:lang w:val="es-MX"/>
        </w:rPr>
        <w:t>26.5</w:t>
      </w:r>
      <w:r w:rsidRPr="009562D6">
        <w:rPr>
          <w:rFonts w:eastAsia="OptimaLTStd"/>
          <w:color w:val="000000"/>
          <w:lang w:val="es-MX"/>
        </w:rPr>
        <w:t>% respecto de lo observado para el Ejercicio Fiscal 20</w:t>
      </w:r>
      <w:r>
        <w:rPr>
          <w:rFonts w:eastAsia="OptimaLTStd"/>
          <w:color w:val="000000"/>
          <w:lang w:val="es-MX"/>
        </w:rPr>
        <w:t>20</w:t>
      </w:r>
      <w:r w:rsidRPr="009562D6">
        <w:rPr>
          <w:rFonts w:eastAsia="OptimaLTStd"/>
          <w:color w:val="000000"/>
          <w:lang w:val="es-MX"/>
        </w:rPr>
        <w:t>. El crecimiento estuvo apoyado por la recaudación de los impuestos internos</w:t>
      </w:r>
      <w:r>
        <w:rPr>
          <w:rFonts w:eastAsia="OptimaLTStd"/>
          <w:color w:val="000000"/>
          <w:lang w:val="es-MX"/>
        </w:rPr>
        <w:t xml:space="preserve"> entre los que destacan:</w:t>
      </w:r>
      <w:r w:rsidRPr="009562D6">
        <w:rPr>
          <w:rFonts w:eastAsia="OptimaLTStd"/>
          <w:color w:val="000000"/>
          <w:lang w:val="es-MX"/>
        </w:rPr>
        <w:t xml:space="preserve"> el Impuesto </w:t>
      </w:r>
      <w:r>
        <w:rPr>
          <w:rFonts w:eastAsia="OptimaLTStd"/>
          <w:color w:val="000000"/>
          <w:lang w:val="es-MX"/>
        </w:rPr>
        <w:t xml:space="preserve">a la </w:t>
      </w:r>
      <w:r w:rsidRPr="009562D6">
        <w:rPr>
          <w:rFonts w:eastAsia="OptimaLTStd"/>
          <w:color w:val="000000"/>
          <w:lang w:val="es-MX"/>
        </w:rPr>
        <w:t xml:space="preserve">Distribución de Cemento </w:t>
      </w:r>
      <w:r>
        <w:rPr>
          <w:rFonts w:eastAsia="OptimaLTStd"/>
          <w:color w:val="000000"/>
          <w:lang w:val="es-MX"/>
        </w:rPr>
        <w:t>37.7</w:t>
      </w:r>
      <w:r w:rsidRPr="009562D6">
        <w:rPr>
          <w:rFonts w:eastAsia="OptimaLTStd"/>
          <w:color w:val="000000"/>
          <w:lang w:val="es-MX"/>
        </w:rPr>
        <w:t>%</w:t>
      </w:r>
      <w:r>
        <w:rPr>
          <w:rFonts w:eastAsia="OptimaLTStd"/>
          <w:color w:val="000000"/>
          <w:lang w:val="es-MX"/>
        </w:rPr>
        <w:t xml:space="preserve">; </w:t>
      </w:r>
      <w:r w:rsidRPr="009562D6">
        <w:rPr>
          <w:rFonts w:eastAsia="OptimaLTStd"/>
          <w:color w:val="000000"/>
          <w:lang w:val="es-MX"/>
        </w:rPr>
        <w:t xml:space="preserve">a la Distribución de Bebidas </w:t>
      </w:r>
      <w:r>
        <w:rPr>
          <w:rFonts w:eastAsia="OptimaLTStd"/>
          <w:color w:val="000000"/>
          <w:lang w:val="es-MX"/>
        </w:rPr>
        <w:t>23.5</w:t>
      </w:r>
      <w:r w:rsidRPr="009562D6">
        <w:rPr>
          <w:rFonts w:eastAsia="OptimaLTStd"/>
          <w:color w:val="000000"/>
          <w:lang w:val="es-MX"/>
        </w:rPr>
        <w:t>%</w:t>
      </w:r>
      <w:r>
        <w:rPr>
          <w:rFonts w:eastAsia="OptimaLTStd"/>
          <w:color w:val="000000"/>
          <w:lang w:val="es-MX"/>
        </w:rPr>
        <w:t xml:space="preserve">; </w:t>
      </w:r>
      <w:r w:rsidRPr="009562D6">
        <w:rPr>
          <w:rFonts w:eastAsia="OptimaLTStd"/>
          <w:color w:val="000000"/>
          <w:lang w:val="es-MX"/>
        </w:rPr>
        <w:t xml:space="preserve">al Valor Agregado Doméstico </w:t>
      </w:r>
      <w:r>
        <w:rPr>
          <w:rFonts w:eastAsia="OptimaLTStd"/>
          <w:color w:val="000000"/>
          <w:lang w:val="es-MX"/>
        </w:rPr>
        <w:t>19.6</w:t>
      </w:r>
      <w:r w:rsidRPr="009562D6">
        <w:rPr>
          <w:rFonts w:eastAsia="OptimaLTStd"/>
          <w:color w:val="000000"/>
          <w:lang w:val="es-MX"/>
        </w:rPr>
        <w:t xml:space="preserve">%; Tabacos y sus </w:t>
      </w:r>
      <w:r w:rsidR="00F7094D">
        <w:rPr>
          <w:rFonts w:eastAsia="OptimaLTStd"/>
          <w:color w:val="000000"/>
          <w:lang w:val="es-MX"/>
        </w:rPr>
        <w:t>P</w:t>
      </w:r>
      <w:r w:rsidRPr="009562D6">
        <w:rPr>
          <w:rFonts w:eastAsia="OptimaLTStd"/>
          <w:color w:val="000000"/>
          <w:lang w:val="es-MX"/>
        </w:rPr>
        <w:t xml:space="preserve">roductos </w:t>
      </w:r>
      <w:r>
        <w:rPr>
          <w:rFonts w:eastAsia="OptimaLTStd"/>
          <w:color w:val="000000"/>
          <w:lang w:val="es-MX"/>
        </w:rPr>
        <w:t>13.3</w:t>
      </w:r>
      <w:r w:rsidRPr="009562D6">
        <w:rPr>
          <w:rFonts w:eastAsia="OptimaLTStd"/>
          <w:color w:val="000000"/>
          <w:lang w:val="es-MX"/>
        </w:rPr>
        <w:t xml:space="preserve">% e Impuesto de Solidaridad </w:t>
      </w:r>
      <w:r>
        <w:rPr>
          <w:rFonts w:eastAsia="OptimaLTStd"/>
          <w:color w:val="000000"/>
          <w:lang w:val="es-MX"/>
        </w:rPr>
        <w:t>8.2</w:t>
      </w:r>
      <w:r w:rsidRPr="009562D6">
        <w:rPr>
          <w:rFonts w:eastAsia="OptimaLTStd"/>
          <w:color w:val="000000"/>
          <w:lang w:val="es-MX"/>
        </w:rPr>
        <w:t xml:space="preserve">%.  </w:t>
      </w:r>
      <w:r>
        <w:rPr>
          <w:rFonts w:eastAsia="OptimaLTStd"/>
          <w:color w:val="000000"/>
          <w:lang w:val="es-MX"/>
        </w:rPr>
        <w:t>Respecto de l</w:t>
      </w:r>
      <w:r w:rsidRPr="009562D6">
        <w:rPr>
          <w:rFonts w:eastAsia="OptimaLTStd"/>
          <w:color w:val="000000"/>
          <w:lang w:val="es-MX"/>
        </w:rPr>
        <w:t xml:space="preserve">os impuestos al comercio exterior, el Impuesto al Valor Agregado a las Importaciones mostró un crecimiento de </w:t>
      </w:r>
      <w:r>
        <w:rPr>
          <w:rFonts w:eastAsia="OptimaLTStd"/>
          <w:color w:val="000000"/>
          <w:lang w:val="es-MX"/>
        </w:rPr>
        <w:t>40.9</w:t>
      </w:r>
      <w:r w:rsidRPr="009562D6">
        <w:rPr>
          <w:rFonts w:eastAsia="OptimaLTStd"/>
          <w:color w:val="000000"/>
          <w:lang w:val="es-MX"/>
        </w:rPr>
        <w:t xml:space="preserve">%; mientras que los Derechos Arancelarios de Importación, crecieron en el orden de </w:t>
      </w:r>
      <w:r>
        <w:rPr>
          <w:rFonts w:eastAsia="OptimaLTStd"/>
          <w:color w:val="000000"/>
          <w:lang w:val="es-MX"/>
        </w:rPr>
        <w:t>42.4</w:t>
      </w:r>
      <w:r w:rsidRPr="009562D6">
        <w:rPr>
          <w:rFonts w:eastAsia="OptimaLTStd"/>
          <w:color w:val="000000"/>
          <w:lang w:val="es-MX"/>
        </w:rPr>
        <w:t>%.</w:t>
      </w:r>
    </w:p>
    <w:p w:rsidR="00344C28" w:rsidRPr="009562D6" w:rsidRDefault="00344C28" w:rsidP="00344C28">
      <w:pPr>
        <w:jc w:val="both"/>
        <w:rPr>
          <w:rFonts w:eastAsia="OptimaLTStd"/>
          <w:color w:val="000000"/>
          <w:lang w:val="es-MX"/>
        </w:rPr>
      </w:pPr>
    </w:p>
    <w:p w:rsidR="00344C28" w:rsidRPr="0088577C" w:rsidRDefault="00344C28" w:rsidP="00344C28">
      <w:pPr>
        <w:jc w:val="center"/>
        <w:rPr>
          <w:b/>
          <w:sz w:val="22"/>
          <w:szCs w:val="22"/>
          <w:lang w:val="es-MX"/>
        </w:rPr>
      </w:pPr>
      <w:r w:rsidRPr="0088577C">
        <w:rPr>
          <w:b/>
          <w:sz w:val="22"/>
          <w:szCs w:val="22"/>
          <w:lang w:val="es-MX"/>
        </w:rPr>
        <w:t xml:space="preserve">Gráfica </w:t>
      </w:r>
      <w:r>
        <w:rPr>
          <w:b/>
          <w:sz w:val="22"/>
          <w:szCs w:val="22"/>
          <w:lang w:val="es-MX"/>
        </w:rPr>
        <w:t>1</w:t>
      </w:r>
      <w:r w:rsidR="008B5E5C">
        <w:rPr>
          <w:b/>
          <w:sz w:val="22"/>
          <w:szCs w:val="22"/>
          <w:lang w:val="es-MX"/>
        </w:rPr>
        <w:t>0</w:t>
      </w:r>
    </w:p>
    <w:p w:rsidR="00344C28" w:rsidRPr="0088577C" w:rsidRDefault="00344C28" w:rsidP="00344C28">
      <w:pPr>
        <w:jc w:val="center"/>
        <w:rPr>
          <w:b/>
          <w:sz w:val="22"/>
          <w:szCs w:val="22"/>
          <w:lang w:val="es-MX"/>
        </w:rPr>
      </w:pPr>
      <w:r w:rsidRPr="0088577C">
        <w:rPr>
          <w:b/>
          <w:sz w:val="22"/>
          <w:szCs w:val="22"/>
          <w:lang w:val="es-MX"/>
        </w:rPr>
        <w:t xml:space="preserve"> </w:t>
      </w:r>
      <w:bookmarkStart w:id="15" w:name="OLE_LINK1"/>
      <w:r>
        <w:rPr>
          <w:b/>
          <w:sz w:val="22"/>
          <w:szCs w:val="22"/>
          <w:lang w:val="es-MX"/>
        </w:rPr>
        <w:t xml:space="preserve">Ingresos Tributarios Netos Acumulados </w:t>
      </w:r>
      <w:r w:rsidRPr="0088577C">
        <w:rPr>
          <w:b/>
          <w:sz w:val="22"/>
          <w:szCs w:val="22"/>
          <w:lang w:val="es-MX"/>
        </w:rPr>
        <w:t xml:space="preserve"> </w:t>
      </w:r>
    </w:p>
    <w:p w:rsidR="00344C28" w:rsidRPr="0088577C" w:rsidRDefault="00344C28" w:rsidP="00344C28">
      <w:pPr>
        <w:jc w:val="center"/>
        <w:rPr>
          <w:b/>
          <w:sz w:val="22"/>
          <w:szCs w:val="22"/>
          <w:lang w:val="es-MX"/>
        </w:rPr>
      </w:pPr>
      <w:r w:rsidRPr="0088577C">
        <w:rPr>
          <w:b/>
          <w:sz w:val="22"/>
          <w:szCs w:val="22"/>
          <w:lang w:val="es-MX"/>
        </w:rPr>
        <w:t>Al 30 de junio de cada año</w:t>
      </w:r>
    </w:p>
    <w:p w:rsidR="00344C28" w:rsidRPr="0088577C" w:rsidRDefault="00344C28" w:rsidP="00344C28">
      <w:pPr>
        <w:jc w:val="center"/>
        <w:rPr>
          <w:b/>
          <w:sz w:val="22"/>
          <w:szCs w:val="22"/>
          <w:lang w:val="es-MX"/>
        </w:rPr>
      </w:pPr>
      <w:r w:rsidRPr="0088577C">
        <w:rPr>
          <w:b/>
          <w:sz w:val="22"/>
          <w:szCs w:val="22"/>
          <w:lang w:val="es-MX"/>
        </w:rPr>
        <w:t>Período 201</w:t>
      </w:r>
      <w:r>
        <w:rPr>
          <w:b/>
          <w:sz w:val="22"/>
          <w:szCs w:val="22"/>
          <w:lang w:val="es-MX"/>
        </w:rPr>
        <w:t xml:space="preserve">0 </w:t>
      </w:r>
      <w:r w:rsidRPr="0088577C">
        <w:rPr>
          <w:b/>
          <w:sz w:val="22"/>
          <w:szCs w:val="22"/>
          <w:lang w:val="es-MX"/>
        </w:rPr>
        <w:t>-</w:t>
      </w:r>
      <w:r>
        <w:rPr>
          <w:b/>
          <w:sz w:val="22"/>
          <w:szCs w:val="22"/>
          <w:lang w:val="es-MX"/>
        </w:rPr>
        <w:t xml:space="preserve"> </w:t>
      </w:r>
      <w:r w:rsidRPr="0088577C">
        <w:rPr>
          <w:b/>
          <w:sz w:val="22"/>
          <w:szCs w:val="22"/>
          <w:lang w:val="es-MX"/>
        </w:rPr>
        <w:t>20</w:t>
      </w:r>
      <w:r>
        <w:rPr>
          <w:b/>
          <w:sz w:val="22"/>
          <w:szCs w:val="22"/>
          <w:lang w:val="es-MX"/>
        </w:rPr>
        <w:t>21</w:t>
      </w:r>
      <w:r w:rsidRPr="0088577C">
        <w:rPr>
          <w:b/>
          <w:sz w:val="22"/>
          <w:szCs w:val="22"/>
          <w:lang w:val="es-MX"/>
        </w:rPr>
        <w:t>*</w:t>
      </w:r>
    </w:p>
    <w:bookmarkEnd w:id="15"/>
    <w:p w:rsidR="00344C28" w:rsidRDefault="00344C28" w:rsidP="00344C28">
      <w:pPr>
        <w:jc w:val="center"/>
        <w:rPr>
          <w:noProof/>
          <w:lang w:val="es-MX" w:eastAsia="es-GT"/>
        </w:rPr>
      </w:pPr>
      <w:r>
        <w:rPr>
          <w:noProof/>
          <w:lang w:val="es-GT" w:eastAsia="es-GT"/>
        </w:rPr>
        <w:drawing>
          <wp:inline distT="0" distB="0" distL="0" distR="0" wp14:anchorId="4D8178C0" wp14:editId="7B022E85">
            <wp:extent cx="5534025" cy="3505200"/>
            <wp:effectExtent l="0" t="0" r="0" b="0"/>
            <wp:docPr id="50" name="Gráfico 50">
              <a:extLst xmlns:a="http://schemas.openxmlformats.org/drawingml/2006/main">
                <a:ext uri="{FF2B5EF4-FFF2-40B4-BE49-F238E27FC236}">
                  <a16:creationId xmlns:a16="http://schemas.microsoft.com/office/drawing/2014/main" id="{00000000-0008-0000-08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4C28" w:rsidRDefault="00344C28" w:rsidP="00344C28">
      <w:pPr>
        <w:jc w:val="both"/>
        <w:rPr>
          <w:sz w:val="18"/>
        </w:rPr>
      </w:pPr>
      <w:r>
        <w:rPr>
          <w:sz w:val="18"/>
        </w:rPr>
        <w:t xml:space="preserve"> </w:t>
      </w:r>
      <w:r w:rsidR="00A73D39">
        <w:rPr>
          <w:sz w:val="18"/>
        </w:rPr>
        <w:t xml:space="preserve">     </w:t>
      </w:r>
      <w:r>
        <w:rPr>
          <w:sz w:val="18"/>
        </w:rPr>
        <w:t xml:space="preserve">    * C</w:t>
      </w:r>
      <w:r w:rsidRPr="007417CD">
        <w:rPr>
          <w:sz w:val="18"/>
        </w:rPr>
        <w:t>ifras preliminares</w:t>
      </w:r>
      <w:r>
        <w:rPr>
          <w:sz w:val="18"/>
        </w:rPr>
        <w:t xml:space="preserve"> al 30 de junio </w:t>
      </w:r>
      <w:r w:rsidR="00F7094D">
        <w:rPr>
          <w:sz w:val="18"/>
        </w:rPr>
        <w:t xml:space="preserve">de </w:t>
      </w:r>
      <w:r>
        <w:rPr>
          <w:sz w:val="18"/>
        </w:rPr>
        <w:t>2021.</w:t>
      </w:r>
    </w:p>
    <w:p w:rsidR="00344C28" w:rsidRDefault="00344C28" w:rsidP="00344C28">
      <w:pPr>
        <w:jc w:val="both"/>
        <w:rPr>
          <w:sz w:val="18"/>
        </w:rPr>
      </w:pPr>
      <w:r>
        <w:rPr>
          <w:sz w:val="18"/>
        </w:rPr>
        <w:t xml:space="preserve">   </w:t>
      </w:r>
      <w:r w:rsidR="00A73D39">
        <w:rPr>
          <w:sz w:val="18"/>
        </w:rPr>
        <w:t xml:space="preserve">     </w:t>
      </w:r>
      <w:r>
        <w:rPr>
          <w:sz w:val="18"/>
        </w:rPr>
        <w:t xml:space="preserve">     </w:t>
      </w:r>
      <w:r w:rsidRPr="00693E53">
        <w:rPr>
          <w:sz w:val="18"/>
        </w:rPr>
        <w:t>Fuente: Ministerio de Finanzas Públicas con base al SICOIN.</w:t>
      </w:r>
    </w:p>
    <w:p w:rsidR="00344C28" w:rsidRPr="0035677E" w:rsidRDefault="00344C28" w:rsidP="00344C28">
      <w:pPr>
        <w:pStyle w:val="Default"/>
        <w:jc w:val="both"/>
        <w:rPr>
          <w:rFonts w:ascii="Times New Roman" w:hAnsi="Times New Roman" w:cs="Times New Roman"/>
        </w:rPr>
      </w:pPr>
    </w:p>
    <w:p w:rsidR="00344C28" w:rsidRDefault="00344C28" w:rsidP="00344C28">
      <w:pPr>
        <w:pStyle w:val="Default"/>
        <w:jc w:val="both"/>
        <w:rPr>
          <w:rFonts w:ascii="Times New Roman" w:hAnsi="Times New Roman" w:cs="Times New Roman"/>
        </w:rPr>
      </w:pPr>
      <w:r w:rsidRPr="00923BF4">
        <w:rPr>
          <w:rFonts w:ascii="Times New Roman" w:hAnsi="Times New Roman" w:cs="Times New Roman"/>
        </w:rPr>
        <w:t>El comportamiento</w:t>
      </w:r>
      <w:r>
        <w:rPr>
          <w:rFonts w:ascii="Times New Roman" w:hAnsi="Times New Roman" w:cs="Times New Roman"/>
        </w:rPr>
        <w:t xml:space="preserve"> descrito para la recaudación se explica</w:t>
      </w:r>
      <w:r w:rsidRPr="00923BF4">
        <w:rPr>
          <w:rFonts w:ascii="Times New Roman" w:hAnsi="Times New Roman" w:cs="Times New Roman"/>
        </w:rPr>
        <w:t xml:space="preserve"> </w:t>
      </w:r>
      <w:r>
        <w:rPr>
          <w:rFonts w:ascii="Times New Roman" w:hAnsi="Times New Roman" w:cs="Times New Roman"/>
        </w:rPr>
        <w:t>en mayor medida por</w:t>
      </w:r>
      <w:r w:rsidRPr="00923BF4">
        <w:rPr>
          <w:rFonts w:ascii="Times New Roman" w:hAnsi="Times New Roman" w:cs="Times New Roman"/>
        </w:rPr>
        <w:t xml:space="preserve"> </w:t>
      </w:r>
      <w:r>
        <w:rPr>
          <w:rFonts w:ascii="Times New Roman" w:hAnsi="Times New Roman" w:cs="Times New Roman"/>
        </w:rPr>
        <w:t xml:space="preserve">la evolución positiva </w:t>
      </w:r>
      <w:r w:rsidRPr="00923BF4">
        <w:rPr>
          <w:rFonts w:ascii="Times New Roman" w:hAnsi="Times New Roman" w:cs="Times New Roman"/>
        </w:rPr>
        <w:t>de l</w:t>
      </w:r>
      <w:r>
        <w:rPr>
          <w:rFonts w:ascii="Times New Roman" w:hAnsi="Times New Roman" w:cs="Times New Roman"/>
        </w:rPr>
        <w:t xml:space="preserve">os </w:t>
      </w:r>
      <w:r w:rsidRPr="00923BF4">
        <w:rPr>
          <w:rFonts w:ascii="Times New Roman" w:hAnsi="Times New Roman" w:cs="Times New Roman"/>
        </w:rPr>
        <w:t xml:space="preserve">impuestos </w:t>
      </w:r>
      <w:r>
        <w:rPr>
          <w:rFonts w:ascii="Times New Roman" w:hAnsi="Times New Roman" w:cs="Times New Roman"/>
        </w:rPr>
        <w:t>al comercio exterior que en conjunto muestran una variación de 41.1% a lo observado en 2020</w:t>
      </w:r>
      <w:r w:rsidR="003931AC">
        <w:rPr>
          <w:rFonts w:ascii="Times New Roman" w:hAnsi="Times New Roman" w:cs="Times New Roman"/>
        </w:rPr>
        <w:t>; esta</w:t>
      </w:r>
      <w:r>
        <w:rPr>
          <w:rFonts w:ascii="Times New Roman" w:hAnsi="Times New Roman" w:cs="Times New Roman"/>
        </w:rPr>
        <w:t xml:space="preserve"> situación que se explica por</w:t>
      </w:r>
      <w:r w:rsidRPr="0073043A">
        <w:rPr>
          <w:rFonts w:ascii="Times New Roman" w:hAnsi="Times New Roman" w:cs="Times New Roman"/>
        </w:rPr>
        <w:t xml:space="preserve"> </w:t>
      </w:r>
      <w:r>
        <w:rPr>
          <w:rFonts w:ascii="Times New Roman" w:hAnsi="Times New Roman" w:cs="Times New Roman"/>
        </w:rPr>
        <w:t>un incremento</w:t>
      </w:r>
      <w:r w:rsidRPr="0073043A">
        <w:rPr>
          <w:rFonts w:ascii="Times New Roman" w:hAnsi="Times New Roman" w:cs="Times New Roman"/>
        </w:rPr>
        <w:t xml:space="preserve"> en la</w:t>
      </w:r>
      <w:r>
        <w:rPr>
          <w:rFonts w:ascii="Times New Roman" w:hAnsi="Times New Roman" w:cs="Times New Roman"/>
        </w:rPr>
        <w:t>s</w:t>
      </w:r>
      <w:r w:rsidRPr="0073043A">
        <w:rPr>
          <w:rFonts w:ascii="Times New Roman" w:hAnsi="Times New Roman" w:cs="Times New Roman"/>
        </w:rPr>
        <w:t xml:space="preserve"> importacion</w:t>
      </w:r>
      <w:r>
        <w:rPr>
          <w:rFonts w:ascii="Times New Roman" w:hAnsi="Times New Roman" w:cs="Times New Roman"/>
        </w:rPr>
        <w:t>es</w:t>
      </w:r>
      <w:r w:rsidRPr="0073043A">
        <w:rPr>
          <w:rFonts w:ascii="Times New Roman" w:hAnsi="Times New Roman" w:cs="Times New Roman"/>
        </w:rPr>
        <w:t xml:space="preserve"> de bienes</w:t>
      </w:r>
      <w:r>
        <w:rPr>
          <w:rFonts w:ascii="Times New Roman" w:hAnsi="Times New Roman" w:cs="Times New Roman"/>
        </w:rPr>
        <w:t xml:space="preserve"> para consumo final</w:t>
      </w:r>
      <w:r w:rsidRPr="0073043A">
        <w:rPr>
          <w:rFonts w:ascii="Times New Roman" w:hAnsi="Times New Roman" w:cs="Times New Roman"/>
        </w:rPr>
        <w:t>, así como para consumo intermedio</w:t>
      </w:r>
      <w:r>
        <w:rPr>
          <w:rFonts w:ascii="Times New Roman" w:hAnsi="Times New Roman" w:cs="Times New Roman"/>
        </w:rPr>
        <w:t xml:space="preserve"> y</w:t>
      </w:r>
      <w:r w:rsidRPr="0073043A">
        <w:rPr>
          <w:rFonts w:ascii="Times New Roman" w:hAnsi="Times New Roman" w:cs="Times New Roman"/>
        </w:rPr>
        <w:t xml:space="preserve"> de capital por parte de diversas actividades económicas</w:t>
      </w:r>
      <w:r w:rsidR="003931AC">
        <w:rPr>
          <w:rFonts w:ascii="Times New Roman" w:hAnsi="Times New Roman" w:cs="Times New Roman"/>
        </w:rPr>
        <w:t>.</w:t>
      </w:r>
    </w:p>
    <w:p w:rsidR="00344C28" w:rsidRDefault="00344C28" w:rsidP="00344C28">
      <w:pPr>
        <w:pStyle w:val="Default"/>
        <w:jc w:val="both"/>
        <w:rPr>
          <w:rFonts w:ascii="Times New Roman" w:hAnsi="Times New Roman" w:cs="Times New Roman"/>
        </w:rPr>
      </w:pPr>
    </w:p>
    <w:p w:rsidR="00344C28" w:rsidRDefault="00344C28" w:rsidP="00344C28">
      <w:pPr>
        <w:pStyle w:val="Default"/>
        <w:jc w:val="both"/>
        <w:rPr>
          <w:rFonts w:ascii="Times New Roman" w:hAnsi="Times New Roman" w:cs="Times New Roman"/>
        </w:rPr>
      </w:pPr>
    </w:p>
    <w:p w:rsidR="00344C28" w:rsidRDefault="00344C28" w:rsidP="00344C28">
      <w:pPr>
        <w:pStyle w:val="Default"/>
        <w:jc w:val="both"/>
        <w:rPr>
          <w:rFonts w:ascii="Times New Roman" w:hAnsi="Times New Roman" w:cs="Times New Roman"/>
        </w:rPr>
      </w:pPr>
    </w:p>
    <w:p w:rsidR="00344C28" w:rsidRPr="00341585" w:rsidRDefault="00344C28" w:rsidP="00344C28">
      <w:pPr>
        <w:pStyle w:val="Default"/>
        <w:jc w:val="both"/>
        <w:rPr>
          <w:rFonts w:ascii="Times New Roman" w:hAnsi="Times New Roman" w:cs="Times New Roman"/>
        </w:rPr>
      </w:pPr>
      <w:r w:rsidRPr="00341585">
        <w:rPr>
          <w:rFonts w:ascii="Times New Roman" w:hAnsi="Times New Roman" w:cs="Times New Roman"/>
        </w:rPr>
        <w:t>E</w:t>
      </w:r>
      <w:r>
        <w:rPr>
          <w:rFonts w:ascii="Times New Roman" w:hAnsi="Times New Roman" w:cs="Times New Roman"/>
        </w:rPr>
        <w:t>l</w:t>
      </w:r>
      <w:r w:rsidRPr="00341585">
        <w:rPr>
          <w:rFonts w:ascii="Times New Roman" w:hAnsi="Times New Roman" w:cs="Times New Roman"/>
        </w:rPr>
        <w:t xml:space="preserve"> crecimiento en las cifras de comercio se ve influenciado</w:t>
      </w:r>
      <w:r w:rsidR="003931AC">
        <w:rPr>
          <w:rFonts w:ascii="Times New Roman" w:hAnsi="Times New Roman" w:cs="Times New Roman"/>
        </w:rPr>
        <w:t>,</w:t>
      </w:r>
      <w:r w:rsidRPr="00341585">
        <w:rPr>
          <w:rFonts w:ascii="Times New Roman" w:hAnsi="Times New Roman" w:cs="Times New Roman"/>
        </w:rPr>
        <w:t xml:space="preserve"> </w:t>
      </w:r>
      <w:r w:rsidRPr="008D520F">
        <w:rPr>
          <w:rFonts w:ascii="Times New Roman" w:hAnsi="Times New Roman" w:cs="Times New Roman"/>
        </w:rPr>
        <w:t>en primera instancia</w:t>
      </w:r>
      <w:r w:rsidR="003931AC">
        <w:rPr>
          <w:rFonts w:ascii="Times New Roman" w:hAnsi="Times New Roman" w:cs="Times New Roman"/>
        </w:rPr>
        <w:t>,</w:t>
      </w:r>
      <w:r w:rsidRPr="008D520F">
        <w:rPr>
          <w:rFonts w:ascii="Times New Roman" w:hAnsi="Times New Roman" w:cs="Times New Roman"/>
        </w:rPr>
        <w:t xml:space="preserve"> por la contracción de</w:t>
      </w:r>
      <w:r w:rsidRPr="00341585">
        <w:rPr>
          <w:rFonts w:ascii="Times New Roman" w:hAnsi="Times New Roman" w:cs="Times New Roman"/>
        </w:rPr>
        <w:t xml:space="preserve"> las negociaciones comerciales producto de las medidas adoptadas por los gobiernos que incluso llegaron al cierre de operaciones; </w:t>
      </w:r>
      <w:r w:rsidRPr="008D520F">
        <w:rPr>
          <w:rFonts w:ascii="Times New Roman" w:hAnsi="Times New Roman" w:cs="Times New Roman"/>
        </w:rPr>
        <w:t xml:space="preserve">y </w:t>
      </w:r>
      <w:r w:rsidR="003931AC">
        <w:rPr>
          <w:rFonts w:ascii="Times New Roman" w:hAnsi="Times New Roman" w:cs="Times New Roman"/>
        </w:rPr>
        <w:t xml:space="preserve">en </w:t>
      </w:r>
      <w:r w:rsidRPr="00341585">
        <w:rPr>
          <w:rFonts w:ascii="Times New Roman" w:hAnsi="Times New Roman" w:cs="Times New Roman"/>
        </w:rPr>
        <w:t>segund</w:t>
      </w:r>
      <w:r w:rsidR="003931AC">
        <w:rPr>
          <w:rFonts w:ascii="Times New Roman" w:hAnsi="Times New Roman" w:cs="Times New Roman"/>
        </w:rPr>
        <w:t>a instancia</w:t>
      </w:r>
      <w:r w:rsidRPr="00341585">
        <w:rPr>
          <w:rFonts w:ascii="Times New Roman" w:hAnsi="Times New Roman" w:cs="Times New Roman"/>
        </w:rPr>
        <w:t xml:space="preserve">, por el esfuerzo y trabajo realizado por la </w:t>
      </w:r>
      <w:r w:rsidR="003931AC">
        <w:rPr>
          <w:rFonts w:ascii="Times New Roman" w:hAnsi="Times New Roman" w:cs="Times New Roman"/>
        </w:rPr>
        <w:t>S</w:t>
      </w:r>
      <w:r w:rsidRPr="00341585">
        <w:rPr>
          <w:rFonts w:ascii="Times New Roman" w:hAnsi="Times New Roman" w:cs="Times New Roman"/>
        </w:rPr>
        <w:t xml:space="preserve">uperintendencia de </w:t>
      </w:r>
      <w:r w:rsidR="003931AC">
        <w:rPr>
          <w:rFonts w:ascii="Times New Roman" w:hAnsi="Times New Roman" w:cs="Times New Roman"/>
        </w:rPr>
        <w:t>A</w:t>
      </w:r>
      <w:r w:rsidRPr="00341585">
        <w:rPr>
          <w:rFonts w:ascii="Times New Roman" w:hAnsi="Times New Roman" w:cs="Times New Roman"/>
        </w:rPr>
        <w:t xml:space="preserve">dministración </w:t>
      </w:r>
      <w:r w:rsidR="003931AC">
        <w:rPr>
          <w:rFonts w:ascii="Times New Roman" w:hAnsi="Times New Roman" w:cs="Times New Roman"/>
        </w:rPr>
        <w:t>T</w:t>
      </w:r>
      <w:r w:rsidRPr="00341585">
        <w:rPr>
          <w:rFonts w:ascii="Times New Roman" w:hAnsi="Times New Roman" w:cs="Times New Roman"/>
        </w:rPr>
        <w:t>ributaria en el ramo de aduanas durante el presente año,  implementando acciones para combatir la defraudación</w:t>
      </w:r>
      <w:r w:rsidRPr="008D520F">
        <w:rPr>
          <w:rFonts w:ascii="Times New Roman" w:hAnsi="Times New Roman" w:cs="Times New Roman"/>
        </w:rPr>
        <w:t xml:space="preserve">, </w:t>
      </w:r>
      <w:r w:rsidR="003931AC">
        <w:rPr>
          <w:rFonts w:ascii="Times New Roman" w:hAnsi="Times New Roman" w:cs="Times New Roman"/>
        </w:rPr>
        <w:t xml:space="preserve">así </w:t>
      </w:r>
      <w:r w:rsidRPr="00341585">
        <w:rPr>
          <w:rFonts w:ascii="Times New Roman" w:hAnsi="Times New Roman" w:cs="Times New Roman"/>
        </w:rPr>
        <w:t xml:space="preserve">como la realización de ajustes </w:t>
      </w:r>
      <w:r w:rsidRPr="008D520F">
        <w:rPr>
          <w:rFonts w:ascii="Times New Roman" w:hAnsi="Times New Roman" w:cs="Times New Roman"/>
        </w:rPr>
        <w:t>por</w:t>
      </w:r>
      <w:r w:rsidRPr="00341585">
        <w:rPr>
          <w:rFonts w:ascii="Times New Roman" w:hAnsi="Times New Roman" w:cs="Times New Roman"/>
        </w:rPr>
        <w:t xml:space="preserve"> rectificaciones, </w:t>
      </w:r>
      <w:r w:rsidRPr="008D520F">
        <w:rPr>
          <w:rFonts w:ascii="Times New Roman" w:hAnsi="Times New Roman" w:cs="Times New Roman"/>
        </w:rPr>
        <w:t xml:space="preserve">y </w:t>
      </w:r>
      <w:r w:rsidRPr="00341585">
        <w:rPr>
          <w:rFonts w:ascii="Times New Roman" w:hAnsi="Times New Roman" w:cs="Times New Roman"/>
        </w:rPr>
        <w:t>por concepto de medidas administrativas</w:t>
      </w:r>
      <w:r w:rsidRPr="008D520F">
        <w:rPr>
          <w:rFonts w:ascii="Times New Roman" w:hAnsi="Times New Roman" w:cs="Times New Roman"/>
        </w:rPr>
        <w:t>; adicionalmente,</w:t>
      </w:r>
      <w:r w:rsidRPr="00341585">
        <w:rPr>
          <w:rFonts w:ascii="Times New Roman" w:hAnsi="Times New Roman" w:cs="Times New Roman"/>
        </w:rPr>
        <w:t xml:space="preserve"> medidas de control en materia de riesgo, mejoras en tiempos de despacho y gestión, mayor simplificación y automatización en la transmisión de declaraciones y controles aduaneros mediante los puestos de control interinstitucional.</w:t>
      </w:r>
      <w:r w:rsidRPr="008D520F">
        <w:rPr>
          <w:rFonts w:ascii="Times New Roman" w:hAnsi="Times New Roman" w:cs="Times New Roman"/>
        </w:rPr>
        <w:t xml:space="preserve"> (DAPF, Informe de las Finanzas Públicas a junio </w:t>
      </w:r>
      <w:r w:rsidR="003931AC">
        <w:rPr>
          <w:rFonts w:ascii="Times New Roman" w:hAnsi="Times New Roman" w:cs="Times New Roman"/>
        </w:rPr>
        <w:t xml:space="preserve">de </w:t>
      </w:r>
      <w:r w:rsidRPr="008D520F">
        <w:rPr>
          <w:rFonts w:ascii="Times New Roman" w:hAnsi="Times New Roman" w:cs="Times New Roman"/>
        </w:rPr>
        <w:t>2021).</w:t>
      </w:r>
    </w:p>
    <w:p w:rsidR="00344C28" w:rsidRPr="000D0CF5" w:rsidRDefault="00344C28" w:rsidP="00344C28">
      <w:pPr>
        <w:jc w:val="both"/>
      </w:pPr>
    </w:p>
    <w:p w:rsidR="00344C28" w:rsidRPr="0088577C" w:rsidRDefault="00344C28" w:rsidP="00344C28">
      <w:pPr>
        <w:pStyle w:val="Prrafodelista"/>
        <w:ind w:left="360"/>
        <w:jc w:val="center"/>
        <w:rPr>
          <w:b/>
          <w:sz w:val="22"/>
          <w:lang w:val="es-MX"/>
        </w:rPr>
      </w:pPr>
      <w:r w:rsidRPr="0088577C">
        <w:rPr>
          <w:b/>
          <w:sz w:val="22"/>
          <w:lang w:val="es-MX"/>
        </w:rPr>
        <w:t>Cuadro</w:t>
      </w:r>
      <w:r>
        <w:rPr>
          <w:b/>
          <w:sz w:val="22"/>
          <w:lang w:val="es-MX"/>
        </w:rPr>
        <w:t xml:space="preserve"> 2</w:t>
      </w:r>
    </w:p>
    <w:p w:rsidR="00344C28" w:rsidRPr="0088577C" w:rsidRDefault="00344C28" w:rsidP="00344C28">
      <w:pPr>
        <w:pStyle w:val="Prrafodelista"/>
        <w:ind w:left="360"/>
        <w:jc w:val="center"/>
        <w:rPr>
          <w:b/>
          <w:sz w:val="22"/>
          <w:lang w:val="es-MX"/>
        </w:rPr>
      </w:pPr>
      <w:r w:rsidRPr="0088577C">
        <w:rPr>
          <w:b/>
          <w:sz w:val="22"/>
          <w:lang w:val="es-MX"/>
        </w:rPr>
        <w:t>Ingresos Tributarios Netos de la Administración Central</w:t>
      </w:r>
    </w:p>
    <w:p w:rsidR="00344C28" w:rsidRPr="0088577C" w:rsidRDefault="00344C28" w:rsidP="00344C28">
      <w:pPr>
        <w:pStyle w:val="Prrafodelista"/>
        <w:ind w:left="360"/>
        <w:jc w:val="center"/>
        <w:rPr>
          <w:b/>
          <w:sz w:val="22"/>
          <w:lang w:val="es-MX"/>
        </w:rPr>
      </w:pPr>
      <w:r>
        <w:rPr>
          <w:b/>
          <w:sz w:val="22"/>
          <w:lang w:val="es-MX"/>
        </w:rPr>
        <w:t>A</w:t>
      </w:r>
      <w:r w:rsidRPr="0088577C">
        <w:rPr>
          <w:b/>
          <w:sz w:val="22"/>
          <w:lang w:val="es-MX"/>
        </w:rPr>
        <w:t xml:space="preserve">l 30 de junio de </w:t>
      </w:r>
      <w:r>
        <w:rPr>
          <w:b/>
          <w:sz w:val="22"/>
          <w:lang w:val="es-MX"/>
        </w:rPr>
        <w:t>20</w:t>
      </w:r>
      <w:r w:rsidR="006D1660">
        <w:rPr>
          <w:b/>
          <w:sz w:val="22"/>
          <w:lang w:val="es-MX"/>
        </w:rPr>
        <w:t>20</w:t>
      </w:r>
      <w:r>
        <w:rPr>
          <w:b/>
          <w:sz w:val="22"/>
          <w:lang w:val="es-MX"/>
        </w:rPr>
        <w:t xml:space="preserve"> y 202</w:t>
      </w:r>
      <w:r w:rsidR="006D1660">
        <w:rPr>
          <w:b/>
          <w:sz w:val="22"/>
          <w:lang w:val="es-MX"/>
        </w:rPr>
        <w:t>1</w:t>
      </w:r>
      <w:r>
        <w:rPr>
          <w:b/>
          <w:sz w:val="22"/>
          <w:lang w:val="es-MX"/>
        </w:rPr>
        <w:t>*</w:t>
      </w:r>
    </w:p>
    <w:p w:rsidR="00344C28" w:rsidRDefault="00344C28" w:rsidP="00344C28">
      <w:pPr>
        <w:pStyle w:val="Prrafodelista"/>
        <w:ind w:left="360"/>
        <w:jc w:val="center"/>
        <w:rPr>
          <w:b/>
          <w:sz w:val="22"/>
          <w:lang w:val="es-MX"/>
        </w:rPr>
      </w:pPr>
      <w:r w:rsidRPr="0088577C">
        <w:rPr>
          <w:b/>
          <w:sz w:val="22"/>
          <w:lang w:val="es-MX"/>
        </w:rPr>
        <w:t>(Millones de Quetzales y Porcentajes)</w:t>
      </w:r>
    </w:p>
    <w:p w:rsidR="00344C28" w:rsidRDefault="00344C28" w:rsidP="00344C28">
      <w:pPr>
        <w:pStyle w:val="Prrafodelista"/>
        <w:ind w:left="360"/>
        <w:jc w:val="center"/>
        <w:rPr>
          <w:b/>
          <w:sz w:val="22"/>
          <w:lang w:val="es-MX"/>
        </w:rPr>
      </w:pPr>
    </w:p>
    <w:tbl>
      <w:tblPr>
        <w:tblW w:w="868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250"/>
        <w:gridCol w:w="942"/>
        <w:gridCol w:w="1134"/>
        <w:gridCol w:w="1134"/>
        <w:gridCol w:w="1222"/>
      </w:tblGrid>
      <w:tr w:rsidR="00344C28" w:rsidRPr="00A43E2D" w:rsidTr="003931AC">
        <w:trPr>
          <w:trHeight w:val="250"/>
          <w:jc w:val="center"/>
        </w:trPr>
        <w:tc>
          <w:tcPr>
            <w:tcW w:w="4250" w:type="dxa"/>
            <w:vMerge w:val="restart"/>
            <w:shd w:val="clear" w:color="000000" w:fill="538DD5"/>
            <w:vAlign w:val="center"/>
            <w:hideMark/>
          </w:tcPr>
          <w:p w:rsidR="00344C28" w:rsidRPr="00A43E2D" w:rsidRDefault="00344C28" w:rsidP="00D50B63">
            <w:pPr>
              <w:jc w:val="center"/>
              <w:rPr>
                <w:b/>
                <w:bCs/>
                <w:color w:val="FFFFFF"/>
                <w:sz w:val="18"/>
                <w:szCs w:val="22"/>
                <w:lang w:val="es-GT" w:eastAsia="es-GT"/>
              </w:rPr>
            </w:pPr>
            <w:r w:rsidRPr="00A43E2D">
              <w:rPr>
                <w:b/>
                <w:bCs/>
                <w:color w:val="FFFFFF"/>
                <w:sz w:val="18"/>
                <w:szCs w:val="22"/>
                <w:lang w:val="es-GT" w:eastAsia="es-GT"/>
              </w:rPr>
              <w:t>Concepto</w:t>
            </w:r>
          </w:p>
        </w:tc>
        <w:tc>
          <w:tcPr>
            <w:tcW w:w="942" w:type="dxa"/>
            <w:vMerge w:val="restart"/>
            <w:shd w:val="clear" w:color="000000" w:fill="538DD5"/>
            <w:vAlign w:val="center"/>
            <w:hideMark/>
          </w:tcPr>
          <w:p w:rsidR="00344C28" w:rsidRPr="00A43E2D" w:rsidRDefault="00344C28" w:rsidP="00D50B63">
            <w:pPr>
              <w:jc w:val="center"/>
              <w:rPr>
                <w:b/>
                <w:bCs/>
                <w:color w:val="FFFFFF"/>
                <w:sz w:val="18"/>
                <w:szCs w:val="22"/>
                <w:lang w:val="es-GT" w:eastAsia="es-GT"/>
              </w:rPr>
            </w:pPr>
            <w:r w:rsidRPr="00A43E2D">
              <w:rPr>
                <w:b/>
                <w:bCs/>
                <w:color w:val="FFFFFF"/>
                <w:sz w:val="18"/>
                <w:szCs w:val="22"/>
                <w:lang w:val="es-GT" w:eastAsia="es-GT"/>
              </w:rPr>
              <w:t>2020</w:t>
            </w:r>
          </w:p>
        </w:tc>
        <w:tc>
          <w:tcPr>
            <w:tcW w:w="1134" w:type="dxa"/>
            <w:vMerge w:val="restart"/>
            <w:shd w:val="clear" w:color="000000" w:fill="538DD5"/>
            <w:vAlign w:val="center"/>
            <w:hideMark/>
          </w:tcPr>
          <w:p w:rsidR="00344C28" w:rsidRPr="00A43E2D" w:rsidRDefault="00344C28" w:rsidP="00D50B63">
            <w:pPr>
              <w:jc w:val="center"/>
              <w:rPr>
                <w:b/>
                <w:bCs/>
                <w:color w:val="FFFFFF"/>
                <w:sz w:val="18"/>
                <w:szCs w:val="22"/>
                <w:lang w:val="es-GT" w:eastAsia="es-GT"/>
              </w:rPr>
            </w:pPr>
            <w:r w:rsidRPr="00A43E2D">
              <w:rPr>
                <w:b/>
                <w:bCs/>
                <w:color w:val="FFFFFF"/>
                <w:sz w:val="18"/>
                <w:szCs w:val="22"/>
                <w:lang w:val="es-GT" w:eastAsia="es-GT"/>
              </w:rPr>
              <w:t>2021</w:t>
            </w:r>
          </w:p>
        </w:tc>
        <w:tc>
          <w:tcPr>
            <w:tcW w:w="2356" w:type="dxa"/>
            <w:gridSpan w:val="2"/>
            <w:shd w:val="clear" w:color="000000" w:fill="538DD5"/>
            <w:noWrap/>
            <w:vAlign w:val="center"/>
            <w:hideMark/>
          </w:tcPr>
          <w:p w:rsidR="00344C28" w:rsidRPr="00A43E2D" w:rsidRDefault="00344C28" w:rsidP="003931AC">
            <w:pPr>
              <w:jc w:val="center"/>
              <w:rPr>
                <w:color w:val="FFFFFF"/>
                <w:sz w:val="18"/>
                <w:szCs w:val="22"/>
                <w:lang w:val="es-GT" w:eastAsia="es-GT"/>
              </w:rPr>
            </w:pPr>
            <w:r w:rsidRPr="00A43E2D">
              <w:rPr>
                <w:color w:val="FFFFFF"/>
                <w:sz w:val="18"/>
                <w:szCs w:val="22"/>
                <w:lang w:val="es-GT" w:eastAsia="es-GT"/>
              </w:rPr>
              <w:t>Diferencias</w:t>
            </w:r>
          </w:p>
        </w:tc>
      </w:tr>
      <w:tr w:rsidR="00344C28" w:rsidRPr="00A43E2D" w:rsidTr="003931AC">
        <w:trPr>
          <w:trHeight w:val="404"/>
          <w:jc w:val="center"/>
        </w:trPr>
        <w:tc>
          <w:tcPr>
            <w:tcW w:w="4250" w:type="dxa"/>
            <w:vMerge/>
            <w:vAlign w:val="center"/>
            <w:hideMark/>
          </w:tcPr>
          <w:p w:rsidR="00344C28" w:rsidRPr="00A43E2D" w:rsidRDefault="00344C28" w:rsidP="00D50B63">
            <w:pPr>
              <w:rPr>
                <w:b/>
                <w:bCs/>
                <w:color w:val="FFFFFF"/>
                <w:sz w:val="18"/>
                <w:szCs w:val="22"/>
                <w:lang w:val="es-GT" w:eastAsia="es-GT"/>
              </w:rPr>
            </w:pPr>
          </w:p>
        </w:tc>
        <w:tc>
          <w:tcPr>
            <w:tcW w:w="942" w:type="dxa"/>
            <w:vMerge/>
            <w:vAlign w:val="center"/>
            <w:hideMark/>
          </w:tcPr>
          <w:p w:rsidR="00344C28" w:rsidRPr="00A43E2D" w:rsidRDefault="00344C28" w:rsidP="00D50B63">
            <w:pPr>
              <w:rPr>
                <w:b/>
                <w:bCs/>
                <w:color w:val="FFFFFF"/>
                <w:sz w:val="18"/>
                <w:szCs w:val="22"/>
                <w:lang w:val="es-GT" w:eastAsia="es-GT"/>
              </w:rPr>
            </w:pPr>
          </w:p>
        </w:tc>
        <w:tc>
          <w:tcPr>
            <w:tcW w:w="1134" w:type="dxa"/>
            <w:vMerge/>
            <w:vAlign w:val="center"/>
            <w:hideMark/>
          </w:tcPr>
          <w:p w:rsidR="00344C28" w:rsidRPr="00A43E2D" w:rsidRDefault="00344C28" w:rsidP="00D50B63">
            <w:pPr>
              <w:rPr>
                <w:b/>
                <w:bCs/>
                <w:color w:val="FFFFFF"/>
                <w:sz w:val="18"/>
                <w:szCs w:val="22"/>
                <w:lang w:val="es-GT" w:eastAsia="es-GT"/>
              </w:rPr>
            </w:pPr>
          </w:p>
        </w:tc>
        <w:tc>
          <w:tcPr>
            <w:tcW w:w="1134" w:type="dxa"/>
            <w:shd w:val="clear" w:color="000000" w:fill="538DD5"/>
            <w:noWrap/>
            <w:vAlign w:val="center"/>
            <w:hideMark/>
          </w:tcPr>
          <w:p w:rsidR="00344C28" w:rsidRPr="00A43E2D" w:rsidRDefault="00344C28" w:rsidP="00D50B63">
            <w:pPr>
              <w:jc w:val="center"/>
              <w:rPr>
                <w:color w:val="FFFFFF"/>
                <w:sz w:val="18"/>
                <w:szCs w:val="22"/>
                <w:lang w:val="es-GT" w:eastAsia="es-GT"/>
              </w:rPr>
            </w:pPr>
            <w:r w:rsidRPr="00A43E2D">
              <w:rPr>
                <w:color w:val="FFFFFF"/>
                <w:sz w:val="18"/>
                <w:szCs w:val="22"/>
                <w:lang w:val="es-GT" w:eastAsia="es-GT"/>
              </w:rPr>
              <w:t>Absolutas</w:t>
            </w:r>
          </w:p>
        </w:tc>
        <w:tc>
          <w:tcPr>
            <w:tcW w:w="1222" w:type="dxa"/>
            <w:shd w:val="clear" w:color="000000" w:fill="538DD5"/>
            <w:noWrap/>
            <w:vAlign w:val="center"/>
            <w:hideMark/>
          </w:tcPr>
          <w:p w:rsidR="00344C28" w:rsidRPr="00A43E2D" w:rsidRDefault="00344C28" w:rsidP="00D50B63">
            <w:pPr>
              <w:jc w:val="center"/>
              <w:rPr>
                <w:color w:val="FFFFFF"/>
                <w:sz w:val="18"/>
                <w:szCs w:val="22"/>
                <w:lang w:val="es-GT" w:eastAsia="es-GT"/>
              </w:rPr>
            </w:pPr>
            <w:r w:rsidRPr="00A43E2D">
              <w:rPr>
                <w:color w:val="FFFFFF"/>
                <w:sz w:val="18"/>
                <w:szCs w:val="22"/>
                <w:lang w:val="es-GT" w:eastAsia="es-GT"/>
              </w:rPr>
              <w:t>Relativas</w:t>
            </w:r>
          </w:p>
        </w:tc>
      </w:tr>
      <w:tr w:rsidR="00344C28" w:rsidRPr="00A43E2D" w:rsidTr="003931AC">
        <w:trPr>
          <w:trHeight w:val="250"/>
          <w:jc w:val="center"/>
        </w:trPr>
        <w:tc>
          <w:tcPr>
            <w:tcW w:w="4250" w:type="dxa"/>
            <w:shd w:val="clear" w:color="000000" w:fill="FFFFFF"/>
            <w:noWrap/>
            <w:vAlign w:val="bottom"/>
            <w:hideMark/>
          </w:tcPr>
          <w:p w:rsidR="00344C28" w:rsidRPr="00A43E2D" w:rsidRDefault="00344C28" w:rsidP="00D50B63">
            <w:pPr>
              <w:rPr>
                <w:b/>
                <w:bCs/>
                <w:sz w:val="18"/>
                <w:szCs w:val="22"/>
                <w:lang w:val="es-GT" w:eastAsia="es-GT"/>
              </w:rPr>
            </w:pPr>
            <w:r w:rsidRPr="00A43E2D">
              <w:rPr>
                <w:b/>
                <w:bCs/>
                <w:sz w:val="18"/>
                <w:szCs w:val="22"/>
                <w:lang w:val="es-GT" w:eastAsia="es-GT"/>
              </w:rPr>
              <w:t>Total de Ingresos Tributarios</w:t>
            </w:r>
            <w:r>
              <w:rPr>
                <w:b/>
                <w:bCs/>
                <w:sz w:val="18"/>
                <w:szCs w:val="22"/>
                <w:lang w:val="es-GT" w:eastAsia="es-GT"/>
              </w:rPr>
              <w:t xml:space="preserve"> Netos</w:t>
            </w:r>
          </w:p>
        </w:tc>
        <w:tc>
          <w:tcPr>
            <w:tcW w:w="942" w:type="dxa"/>
            <w:shd w:val="clear" w:color="000000" w:fill="FFFFFF"/>
            <w:noWrap/>
            <w:vAlign w:val="bottom"/>
            <w:hideMark/>
          </w:tcPr>
          <w:p w:rsidR="00344C28" w:rsidRPr="00A43E2D" w:rsidRDefault="00344C28" w:rsidP="00D50B63">
            <w:pPr>
              <w:jc w:val="right"/>
              <w:rPr>
                <w:b/>
                <w:bCs/>
                <w:sz w:val="18"/>
                <w:szCs w:val="22"/>
                <w:lang w:val="es-GT" w:eastAsia="es-GT"/>
              </w:rPr>
            </w:pPr>
            <w:r w:rsidRPr="00A43E2D">
              <w:rPr>
                <w:b/>
                <w:bCs/>
                <w:sz w:val="18"/>
                <w:szCs w:val="22"/>
                <w:lang w:val="es-GT" w:eastAsia="es-GT"/>
              </w:rPr>
              <w:t>28,467.8</w:t>
            </w:r>
          </w:p>
        </w:tc>
        <w:tc>
          <w:tcPr>
            <w:tcW w:w="1134" w:type="dxa"/>
            <w:shd w:val="clear" w:color="000000" w:fill="FFFFFF"/>
            <w:noWrap/>
            <w:vAlign w:val="bottom"/>
            <w:hideMark/>
          </w:tcPr>
          <w:p w:rsidR="00344C28" w:rsidRPr="00A43E2D" w:rsidRDefault="00344C28" w:rsidP="00D50B63">
            <w:pPr>
              <w:jc w:val="right"/>
              <w:rPr>
                <w:b/>
                <w:bCs/>
                <w:sz w:val="18"/>
                <w:szCs w:val="22"/>
                <w:lang w:val="es-GT" w:eastAsia="es-GT"/>
              </w:rPr>
            </w:pPr>
            <w:r w:rsidRPr="00A43E2D">
              <w:rPr>
                <w:b/>
                <w:bCs/>
                <w:sz w:val="18"/>
                <w:szCs w:val="22"/>
                <w:lang w:val="es-GT" w:eastAsia="es-GT"/>
              </w:rPr>
              <w:t>36,019.3</w:t>
            </w:r>
          </w:p>
        </w:tc>
        <w:tc>
          <w:tcPr>
            <w:tcW w:w="1134" w:type="dxa"/>
            <w:shd w:val="clear" w:color="000000" w:fill="FFFFFF"/>
            <w:noWrap/>
            <w:vAlign w:val="bottom"/>
            <w:hideMark/>
          </w:tcPr>
          <w:p w:rsidR="00344C28" w:rsidRPr="00A43E2D" w:rsidRDefault="00344C28" w:rsidP="00D50B63">
            <w:pPr>
              <w:jc w:val="right"/>
              <w:rPr>
                <w:b/>
                <w:bCs/>
                <w:sz w:val="18"/>
                <w:szCs w:val="22"/>
                <w:lang w:val="es-GT" w:eastAsia="es-GT"/>
              </w:rPr>
            </w:pPr>
            <w:r w:rsidRPr="00A43E2D">
              <w:rPr>
                <w:b/>
                <w:bCs/>
                <w:sz w:val="18"/>
                <w:szCs w:val="22"/>
                <w:lang w:val="es-GT" w:eastAsia="es-GT"/>
              </w:rPr>
              <w:t>7,551.4</w:t>
            </w:r>
          </w:p>
        </w:tc>
        <w:tc>
          <w:tcPr>
            <w:tcW w:w="1222" w:type="dxa"/>
            <w:shd w:val="clear" w:color="000000" w:fill="FFFFFF"/>
            <w:noWrap/>
            <w:vAlign w:val="bottom"/>
            <w:hideMark/>
          </w:tcPr>
          <w:p w:rsidR="00344C28" w:rsidRPr="00A43E2D" w:rsidRDefault="00344C28" w:rsidP="00D50B63">
            <w:pPr>
              <w:jc w:val="right"/>
              <w:rPr>
                <w:b/>
                <w:bCs/>
                <w:sz w:val="18"/>
                <w:szCs w:val="22"/>
                <w:lang w:val="es-GT" w:eastAsia="es-GT"/>
              </w:rPr>
            </w:pPr>
            <w:r w:rsidRPr="00A43E2D">
              <w:rPr>
                <w:b/>
                <w:bCs/>
                <w:sz w:val="18"/>
                <w:szCs w:val="22"/>
                <w:lang w:val="es-GT" w:eastAsia="es-GT"/>
              </w:rPr>
              <w:t>26.5%</w:t>
            </w:r>
          </w:p>
        </w:tc>
      </w:tr>
      <w:tr w:rsidR="00344C28" w:rsidRPr="00A43E2D" w:rsidTr="003931AC">
        <w:trPr>
          <w:trHeight w:val="253"/>
          <w:jc w:val="center"/>
        </w:trPr>
        <w:tc>
          <w:tcPr>
            <w:tcW w:w="4250" w:type="dxa"/>
            <w:shd w:val="clear" w:color="000000" w:fill="FFFFFF"/>
            <w:noWrap/>
            <w:vAlign w:val="center"/>
            <w:hideMark/>
          </w:tcPr>
          <w:p w:rsidR="00344C28" w:rsidRPr="00A43E2D" w:rsidRDefault="00344C28" w:rsidP="00D50B63">
            <w:pPr>
              <w:ind w:firstLineChars="200" w:firstLine="361"/>
              <w:rPr>
                <w:b/>
                <w:bCs/>
                <w:sz w:val="18"/>
                <w:szCs w:val="22"/>
                <w:lang w:val="es-GT" w:eastAsia="es-GT"/>
              </w:rPr>
            </w:pPr>
            <w:r w:rsidRPr="00A43E2D">
              <w:rPr>
                <w:b/>
                <w:bCs/>
                <w:sz w:val="18"/>
                <w:szCs w:val="22"/>
                <w:lang w:val="es-GT" w:eastAsia="es-GT"/>
              </w:rPr>
              <w:t>Impuestos Asociados al Comercio Exterior</w:t>
            </w:r>
          </w:p>
        </w:tc>
        <w:tc>
          <w:tcPr>
            <w:tcW w:w="942"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7,496.8</w:t>
            </w:r>
          </w:p>
        </w:tc>
        <w:tc>
          <w:tcPr>
            <w:tcW w:w="1134"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10,581.3</w:t>
            </w:r>
          </w:p>
        </w:tc>
        <w:tc>
          <w:tcPr>
            <w:tcW w:w="1134"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3,084.6</w:t>
            </w:r>
          </w:p>
        </w:tc>
        <w:tc>
          <w:tcPr>
            <w:tcW w:w="1222"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41.1%</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al Valor Agregado de Importaciones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6,421.1</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9,049.3</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2,628.2</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40.9%</w:t>
            </w:r>
          </w:p>
        </w:tc>
      </w:tr>
      <w:tr w:rsidR="00344C28" w:rsidRPr="00A43E2D" w:rsidTr="003931AC">
        <w:trPr>
          <w:trHeight w:val="298"/>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Derechos Arancelarios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1,075.7</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1,532.0</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456.4</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42.4%</w:t>
            </w:r>
          </w:p>
        </w:tc>
      </w:tr>
      <w:tr w:rsidR="00344C28" w:rsidRPr="00A43E2D" w:rsidTr="003931AC">
        <w:trPr>
          <w:trHeight w:val="253"/>
          <w:jc w:val="center"/>
        </w:trPr>
        <w:tc>
          <w:tcPr>
            <w:tcW w:w="4250" w:type="dxa"/>
            <w:shd w:val="clear" w:color="000000" w:fill="FFFFFF"/>
            <w:noWrap/>
            <w:vAlign w:val="center"/>
            <w:hideMark/>
          </w:tcPr>
          <w:p w:rsidR="00344C28" w:rsidRPr="00A43E2D" w:rsidRDefault="00344C28" w:rsidP="00D50B63">
            <w:pPr>
              <w:ind w:firstLineChars="200" w:firstLine="361"/>
              <w:rPr>
                <w:b/>
                <w:bCs/>
                <w:sz w:val="18"/>
                <w:szCs w:val="22"/>
                <w:lang w:val="es-GT" w:eastAsia="es-GT"/>
              </w:rPr>
            </w:pPr>
            <w:r w:rsidRPr="00A43E2D">
              <w:rPr>
                <w:b/>
                <w:bCs/>
                <w:sz w:val="18"/>
                <w:szCs w:val="22"/>
                <w:lang w:val="es-GT" w:eastAsia="es-GT"/>
              </w:rPr>
              <w:t>Impuestos Internos</w:t>
            </w:r>
          </w:p>
        </w:tc>
        <w:tc>
          <w:tcPr>
            <w:tcW w:w="942"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20,971.1</w:t>
            </w:r>
          </w:p>
        </w:tc>
        <w:tc>
          <w:tcPr>
            <w:tcW w:w="1134"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25,437.9</w:t>
            </w:r>
          </w:p>
        </w:tc>
        <w:tc>
          <w:tcPr>
            <w:tcW w:w="1134"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4,466.9</w:t>
            </w:r>
          </w:p>
        </w:tc>
        <w:tc>
          <w:tcPr>
            <w:tcW w:w="1222" w:type="dxa"/>
            <w:shd w:val="clear" w:color="000000" w:fill="FFFFFF"/>
            <w:noWrap/>
            <w:vAlign w:val="center"/>
            <w:hideMark/>
          </w:tcPr>
          <w:p w:rsidR="00344C28" w:rsidRPr="00A43E2D" w:rsidRDefault="00344C28" w:rsidP="00D50B63">
            <w:pPr>
              <w:jc w:val="right"/>
              <w:rPr>
                <w:b/>
                <w:bCs/>
                <w:sz w:val="18"/>
                <w:szCs w:val="22"/>
                <w:lang w:val="es-GT" w:eastAsia="es-GT"/>
              </w:rPr>
            </w:pPr>
            <w:r w:rsidRPr="00A43E2D">
              <w:rPr>
                <w:b/>
                <w:bCs/>
                <w:sz w:val="18"/>
                <w:szCs w:val="22"/>
                <w:lang w:val="es-GT" w:eastAsia="es-GT"/>
              </w:rPr>
              <w:t>21.3%</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sobre la Renta</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8,329.3</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10,200.1</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1,870.7</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22.5%</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sobre la propiedad y otros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6.0</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10.8</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4.7</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78.5%</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a las Empresas Mercantiles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0.5</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3.1</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2.6</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523.4%</w:t>
            </w:r>
          </w:p>
        </w:tc>
      </w:tr>
      <w:tr w:rsidR="00344C28" w:rsidRPr="00A43E2D" w:rsidTr="003931AC">
        <w:trPr>
          <w:trHeight w:val="253"/>
          <w:jc w:val="center"/>
        </w:trPr>
        <w:tc>
          <w:tcPr>
            <w:tcW w:w="4250" w:type="dxa"/>
            <w:shd w:val="clear" w:color="000000" w:fill="FFFFFF"/>
            <w:noWrap/>
            <w:vAlign w:val="center"/>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Extraordinario y Temporal AAP</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0.4</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7.9</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7.4</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1748.9%</w:t>
            </w:r>
          </w:p>
        </w:tc>
      </w:tr>
      <w:tr w:rsidR="00344C28" w:rsidRPr="00A43E2D" w:rsidTr="003931AC">
        <w:trPr>
          <w:trHeight w:val="253"/>
          <w:jc w:val="center"/>
        </w:trPr>
        <w:tc>
          <w:tcPr>
            <w:tcW w:w="4250" w:type="dxa"/>
            <w:shd w:val="clear" w:color="000000" w:fill="FFFFFF"/>
            <w:noWrap/>
            <w:vAlign w:val="center"/>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de Solidaridad</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2,435.2</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2,635.3</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200.1</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8.2%</w:t>
            </w:r>
          </w:p>
        </w:tc>
      </w:tr>
      <w:tr w:rsidR="00344C28" w:rsidRPr="00A43E2D" w:rsidTr="003931AC">
        <w:trPr>
          <w:trHeight w:val="214"/>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Impuesto al Valor Agregado Doméstico</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6,954.7</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8,320.1</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1,365.3</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19.6%</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Petróleo</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1,597.8</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1,993.9</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396.2</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24.8%</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Timbres Fiscales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171.0</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272.0</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101.0</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59.1%</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Vehículos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299.6</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472.9</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173.3</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57.8%</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IPRIMA</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351.2</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592.4</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241.2</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68.7%</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Regalías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102.3</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82.3</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-20.0</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-19.6%</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Salida del País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99.2</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81.4</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-17.8</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-18.0%</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3931AC">
            <w:pPr>
              <w:ind w:firstLineChars="400" w:firstLine="720"/>
              <w:rPr>
                <w:sz w:val="18"/>
                <w:szCs w:val="22"/>
                <w:lang w:val="es-GT" w:eastAsia="es-GT"/>
              </w:rPr>
            </w:pPr>
            <w:r w:rsidRPr="00A43E2D">
              <w:rPr>
                <w:sz w:val="18"/>
                <w:szCs w:val="22"/>
                <w:lang w:val="es-GT" w:eastAsia="es-GT"/>
              </w:rPr>
              <w:t xml:space="preserve">Alcoholes y </w:t>
            </w:r>
            <w:r w:rsidR="003931AC">
              <w:rPr>
                <w:sz w:val="18"/>
                <w:szCs w:val="22"/>
                <w:lang w:val="es-GT" w:eastAsia="es-GT"/>
              </w:rPr>
              <w:t>B</w:t>
            </w:r>
            <w:r w:rsidRPr="00A43E2D">
              <w:rPr>
                <w:sz w:val="18"/>
                <w:szCs w:val="22"/>
                <w:lang w:val="es-GT" w:eastAsia="es-GT"/>
              </w:rPr>
              <w:t>ebidas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420.8</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519.9</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99.1</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23.5%</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Tabaco</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132.9</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150.6</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17.7</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13.3%</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Distribución de Cemento</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66.4</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91.4</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25.0</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37.7%</w:t>
            </w:r>
          </w:p>
        </w:tc>
      </w:tr>
      <w:tr w:rsidR="00344C28" w:rsidRPr="00A43E2D" w:rsidTr="003931AC">
        <w:trPr>
          <w:trHeight w:val="253"/>
          <w:jc w:val="center"/>
        </w:trPr>
        <w:tc>
          <w:tcPr>
            <w:tcW w:w="4250" w:type="dxa"/>
            <w:shd w:val="clear" w:color="000000" w:fill="FFFFFF"/>
            <w:noWrap/>
            <w:vAlign w:val="bottom"/>
            <w:hideMark/>
          </w:tcPr>
          <w:p w:rsidR="00344C28" w:rsidRPr="00A43E2D" w:rsidRDefault="00344C28" w:rsidP="00D50B63">
            <w:pPr>
              <w:ind w:firstLineChars="400" w:firstLine="720"/>
              <w:rPr>
                <w:sz w:val="18"/>
                <w:szCs w:val="22"/>
                <w:lang w:val="es-GT" w:eastAsia="es-GT"/>
              </w:rPr>
            </w:pPr>
            <w:r w:rsidRPr="00A43E2D">
              <w:rPr>
                <w:sz w:val="18"/>
                <w:szCs w:val="22"/>
                <w:lang w:val="es-GT" w:eastAsia="es-GT"/>
              </w:rPr>
              <w:t>Otros</w:t>
            </w:r>
          </w:p>
        </w:tc>
        <w:tc>
          <w:tcPr>
            <w:tcW w:w="94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3.7</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4.0</w:t>
            </w:r>
          </w:p>
        </w:tc>
        <w:tc>
          <w:tcPr>
            <w:tcW w:w="1134"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0.3</w:t>
            </w:r>
          </w:p>
        </w:tc>
        <w:tc>
          <w:tcPr>
            <w:tcW w:w="1222" w:type="dxa"/>
            <w:shd w:val="clear" w:color="000000" w:fill="FFFFFF"/>
            <w:noWrap/>
            <w:vAlign w:val="bottom"/>
            <w:hideMark/>
          </w:tcPr>
          <w:p w:rsidR="00344C28" w:rsidRPr="00A43E2D" w:rsidRDefault="00344C28" w:rsidP="00D50B63">
            <w:pPr>
              <w:jc w:val="right"/>
              <w:rPr>
                <w:sz w:val="18"/>
                <w:szCs w:val="22"/>
                <w:lang w:val="es-GT" w:eastAsia="es-GT"/>
              </w:rPr>
            </w:pPr>
            <w:r w:rsidRPr="00A43E2D">
              <w:rPr>
                <w:sz w:val="18"/>
                <w:szCs w:val="22"/>
                <w:lang w:val="es-GT" w:eastAsia="es-GT"/>
              </w:rPr>
              <w:t>7.7%</w:t>
            </w:r>
          </w:p>
        </w:tc>
      </w:tr>
    </w:tbl>
    <w:p w:rsidR="00344C28" w:rsidRPr="008E34D2" w:rsidRDefault="00344C28" w:rsidP="00344C28">
      <w:pPr>
        <w:autoSpaceDE w:val="0"/>
        <w:autoSpaceDN w:val="0"/>
        <w:adjustRightInd w:val="0"/>
        <w:jc w:val="both"/>
        <w:rPr>
          <w:sz w:val="18"/>
          <w:szCs w:val="18"/>
          <w:lang w:val="es-GT"/>
        </w:rPr>
      </w:pPr>
      <w:r w:rsidRPr="00132C56">
        <w:rPr>
          <w:sz w:val="16"/>
          <w:szCs w:val="18"/>
          <w:lang w:val="es-GT"/>
        </w:rPr>
        <w:t>*</w:t>
      </w:r>
      <w:r>
        <w:rPr>
          <w:sz w:val="16"/>
          <w:szCs w:val="18"/>
          <w:lang w:val="es-GT"/>
        </w:rPr>
        <w:t xml:space="preserve"> C</w:t>
      </w:r>
      <w:r w:rsidRPr="008E34D2">
        <w:rPr>
          <w:sz w:val="18"/>
          <w:szCs w:val="18"/>
          <w:lang w:val="es-GT"/>
        </w:rPr>
        <w:t>ifras preliminares</w:t>
      </w:r>
    </w:p>
    <w:p w:rsidR="00344C28" w:rsidRPr="00C81B67" w:rsidRDefault="00344C28" w:rsidP="00344C28">
      <w:pPr>
        <w:autoSpaceDE w:val="0"/>
        <w:autoSpaceDN w:val="0"/>
        <w:adjustRightInd w:val="0"/>
        <w:jc w:val="both"/>
        <w:rPr>
          <w:sz w:val="16"/>
          <w:szCs w:val="18"/>
          <w:lang w:val="es-GT"/>
        </w:rPr>
      </w:pPr>
      <w:r>
        <w:rPr>
          <w:sz w:val="18"/>
          <w:szCs w:val="18"/>
          <w:lang w:val="es-GT"/>
        </w:rPr>
        <w:t xml:space="preserve">   </w:t>
      </w:r>
      <w:r w:rsidRPr="008E34D2">
        <w:rPr>
          <w:sz w:val="18"/>
          <w:szCs w:val="18"/>
          <w:lang w:val="es-GT"/>
        </w:rPr>
        <w:t>Fuente: Ministerio de Finanzas Públicas con base al SICOIN</w:t>
      </w:r>
      <w:r>
        <w:rPr>
          <w:sz w:val="16"/>
          <w:szCs w:val="18"/>
          <w:lang w:val="es-GT"/>
        </w:rPr>
        <w:t>.</w:t>
      </w:r>
    </w:p>
    <w:p w:rsidR="00344C28" w:rsidRPr="00BF26EA" w:rsidRDefault="00344C28" w:rsidP="00344C28">
      <w:pPr>
        <w:pStyle w:val="Default"/>
        <w:jc w:val="both"/>
        <w:rPr>
          <w:rFonts w:ascii="Times New Roman" w:hAnsi="Times New Roman" w:cs="Times New Roman"/>
          <w:lang w:val="es-GT"/>
        </w:rPr>
      </w:pPr>
    </w:p>
    <w:p w:rsidR="00344C28" w:rsidRDefault="00344C28" w:rsidP="00344C28">
      <w:pPr>
        <w:pStyle w:val="Default"/>
        <w:jc w:val="both"/>
        <w:rPr>
          <w:rFonts w:ascii="Times New Roman" w:hAnsi="Times New Roman" w:cs="Times New Roman"/>
        </w:rPr>
      </w:pPr>
    </w:p>
    <w:p w:rsidR="00344C28" w:rsidRPr="00721ED1" w:rsidRDefault="00344C28" w:rsidP="00344C28">
      <w:pPr>
        <w:jc w:val="both"/>
        <w:rPr>
          <w:lang w:val="es-GT"/>
        </w:rPr>
      </w:pPr>
      <w:r w:rsidRPr="00721ED1">
        <w:rPr>
          <w:lang w:val="es-GT"/>
        </w:rPr>
        <w:t>Con relación a la estructura impositiva por el origen del recaudo, los impuestos asociados al comercio exterior al 30 de junio de 202</w:t>
      </w:r>
      <w:r>
        <w:rPr>
          <w:lang w:val="es-GT"/>
        </w:rPr>
        <w:t>1</w:t>
      </w:r>
      <w:r w:rsidRPr="00721ED1">
        <w:rPr>
          <w:lang w:val="es-GT"/>
        </w:rPr>
        <w:t xml:space="preserve"> representaban el 2</w:t>
      </w:r>
      <w:r>
        <w:rPr>
          <w:lang w:val="es-GT"/>
        </w:rPr>
        <w:t>9</w:t>
      </w:r>
      <w:r w:rsidRPr="00721ED1">
        <w:rPr>
          <w:lang w:val="es-GT"/>
        </w:rPr>
        <w:t>.0%, (2</w:t>
      </w:r>
      <w:r>
        <w:rPr>
          <w:lang w:val="es-GT"/>
        </w:rPr>
        <w:t>6</w:t>
      </w:r>
      <w:r w:rsidRPr="00721ED1">
        <w:rPr>
          <w:lang w:val="es-GT"/>
        </w:rPr>
        <w:t>% en 20</w:t>
      </w:r>
      <w:r>
        <w:rPr>
          <w:lang w:val="es-GT"/>
        </w:rPr>
        <w:t>20</w:t>
      </w:r>
      <w:r w:rsidRPr="00721ED1">
        <w:rPr>
          <w:lang w:val="es-GT"/>
        </w:rPr>
        <w:t>)</w:t>
      </w:r>
      <w:r w:rsidR="003931AC">
        <w:rPr>
          <w:lang w:val="es-GT"/>
        </w:rPr>
        <w:t>; este</w:t>
      </w:r>
      <w:r w:rsidRPr="00721ED1">
        <w:rPr>
          <w:lang w:val="es-GT"/>
        </w:rPr>
        <w:t xml:space="preserve"> resultado está en consonancia con </w:t>
      </w:r>
      <w:r>
        <w:rPr>
          <w:lang w:val="es-GT"/>
        </w:rPr>
        <w:t>el incremento</w:t>
      </w:r>
      <w:r w:rsidRPr="00721ED1">
        <w:rPr>
          <w:lang w:val="es-GT"/>
        </w:rPr>
        <w:t xml:space="preserve"> observad</w:t>
      </w:r>
      <w:r>
        <w:rPr>
          <w:lang w:val="es-GT"/>
        </w:rPr>
        <w:t>o</w:t>
      </w:r>
      <w:r w:rsidRPr="00721ED1">
        <w:rPr>
          <w:lang w:val="es-GT"/>
        </w:rPr>
        <w:t xml:space="preserve"> en las importaciones.</w:t>
      </w:r>
    </w:p>
    <w:p w:rsidR="00344C28" w:rsidRDefault="00344C28" w:rsidP="00344C28">
      <w:pPr>
        <w:jc w:val="both"/>
      </w:pPr>
    </w:p>
    <w:p w:rsidR="003931AC" w:rsidRDefault="003931AC" w:rsidP="00344C28">
      <w:pPr>
        <w:jc w:val="both"/>
      </w:pPr>
    </w:p>
    <w:p w:rsidR="00344C28" w:rsidRPr="008D520F" w:rsidRDefault="00344C28" w:rsidP="00344C28">
      <w:pPr>
        <w:pStyle w:val="Prrafodelista"/>
        <w:ind w:left="360"/>
        <w:jc w:val="center"/>
        <w:rPr>
          <w:b/>
          <w:sz w:val="22"/>
          <w:lang w:val="es-MX"/>
        </w:rPr>
      </w:pPr>
      <w:r w:rsidRPr="008D520F">
        <w:rPr>
          <w:b/>
          <w:sz w:val="22"/>
          <w:lang w:val="es-MX"/>
        </w:rPr>
        <w:lastRenderedPageBreak/>
        <w:t>Gráfica 11</w:t>
      </w:r>
    </w:p>
    <w:p w:rsidR="00344C28" w:rsidRPr="0088577C" w:rsidRDefault="00344C28" w:rsidP="00344C28">
      <w:pPr>
        <w:pStyle w:val="Prrafodelista"/>
        <w:ind w:left="360"/>
        <w:jc w:val="center"/>
        <w:rPr>
          <w:b/>
          <w:sz w:val="22"/>
          <w:lang w:val="es-MX"/>
        </w:rPr>
      </w:pPr>
      <w:r w:rsidRPr="0088577C">
        <w:rPr>
          <w:b/>
          <w:sz w:val="22"/>
          <w:lang w:val="es-MX"/>
        </w:rPr>
        <w:t xml:space="preserve">Estructura </w:t>
      </w:r>
      <w:r>
        <w:rPr>
          <w:b/>
          <w:sz w:val="22"/>
          <w:lang w:val="es-MX"/>
        </w:rPr>
        <w:t>T</w:t>
      </w:r>
      <w:r w:rsidRPr="0088577C">
        <w:rPr>
          <w:b/>
          <w:sz w:val="22"/>
          <w:lang w:val="es-MX"/>
        </w:rPr>
        <w:t xml:space="preserve">ributaria por </w:t>
      </w:r>
      <w:r>
        <w:rPr>
          <w:b/>
          <w:sz w:val="22"/>
          <w:lang w:val="es-MX"/>
        </w:rPr>
        <w:t>O</w:t>
      </w:r>
      <w:r w:rsidRPr="0088577C">
        <w:rPr>
          <w:b/>
          <w:sz w:val="22"/>
          <w:lang w:val="es-MX"/>
        </w:rPr>
        <w:t xml:space="preserve">rigen del </w:t>
      </w:r>
      <w:r>
        <w:rPr>
          <w:b/>
          <w:sz w:val="22"/>
          <w:lang w:val="es-MX"/>
        </w:rPr>
        <w:t>R</w:t>
      </w:r>
      <w:r w:rsidRPr="0088577C">
        <w:rPr>
          <w:b/>
          <w:sz w:val="22"/>
          <w:lang w:val="es-MX"/>
        </w:rPr>
        <w:t>ecaudo</w:t>
      </w:r>
    </w:p>
    <w:p w:rsidR="00344C28" w:rsidRPr="0088577C" w:rsidRDefault="00344C28" w:rsidP="00344C28">
      <w:pPr>
        <w:pStyle w:val="Prrafodelista"/>
        <w:ind w:left="360"/>
        <w:jc w:val="center"/>
        <w:rPr>
          <w:b/>
          <w:sz w:val="22"/>
          <w:lang w:val="es-MX"/>
        </w:rPr>
      </w:pPr>
      <w:r w:rsidRPr="0088577C">
        <w:rPr>
          <w:b/>
          <w:sz w:val="22"/>
          <w:lang w:val="es-MX"/>
        </w:rPr>
        <w:t>Comparativo 20</w:t>
      </w:r>
      <w:r>
        <w:rPr>
          <w:b/>
          <w:sz w:val="22"/>
          <w:lang w:val="es-MX"/>
        </w:rPr>
        <w:t xml:space="preserve">20 </w:t>
      </w:r>
      <w:r w:rsidRPr="0088577C">
        <w:rPr>
          <w:b/>
          <w:sz w:val="22"/>
          <w:lang w:val="es-MX"/>
        </w:rPr>
        <w:t>-</w:t>
      </w:r>
      <w:r>
        <w:rPr>
          <w:b/>
          <w:sz w:val="22"/>
          <w:lang w:val="es-MX"/>
        </w:rPr>
        <w:t xml:space="preserve"> </w:t>
      </w:r>
      <w:r w:rsidRPr="0088577C">
        <w:rPr>
          <w:b/>
          <w:sz w:val="22"/>
          <w:lang w:val="es-MX"/>
        </w:rPr>
        <w:t>20</w:t>
      </w:r>
      <w:r>
        <w:rPr>
          <w:b/>
          <w:sz w:val="22"/>
          <w:lang w:val="es-MX"/>
        </w:rPr>
        <w:t>21</w:t>
      </w:r>
      <w:r w:rsidRPr="0088577C">
        <w:rPr>
          <w:b/>
          <w:sz w:val="22"/>
          <w:lang w:val="es-MX"/>
        </w:rPr>
        <w:t>*</w:t>
      </w:r>
    </w:p>
    <w:p w:rsidR="00344C28" w:rsidRPr="0088577C" w:rsidRDefault="00344C28" w:rsidP="00344C28">
      <w:pPr>
        <w:pStyle w:val="Prrafodelista"/>
        <w:ind w:left="360"/>
        <w:jc w:val="center"/>
        <w:rPr>
          <w:b/>
          <w:sz w:val="22"/>
          <w:lang w:val="es-MX"/>
        </w:rPr>
      </w:pPr>
      <w:r w:rsidRPr="0088577C">
        <w:rPr>
          <w:b/>
          <w:sz w:val="22"/>
          <w:lang w:val="es-MX"/>
        </w:rPr>
        <w:t>Al 30 de junio de cada año</w:t>
      </w:r>
    </w:p>
    <w:p w:rsidR="00344C28" w:rsidRDefault="00344C28" w:rsidP="00344C28">
      <w:pPr>
        <w:tabs>
          <w:tab w:val="left" w:pos="426"/>
        </w:tabs>
        <w:jc w:val="center"/>
        <w:rPr>
          <w:b/>
          <w:sz w:val="20"/>
        </w:rPr>
      </w:pPr>
    </w:p>
    <w:p w:rsidR="00344C28" w:rsidRDefault="00344C28" w:rsidP="00344C28">
      <w:pPr>
        <w:tabs>
          <w:tab w:val="left" w:pos="426"/>
        </w:tabs>
        <w:rPr>
          <w:b/>
          <w:sz w:val="20"/>
        </w:rPr>
      </w:pPr>
      <w:r>
        <w:rPr>
          <w:noProof/>
          <w:lang w:val="es-GT" w:eastAsia="es-GT"/>
        </w:rPr>
        <w:drawing>
          <wp:inline distT="0" distB="0" distL="0" distR="0" wp14:anchorId="1DBF9D2E" wp14:editId="5AFDA0BC">
            <wp:extent cx="2699385" cy="2506980"/>
            <wp:effectExtent l="0" t="0" r="5715" b="7620"/>
            <wp:docPr id="51" name="Gráfico 51">
              <a:extLst xmlns:a="http://schemas.openxmlformats.org/drawingml/2006/main">
                <a:ext uri="{FF2B5EF4-FFF2-40B4-BE49-F238E27FC236}">
                  <a16:creationId xmlns:a16="http://schemas.microsoft.com/office/drawing/2014/main" id="{7DC29DC2-27A0-4E38-8B9D-F1E4F8529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b/>
          <w:sz w:val="20"/>
        </w:rPr>
        <w:t xml:space="preserve">  </w:t>
      </w:r>
      <w:r w:rsidRPr="008D520F">
        <w:rPr>
          <w:noProof/>
        </w:rPr>
        <w:t xml:space="preserve"> </w:t>
      </w:r>
      <w:r>
        <w:rPr>
          <w:noProof/>
          <w:lang w:val="es-GT" w:eastAsia="es-GT"/>
        </w:rPr>
        <w:drawing>
          <wp:inline distT="0" distB="0" distL="0" distR="0" wp14:anchorId="4F0C40E2" wp14:editId="24221038">
            <wp:extent cx="2775585" cy="2527300"/>
            <wp:effectExtent l="0" t="0" r="5715" b="6350"/>
            <wp:docPr id="52" name="Gráfico 52">
              <a:extLst xmlns:a="http://schemas.openxmlformats.org/drawingml/2006/main">
                <a:ext uri="{FF2B5EF4-FFF2-40B4-BE49-F238E27FC236}">
                  <a16:creationId xmlns:a16="http://schemas.microsoft.com/office/drawing/2014/main" id="{7DC29DC2-27A0-4E38-8B9D-F1E4F8529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44C28" w:rsidRPr="00132C56" w:rsidRDefault="00344C28" w:rsidP="00344C28">
      <w:pPr>
        <w:jc w:val="both"/>
        <w:rPr>
          <w:sz w:val="18"/>
          <w:szCs w:val="18"/>
          <w:lang w:val="es-GT"/>
        </w:rPr>
      </w:pPr>
      <w:r w:rsidRPr="00132C56">
        <w:rPr>
          <w:sz w:val="18"/>
          <w:szCs w:val="18"/>
          <w:lang w:val="es-GT"/>
        </w:rPr>
        <w:t>*</w:t>
      </w:r>
      <w:r>
        <w:rPr>
          <w:sz w:val="18"/>
          <w:szCs w:val="18"/>
          <w:lang w:val="es-GT"/>
        </w:rPr>
        <w:t xml:space="preserve"> </w:t>
      </w:r>
      <w:r w:rsidRPr="00132C56">
        <w:rPr>
          <w:sz w:val="18"/>
          <w:szCs w:val="18"/>
          <w:lang w:val="es-GT"/>
        </w:rPr>
        <w:t>Cifras preliminares</w:t>
      </w:r>
    </w:p>
    <w:p w:rsidR="00344C28" w:rsidRPr="00132C56" w:rsidRDefault="00344C28" w:rsidP="00344C28">
      <w:pPr>
        <w:jc w:val="both"/>
        <w:rPr>
          <w:sz w:val="18"/>
          <w:szCs w:val="18"/>
          <w:lang w:val="es-GT"/>
        </w:rPr>
      </w:pPr>
      <w:r>
        <w:rPr>
          <w:sz w:val="18"/>
          <w:szCs w:val="18"/>
          <w:lang w:val="es-GT"/>
        </w:rPr>
        <w:t xml:space="preserve">   </w:t>
      </w:r>
      <w:r w:rsidRPr="00132C56">
        <w:rPr>
          <w:sz w:val="18"/>
          <w:szCs w:val="18"/>
          <w:lang w:val="es-GT"/>
        </w:rPr>
        <w:t>Fuente: Ministerio de Finanzas Públicas con base al SICOIN.</w:t>
      </w:r>
    </w:p>
    <w:p w:rsidR="00344C28" w:rsidRPr="00D7055A" w:rsidRDefault="00344C28" w:rsidP="00344C28">
      <w:pPr>
        <w:jc w:val="both"/>
        <w:rPr>
          <w:sz w:val="2"/>
          <w:lang w:val="es-GT"/>
        </w:rPr>
      </w:pPr>
    </w:p>
    <w:p w:rsidR="00344C28" w:rsidRPr="003931AC" w:rsidRDefault="00344C28" w:rsidP="00344C28">
      <w:pPr>
        <w:jc w:val="both"/>
        <w:rPr>
          <w:sz w:val="48"/>
          <w:lang w:val="es-GT"/>
        </w:rPr>
      </w:pPr>
    </w:p>
    <w:p w:rsidR="00344C28" w:rsidRPr="00E972E8" w:rsidRDefault="00344C28" w:rsidP="00344C28">
      <w:pPr>
        <w:jc w:val="both"/>
        <w:rPr>
          <w:lang w:val="es-GT"/>
        </w:rPr>
      </w:pPr>
      <w:r>
        <w:rPr>
          <w:lang w:val="es-GT"/>
        </w:rPr>
        <w:t>En cuanto a la estructura porcentual de la recaudación por tipo de impuesto, los impuestos indirectos disminuyeron en 2.2% respecto de 2020, derivado de</w:t>
      </w:r>
      <w:r w:rsidRPr="00E972E8">
        <w:rPr>
          <w:lang w:val="es-GT"/>
        </w:rPr>
        <w:t xml:space="preserve"> los efectos de la pandemia COVID-19</w:t>
      </w:r>
      <w:r>
        <w:rPr>
          <w:lang w:val="es-GT"/>
        </w:rPr>
        <w:t xml:space="preserve">. No obstante lo anterior, sin cambios en la estructura tributaria a nivel normativo, la regresividad del sistema </w:t>
      </w:r>
      <w:r w:rsidR="00E96F3B">
        <w:rPr>
          <w:lang w:val="es-GT"/>
        </w:rPr>
        <w:t>continúa</w:t>
      </w:r>
      <w:r>
        <w:rPr>
          <w:lang w:val="es-GT"/>
        </w:rPr>
        <w:t xml:space="preserve"> invariante.</w:t>
      </w:r>
    </w:p>
    <w:p w:rsidR="00344C28" w:rsidRPr="00E972E8" w:rsidRDefault="00344C28" w:rsidP="00344C28">
      <w:pPr>
        <w:jc w:val="both"/>
        <w:rPr>
          <w:lang w:val="es-GT"/>
        </w:rPr>
      </w:pPr>
    </w:p>
    <w:p w:rsidR="00344C28" w:rsidRPr="0088577C" w:rsidRDefault="00344C28" w:rsidP="00344C28">
      <w:pPr>
        <w:jc w:val="center"/>
        <w:rPr>
          <w:b/>
          <w:sz w:val="22"/>
          <w:lang w:val="es-MX"/>
        </w:rPr>
      </w:pPr>
      <w:r w:rsidRPr="0088577C">
        <w:rPr>
          <w:b/>
          <w:sz w:val="22"/>
          <w:lang w:val="es-MX"/>
        </w:rPr>
        <w:t xml:space="preserve">Gráfica </w:t>
      </w:r>
      <w:r>
        <w:rPr>
          <w:b/>
          <w:sz w:val="22"/>
          <w:lang w:val="es-MX"/>
        </w:rPr>
        <w:t>12</w:t>
      </w:r>
    </w:p>
    <w:p w:rsidR="00344C28" w:rsidRPr="0088577C" w:rsidRDefault="00344C28" w:rsidP="00344C28">
      <w:pPr>
        <w:jc w:val="center"/>
        <w:rPr>
          <w:b/>
          <w:sz w:val="22"/>
          <w:lang w:val="es-MX"/>
        </w:rPr>
      </w:pPr>
      <w:r w:rsidRPr="0088577C">
        <w:rPr>
          <w:b/>
          <w:sz w:val="22"/>
          <w:lang w:val="es-MX"/>
        </w:rPr>
        <w:t xml:space="preserve">Estructura </w:t>
      </w:r>
      <w:r>
        <w:rPr>
          <w:b/>
          <w:sz w:val="22"/>
          <w:lang w:val="es-MX"/>
        </w:rPr>
        <w:t>T</w:t>
      </w:r>
      <w:r w:rsidRPr="0088577C">
        <w:rPr>
          <w:b/>
          <w:sz w:val="22"/>
          <w:lang w:val="es-MX"/>
        </w:rPr>
        <w:t xml:space="preserve">ributaria por </w:t>
      </w:r>
      <w:r>
        <w:rPr>
          <w:b/>
          <w:sz w:val="22"/>
          <w:lang w:val="es-MX"/>
        </w:rPr>
        <w:t>T</w:t>
      </w:r>
      <w:r w:rsidRPr="0088577C">
        <w:rPr>
          <w:b/>
          <w:sz w:val="22"/>
          <w:lang w:val="es-MX"/>
        </w:rPr>
        <w:t xml:space="preserve">ipo de </w:t>
      </w:r>
      <w:r>
        <w:rPr>
          <w:b/>
          <w:sz w:val="22"/>
          <w:lang w:val="es-MX"/>
        </w:rPr>
        <w:t>I</w:t>
      </w:r>
      <w:r w:rsidRPr="0088577C">
        <w:rPr>
          <w:b/>
          <w:sz w:val="22"/>
          <w:lang w:val="es-MX"/>
        </w:rPr>
        <w:t>mpuesto</w:t>
      </w:r>
    </w:p>
    <w:p w:rsidR="00344C28" w:rsidRPr="0088577C" w:rsidRDefault="00344C28" w:rsidP="00344C28">
      <w:pPr>
        <w:jc w:val="center"/>
        <w:rPr>
          <w:b/>
          <w:sz w:val="22"/>
          <w:lang w:val="es-MX"/>
        </w:rPr>
      </w:pPr>
      <w:r w:rsidRPr="0088577C">
        <w:rPr>
          <w:b/>
          <w:sz w:val="22"/>
          <w:lang w:val="es-MX"/>
        </w:rPr>
        <w:t>Comparativo 20</w:t>
      </w:r>
      <w:r>
        <w:rPr>
          <w:b/>
          <w:sz w:val="22"/>
          <w:lang w:val="es-MX"/>
        </w:rPr>
        <w:t xml:space="preserve">20 </w:t>
      </w:r>
      <w:r w:rsidRPr="0088577C">
        <w:rPr>
          <w:b/>
          <w:sz w:val="22"/>
          <w:lang w:val="es-MX"/>
        </w:rPr>
        <w:t>-</w:t>
      </w:r>
      <w:r>
        <w:rPr>
          <w:b/>
          <w:sz w:val="22"/>
          <w:lang w:val="es-MX"/>
        </w:rPr>
        <w:t xml:space="preserve"> </w:t>
      </w:r>
      <w:r w:rsidRPr="0088577C">
        <w:rPr>
          <w:b/>
          <w:sz w:val="22"/>
          <w:lang w:val="es-MX"/>
        </w:rPr>
        <w:t>20</w:t>
      </w:r>
      <w:r>
        <w:rPr>
          <w:b/>
          <w:sz w:val="22"/>
          <w:lang w:val="es-MX"/>
        </w:rPr>
        <w:t>21</w:t>
      </w:r>
      <w:r w:rsidRPr="0088577C">
        <w:rPr>
          <w:b/>
          <w:sz w:val="22"/>
          <w:lang w:val="es-MX"/>
        </w:rPr>
        <w:t>*</w:t>
      </w:r>
    </w:p>
    <w:p w:rsidR="00344C28" w:rsidRDefault="00344C28" w:rsidP="00344C28">
      <w:pPr>
        <w:jc w:val="center"/>
        <w:rPr>
          <w:b/>
          <w:sz w:val="22"/>
          <w:lang w:val="es-MX"/>
        </w:rPr>
      </w:pPr>
      <w:r w:rsidRPr="0088577C">
        <w:rPr>
          <w:b/>
          <w:sz w:val="22"/>
          <w:lang w:val="es-MX"/>
        </w:rPr>
        <w:t>Al 30 de junio de cada año</w:t>
      </w:r>
    </w:p>
    <w:p w:rsidR="000A4396" w:rsidRDefault="000A4396" w:rsidP="00344C28">
      <w:pPr>
        <w:jc w:val="center"/>
        <w:rPr>
          <w:b/>
          <w:noProof/>
          <w:lang w:val="es-GT" w:eastAsia="es-GT"/>
        </w:rPr>
      </w:pPr>
      <w:r>
        <w:rPr>
          <w:noProof/>
          <w:lang w:val="es-GT" w:eastAsia="es-GT"/>
        </w:rPr>
        <w:drawing>
          <wp:inline distT="0" distB="0" distL="0" distR="0" wp14:anchorId="49D50052" wp14:editId="0B7A2AAD">
            <wp:extent cx="2691441" cy="2234242"/>
            <wp:effectExtent l="0" t="0" r="13970" b="13970"/>
            <wp:docPr id="3" name="Gráfico 3">
              <a:extLst xmlns:a="http://schemas.openxmlformats.org/drawingml/2006/main">
                <a:ext uri="{FF2B5EF4-FFF2-40B4-BE49-F238E27FC236}">
                  <a16:creationId xmlns:a16="http://schemas.microsoft.com/office/drawing/2014/main" id="{51A01533-58CA-47E2-AD0D-FC3A85B9C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lang w:val="es-GT" w:eastAsia="es-GT"/>
        </w:rPr>
        <w:drawing>
          <wp:inline distT="0" distB="0" distL="0" distR="0" wp14:anchorId="68C3DD00" wp14:editId="3D024502">
            <wp:extent cx="2889849" cy="2225615"/>
            <wp:effectExtent l="0" t="0" r="25400" b="22860"/>
            <wp:docPr id="16" name="Gráfico 16">
              <a:extLst xmlns:a="http://schemas.openxmlformats.org/drawingml/2006/main">
                <a:ext uri="{FF2B5EF4-FFF2-40B4-BE49-F238E27FC236}">
                  <a16:creationId xmlns:a16="http://schemas.microsoft.com/office/drawing/2014/main" id="{010C8E80-13AD-4DA7-AE8F-B45719037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44C28" w:rsidRDefault="00344C28" w:rsidP="00344C28">
      <w:pPr>
        <w:jc w:val="right"/>
        <w:rPr>
          <w:b/>
          <w:sz w:val="20"/>
          <w:lang w:val="es-MX"/>
        </w:rPr>
      </w:pPr>
    </w:p>
    <w:p w:rsidR="00344C28" w:rsidRPr="005B732C" w:rsidRDefault="00344C28" w:rsidP="00344C28">
      <w:pPr>
        <w:jc w:val="both"/>
        <w:rPr>
          <w:sz w:val="18"/>
          <w:szCs w:val="18"/>
          <w:lang w:val="es-GT"/>
        </w:rPr>
      </w:pPr>
      <w:r w:rsidRPr="005B732C">
        <w:rPr>
          <w:sz w:val="18"/>
          <w:szCs w:val="18"/>
          <w:lang w:val="es-GT"/>
        </w:rPr>
        <w:t>*</w:t>
      </w:r>
      <w:r>
        <w:rPr>
          <w:sz w:val="18"/>
          <w:szCs w:val="18"/>
          <w:lang w:val="es-GT"/>
        </w:rPr>
        <w:t xml:space="preserve"> </w:t>
      </w:r>
      <w:r w:rsidRPr="005B732C">
        <w:rPr>
          <w:sz w:val="18"/>
          <w:szCs w:val="18"/>
          <w:lang w:val="es-GT"/>
        </w:rPr>
        <w:t>Cifras preliminares</w:t>
      </w:r>
      <w:r>
        <w:rPr>
          <w:sz w:val="18"/>
          <w:szCs w:val="18"/>
          <w:lang w:val="es-GT"/>
        </w:rPr>
        <w:t xml:space="preserve"> </w:t>
      </w:r>
    </w:p>
    <w:p w:rsidR="00344C28" w:rsidRDefault="00344C28" w:rsidP="00344C28">
      <w:pPr>
        <w:jc w:val="both"/>
        <w:rPr>
          <w:lang w:val="es-GT"/>
        </w:rPr>
      </w:pPr>
      <w:r>
        <w:rPr>
          <w:sz w:val="18"/>
          <w:szCs w:val="18"/>
          <w:lang w:val="es-GT"/>
        </w:rPr>
        <w:t xml:space="preserve">   </w:t>
      </w:r>
      <w:r w:rsidRPr="006C1510">
        <w:rPr>
          <w:sz w:val="18"/>
          <w:szCs w:val="18"/>
          <w:lang w:val="es-GT"/>
        </w:rPr>
        <w:t>Fuente: Ministerio de Finanzas Públicas con base</w:t>
      </w:r>
      <w:r>
        <w:rPr>
          <w:sz w:val="18"/>
          <w:szCs w:val="18"/>
          <w:lang w:val="es-GT"/>
        </w:rPr>
        <w:t xml:space="preserve"> al</w:t>
      </w:r>
      <w:r w:rsidRPr="006C1510">
        <w:rPr>
          <w:sz w:val="18"/>
          <w:szCs w:val="18"/>
          <w:lang w:val="es-GT"/>
        </w:rPr>
        <w:t xml:space="preserve"> SICOIN</w:t>
      </w:r>
      <w:r>
        <w:rPr>
          <w:sz w:val="18"/>
          <w:szCs w:val="18"/>
          <w:lang w:val="es-GT"/>
        </w:rPr>
        <w:t>.</w:t>
      </w:r>
    </w:p>
    <w:p w:rsidR="00344C28" w:rsidRPr="00A76096" w:rsidRDefault="00344C28" w:rsidP="00344C28">
      <w:pPr>
        <w:jc w:val="both"/>
        <w:rPr>
          <w:sz w:val="4"/>
          <w:lang w:val="es-GT"/>
        </w:rPr>
      </w:pPr>
    </w:p>
    <w:p w:rsidR="00E425C1" w:rsidRPr="00835314" w:rsidRDefault="00E425C1" w:rsidP="004C636B">
      <w:pPr>
        <w:pStyle w:val="Ttulo2"/>
        <w:numPr>
          <w:ilvl w:val="0"/>
          <w:numId w:val="5"/>
        </w:numPr>
        <w:ind w:left="709" w:hanging="709"/>
        <w:rPr>
          <w:rFonts w:ascii="Times New Roman" w:hAnsi="Times New Roman"/>
          <w:color w:val="auto"/>
          <w:sz w:val="24"/>
        </w:rPr>
      </w:pPr>
      <w:bookmarkStart w:id="16" w:name="_Toc83713624"/>
      <w:bookmarkEnd w:id="3"/>
      <w:bookmarkEnd w:id="4"/>
      <w:r>
        <w:rPr>
          <w:rFonts w:ascii="Times New Roman" w:hAnsi="Times New Roman"/>
          <w:color w:val="auto"/>
          <w:sz w:val="24"/>
        </w:rPr>
        <w:lastRenderedPageBreak/>
        <w:t>Gastos</w:t>
      </w:r>
      <w:bookmarkEnd w:id="16"/>
    </w:p>
    <w:p w:rsidR="00E425C1" w:rsidRDefault="00E425C1" w:rsidP="00E425C1">
      <w:pPr>
        <w:rPr>
          <w:b/>
          <w:bCs/>
          <w:highlight w:val="yellow"/>
          <w:lang w:val="es-MX"/>
        </w:rPr>
      </w:pPr>
    </w:p>
    <w:p w:rsidR="00C6012B" w:rsidRDefault="00C6012B" w:rsidP="00C6012B">
      <w:pPr>
        <w:jc w:val="both"/>
        <w:rPr>
          <w:lang w:val="es-MX"/>
        </w:rPr>
      </w:pPr>
      <w:r w:rsidRPr="00FB641E">
        <w:rPr>
          <w:lang w:val="es-MX"/>
        </w:rPr>
        <w:t>Al 30 de junio de 20</w:t>
      </w:r>
      <w:r>
        <w:rPr>
          <w:lang w:val="es-MX"/>
        </w:rPr>
        <w:t>21</w:t>
      </w:r>
      <w:r w:rsidR="00340800">
        <w:rPr>
          <w:lang w:val="es-MX"/>
        </w:rPr>
        <w:t>,</w:t>
      </w:r>
      <w:r w:rsidRPr="00FB641E">
        <w:rPr>
          <w:lang w:val="es-MX"/>
        </w:rPr>
        <w:t xml:space="preserve"> </w:t>
      </w:r>
      <w:r>
        <w:rPr>
          <w:lang w:val="es-MX"/>
        </w:rPr>
        <w:t>la ejecución presupuestaria preliminar fue de</w:t>
      </w:r>
      <w:r w:rsidRPr="00FB641E">
        <w:rPr>
          <w:lang w:val="es-MX"/>
        </w:rPr>
        <w:t xml:space="preserve"> Q</w:t>
      </w:r>
      <w:r w:rsidR="00340800">
        <w:rPr>
          <w:lang w:val="es-MX"/>
        </w:rPr>
        <w:t>.</w:t>
      </w:r>
      <w:r>
        <w:rPr>
          <w:lang w:val="es-MX"/>
        </w:rPr>
        <w:t>41</w:t>
      </w:r>
      <w:r w:rsidRPr="00FB641E">
        <w:rPr>
          <w:lang w:val="es-MX"/>
        </w:rPr>
        <w:t>,</w:t>
      </w:r>
      <w:r>
        <w:rPr>
          <w:lang w:val="es-MX"/>
        </w:rPr>
        <w:t>408.5</w:t>
      </w:r>
      <w:r w:rsidRPr="00FB641E">
        <w:rPr>
          <w:lang w:val="es-MX"/>
        </w:rPr>
        <w:t xml:space="preserve"> millones, </w:t>
      </w:r>
      <w:r>
        <w:rPr>
          <w:lang w:val="es-MX"/>
        </w:rPr>
        <w:t>equivalentes al 38.5</w:t>
      </w:r>
      <w:r w:rsidRPr="00FB641E">
        <w:rPr>
          <w:lang w:val="es-MX"/>
        </w:rPr>
        <w:t>% del presupuesto vigente</w:t>
      </w:r>
      <w:r>
        <w:rPr>
          <w:lang w:val="es-MX"/>
        </w:rPr>
        <w:t>, tomando en cuenta que el presupuesto para 2021 no fue aprobado y que se mantiene el presupuesto de 2020;</w:t>
      </w:r>
      <w:r w:rsidRPr="00FB641E">
        <w:rPr>
          <w:lang w:val="es-MX"/>
        </w:rPr>
        <w:t xml:space="preserve"> </w:t>
      </w:r>
      <w:r>
        <w:rPr>
          <w:lang w:val="es-MX"/>
        </w:rPr>
        <w:t>esta ejecución fue mayor en Q</w:t>
      </w:r>
      <w:r w:rsidR="00340800">
        <w:rPr>
          <w:lang w:val="es-MX"/>
        </w:rPr>
        <w:t>.</w:t>
      </w:r>
      <w:r>
        <w:rPr>
          <w:lang w:val="es-MX"/>
        </w:rPr>
        <w:t>112.3 millones respecto del observado a junio de 2020</w:t>
      </w:r>
      <w:r w:rsidRPr="00FB641E">
        <w:rPr>
          <w:lang w:val="es-MX"/>
        </w:rPr>
        <w:t xml:space="preserve">. </w:t>
      </w:r>
      <w:r>
        <w:rPr>
          <w:lang w:val="es-MX"/>
        </w:rPr>
        <w:t>La estructura del gasto preliminar, por tipo de gasto, a junio de 2021 refleja que el 67.4% corresponde a gastos de funcionamiento, el 15.5% al gasto en inversión y la diferencia restante corresponde al pago del servicio de la deuda pública que fue del 17.1%</w:t>
      </w:r>
      <w:r w:rsidRPr="00FB641E">
        <w:rPr>
          <w:lang w:val="es-MX"/>
        </w:rPr>
        <w:t>.</w:t>
      </w:r>
    </w:p>
    <w:p w:rsidR="00C6012B" w:rsidRDefault="00C6012B" w:rsidP="00C6012B">
      <w:pPr>
        <w:jc w:val="both"/>
        <w:rPr>
          <w:lang w:val="es-MX"/>
        </w:rPr>
      </w:pPr>
    </w:p>
    <w:p w:rsidR="00C6012B" w:rsidRDefault="00C6012B" w:rsidP="00C6012B">
      <w:pPr>
        <w:jc w:val="both"/>
        <w:rPr>
          <w:lang w:val="es-MX"/>
        </w:rPr>
      </w:pPr>
      <w:r>
        <w:rPr>
          <w:lang w:val="es-MX"/>
        </w:rPr>
        <w:t>El presupuesto vigente al 30 de junio de 2021 es similar al del mismo período de 2020</w:t>
      </w:r>
      <w:r w:rsidR="00340800">
        <w:rPr>
          <w:lang w:val="es-MX"/>
        </w:rPr>
        <w:t>,</w:t>
      </w:r>
      <w:r>
        <w:rPr>
          <w:lang w:val="es-MX"/>
        </w:rPr>
        <w:t xml:space="preserve"> en virtud que el proyecto de presupuesto para 2021 no fue aprobado, la diferencia neta es mínima, en el orden de los Q</w:t>
      </w:r>
      <w:r w:rsidR="00340800">
        <w:rPr>
          <w:lang w:val="es-MX"/>
        </w:rPr>
        <w:t>.</w:t>
      </w:r>
      <w:r>
        <w:rPr>
          <w:lang w:val="es-MX"/>
        </w:rPr>
        <w:t xml:space="preserve">239.3 millones, por debajo </w:t>
      </w:r>
      <w:r w:rsidR="00340800">
        <w:rPr>
          <w:lang w:val="es-MX"/>
        </w:rPr>
        <w:t>de</w:t>
      </w:r>
      <w:r>
        <w:rPr>
          <w:lang w:val="es-MX"/>
        </w:rPr>
        <w:t xml:space="preserve"> lo observado el año anterior</w:t>
      </w:r>
      <w:r w:rsidR="00340800">
        <w:rPr>
          <w:lang w:val="es-MX"/>
        </w:rPr>
        <w:t>;</w:t>
      </w:r>
      <w:r>
        <w:rPr>
          <w:lang w:val="es-MX"/>
        </w:rPr>
        <w:t xml:space="preserve"> de esa cuenta es que el porcentaje de ejecución alcanza el mismo nivel en ambos años, de lo cual vale resaltar que disminuye la ejecución por el lado de la inversión y aumenta en funcionamiento y e</w:t>
      </w:r>
      <w:r w:rsidR="00340800">
        <w:rPr>
          <w:lang w:val="es-MX"/>
        </w:rPr>
        <w:t>l servicio de la Deuda Pública.</w:t>
      </w:r>
    </w:p>
    <w:p w:rsidR="00C6012B" w:rsidRDefault="00C6012B" w:rsidP="00C6012B">
      <w:pPr>
        <w:jc w:val="both"/>
        <w:rPr>
          <w:lang w:val="es-MX"/>
        </w:rPr>
      </w:pPr>
    </w:p>
    <w:p w:rsidR="00C6012B" w:rsidRDefault="00C6012B" w:rsidP="00C6012B">
      <w:pPr>
        <w:jc w:val="both"/>
        <w:rPr>
          <w:b/>
          <w:sz w:val="22"/>
          <w:szCs w:val="22"/>
          <w:lang w:val="es-MX"/>
        </w:rPr>
      </w:pPr>
      <w:r>
        <w:rPr>
          <w:lang w:val="es-MX"/>
        </w:rPr>
        <w:t>Al observar el presupuesto vigente al 30 de junio de 2021, éste se ubica en Q</w:t>
      </w:r>
      <w:r w:rsidR="00340800">
        <w:rPr>
          <w:lang w:val="es-MX"/>
        </w:rPr>
        <w:t>.</w:t>
      </w:r>
      <w:r>
        <w:rPr>
          <w:lang w:val="es-MX"/>
        </w:rPr>
        <w:t>107,521.5 millones, el cual es menor en Q</w:t>
      </w:r>
      <w:r w:rsidR="00340800">
        <w:rPr>
          <w:lang w:val="es-MX"/>
        </w:rPr>
        <w:t>.</w:t>
      </w:r>
      <w:r>
        <w:rPr>
          <w:lang w:val="es-MX"/>
        </w:rPr>
        <w:t xml:space="preserve">239.3 millones al compararlo con el presupuesto vigente de 2020; la diferencia es mínima en virtud que el proyecto de presupuesto presentado al Congreso de la República de Guatemala, no fue aprobado, por lo que el presupuesto vigente del año anterior pasa a ser el presupuesto del siguiente </w:t>
      </w:r>
      <w:r w:rsidR="00340800">
        <w:rPr>
          <w:lang w:val="es-MX"/>
        </w:rPr>
        <w:t>año, según dicta el marco legal establecido en la Constitución Política de la República de Guatemala.</w:t>
      </w:r>
    </w:p>
    <w:p w:rsidR="00C6012B" w:rsidRDefault="00C6012B" w:rsidP="00C6012B">
      <w:pPr>
        <w:rPr>
          <w:b/>
          <w:sz w:val="22"/>
          <w:szCs w:val="22"/>
          <w:lang w:val="es-MX"/>
        </w:rPr>
      </w:pPr>
    </w:p>
    <w:p w:rsidR="00C6012B" w:rsidRDefault="00C6012B" w:rsidP="00C6012B">
      <w:pPr>
        <w:rPr>
          <w:b/>
          <w:sz w:val="22"/>
          <w:szCs w:val="22"/>
          <w:lang w:val="es-MX"/>
        </w:rPr>
      </w:pPr>
    </w:p>
    <w:p w:rsidR="00C6012B" w:rsidRPr="00AF05C7" w:rsidRDefault="00C6012B" w:rsidP="00C6012B">
      <w:pPr>
        <w:jc w:val="center"/>
        <w:rPr>
          <w:b/>
          <w:szCs w:val="22"/>
          <w:lang w:val="es-MX"/>
        </w:rPr>
      </w:pPr>
      <w:r w:rsidRPr="00AF05C7">
        <w:rPr>
          <w:b/>
          <w:szCs w:val="22"/>
          <w:lang w:val="es-MX"/>
        </w:rPr>
        <w:t>Cuadro 3</w:t>
      </w:r>
    </w:p>
    <w:p w:rsidR="00C6012B" w:rsidRPr="00AF05C7" w:rsidRDefault="00C6012B" w:rsidP="00C6012B">
      <w:pPr>
        <w:jc w:val="center"/>
        <w:rPr>
          <w:b/>
          <w:szCs w:val="22"/>
          <w:lang w:val="es-MX"/>
        </w:rPr>
      </w:pPr>
      <w:r w:rsidRPr="00AF05C7">
        <w:rPr>
          <w:b/>
          <w:szCs w:val="22"/>
          <w:lang w:val="es-MX"/>
        </w:rPr>
        <w:t>Ejecución Presupuestaria por Tipo de Gasto</w:t>
      </w:r>
    </w:p>
    <w:p w:rsidR="00C6012B" w:rsidRPr="00AF05C7" w:rsidRDefault="00C6012B" w:rsidP="00C6012B">
      <w:pPr>
        <w:jc w:val="center"/>
        <w:rPr>
          <w:b/>
          <w:szCs w:val="22"/>
          <w:lang w:val="es-MX"/>
        </w:rPr>
      </w:pPr>
      <w:r w:rsidRPr="00AF05C7">
        <w:rPr>
          <w:b/>
          <w:szCs w:val="22"/>
          <w:lang w:val="es-MX"/>
        </w:rPr>
        <w:t>Al 30 de junio de 20</w:t>
      </w:r>
      <w:r>
        <w:rPr>
          <w:b/>
          <w:szCs w:val="22"/>
          <w:lang w:val="es-MX"/>
        </w:rPr>
        <w:t>20</w:t>
      </w:r>
      <w:r w:rsidRPr="00AF05C7">
        <w:rPr>
          <w:b/>
          <w:szCs w:val="22"/>
          <w:lang w:val="es-MX"/>
        </w:rPr>
        <w:t xml:space="preserve"> y 202</w:t>
      </w:r>
      <w:r>
        <w:rPr>
          <w:b/>
          <w:szCs w:val="22"/>
          <w:lang w:val="es-MX"/>
        </w:rPr>
        <w:t>1*</w:t>
      </w:r>
    </w:p>
    <w:p w:rsidR="00C6012B" w:rsidRPr="00AF05C7" w:rsidRDefault="00C6012B" w:rsidP="00C6012B">
      <w:pPr>
        <w:jc w:val="center"/>
        <w:rPr>
          <w:sz w:val="20"/>
          <w:lang w:val="es-MX"/>
        </w:rPr>
      </w:pPr>
      <w:r w:rsidRPr="00AF05C7">
        <w:rPr>
          <w:b/>
          <w:szCs w:val="22"/>
          <w:lang w:val="es-MX"/>
        </w:rPr>
        <w:t>(Cifras en Millones de Quetzales y Porcentajes)</w:t>
      </w:r>
    </w:p>
    <w:tbl>
      <w:tblPr>
        <w:tblW w:w="8883" w:type="dxa"/>
        <w:jc w:val="center"/>
        <w:tblCellMar>
          <w:left w:w="70" w:type="dxa"/>
          <w:right w:w="70" w:type="dxa"/>
        </w:tblCellMar>
        <w:tblLook w:val="04A0" w:firstRow="1" w:lastRow="0" w:firstColumn="1" w:lastColumn="0" w:noHBand="0" w:noVBand="1"/>
      </w:tblPr>
      <w:tblGrid>
        <w:gridCol w:w="2600"/>
        <w:gridCol w:w="1275"/>
        <w:gridCol w:w="1134"/>
        <w:gridCol w:w="1276"/>
        <w:gridCol w:w="1134"/>
        <w:gridCol w:w="1464"/>
      </w:tblGrid>
      <w:tr w:rsidR="00C6012B" w:rsidRPr="000124E5" w:rsidTr="00A57246">
        <w:trPr>
          <w:trHeight w:val="390"/>
          <w:jc w:val="center"/>
        </w:trPr>
        <w:tc>
          <w:tcPr>
            <w:tcW w:w="2600" w:type="dxa"/>
            <w:vMerge w:val="restart"/>
            <w:tcBorders>
              <w:top w:val="single" w:sz="8" w:space="0" w:color="auto"/>
              <w:left w:val="single" w:sz="8" w:space="0" w:color="auto"/>
              <w:bottom w:val="single" w:sz="4" w:space="0" w:color="000000"/>
              <w:right w:val="nil"/>
            </w:tcBorders>
            <w:shd w:val="clear" w:color="000000" w:fill="8DB4E2"/>
            <w:vAlign w:val="center"/>
            <w:hideMark/>
          </w:tcPr>
          <w:p w:rsidR="00C6012B" w:rsidRPr="000124E5" w:rsidRDefault="00C6012B" w:rsidP="00C6012B">
            <w:pPr>
              <w:jc w:val="center"/>
              <w:rPr>
                <w:b/>
                <w:bCs/>
                <w:color w:val="000000"/>
                <w:sz w:val="20"/>
                <w:szCs w:val="20"/>
                <w:lang w:val="es-GT" w:eastAsia="es-GT"/>
              </w:rPr>
            </w:pPr>
            <w:r w:rsidRPr="000124E5">
              <w:rPr>
                <w:b/>
                <w:bCs/>
                <w:color w:val="000000"/>
                <w:sz w:val="20"/>
                <w:szCs w:val="20"/>
                <w:lang w:val="es-GT" w:eastAsia="es-GT"/>
              </w:rPr>
              <w:t>Tipo de Gasto</w:t>
            </w:r>
          </w:p>
        </w:tc>
        <w:tc>
          <w:tcPr>
            <w:tcW w:w="1275"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C6012B" w:rsidRPr="000124E5" w:rsidRDefault="00C6012B" w:rsidP="00C6012B">
            <w:pPr>
              <w:jc w:val="center"/>
              <w:rPr>
                <w:b/>
                <w:bCs/>
                <w:color w:val="000000"/>
                <w:sz w:val="20"/>
                <w:szCs w:val="20"/>
                <w:lang w:val="es-GT" w:eastAsia="es-GT"/>
              </w:rPr>
            </w:pPr>
            <w:r w:rsidRPr="000124E5">
              <w:rPr>
                <w:b/>
                <w:bCs/>
                <w:color w:val="000000"/>
                <w:sz w:val="20"/>
                <w:szCs w:val="20"/>
                <w:lang w:val="es-GT" w:eastAsia="es-GT"/>
              </w:rPr>
              <w:t>2020</w:t>
            </w:r>
          </w:p>
        </w:tc>
        <w:tc>
          <w:tcPr>
            <w:tcW w:w="1134"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C6012B" w:rsidRPr="000124E5" w:rsidRDefault="00C6012B" w:rsidP="00C6012B">
            <w:pPr>
              <w:jc w:val="center"/>
              <w:rPr>
                <w:b/>
                <w:bCs/>
                <w:color w:val="000000"/>
                <w:sz w:val="20"/>
                <w:szCs w:val="20"/>
                <w:lang w:val="es-GT" w:eastAsia="es-GT"/>
              </w:rPr>
            </w:pPr>
            <w:r w:rsidRPr="000124E5">
              <w:rPr>
                <w:b/>
                <w:bCs/>
                <w:color w:val="000000"/>
                <w:sz w:val="20"/>
                <w:szCs w:val="20"/>
                <w:lang w:val="es-GT" w:eastAsia="es-GT"/>
              </w:rPr>
              <w:t>2021</w:t>
            </w:r>
          </w:p>
        </w:tc>
        <w:tc>
          <w:tcPr>
            <w:tcW w:w="2410" w:type="dxa"/>
            <w:gridSpan w:val="2"/>
            <w:tcBorders>
              <w:top w:val="single" w:sz="8" w:space="0" w:color="auto"/>
              <w:left w:val="nil"/>
              <w:bottom w:val="nil"/>
              <w:right w:val="single" w:sz="8" w:space="0" w:color="000000"/>
            </w:tcBorders>
            <w:shd w:val="clear" w:color="000000" w:fill="8DB4E2"/>
            <w:noWrap/>
            <w:vAlign w:val="bottom"/>
            <w:hideMark/>
          </w:tcPr>
          <w:p w:rsidR="00C6012B" w:rsidRPr="000124E5" w:rsidRDefault="00C6012B" w:rsidP="00C6012B">
            <w:pPr>
              <w:jc w:val="center"/>
              <w:rPr>
                <w:b/>
                <w:bCs/>
                <w:color w:val="000000"/>
                <w:sz w:val="20"/>
                <w:szCs w:val="20"/>
                <w:lang w:val="es-GT" w:eastAsia="es-GT"/>
              </w:rPr>
            </w:pPr>
            <w:r w:rsidRPr="000124E5">
              <w:rPr>
                <w:b/>
                <w:bCs/>
                <w:color w:val="000000"/>
                <w:sz w:val="20"/>
                <w:szCs w:val="20"/>
                <w:lang w:val="es-GT" w:eastAsia="es-GT"/>
              </w:rPr>
              <w:t>Diferencias</w:t>
            </w:r>
          </w:p>
        </w:tc>
        <w:tc>
          <w:tcPr>
            <w:tcW w:w="1464" w:type="dxa"/>
            <w:vMerge w:val="restart"/>
            <w:tcBorders>
              <w:top w:val="single" w:sz="8" w:space="0" w:color="auto"/>
              <w:left w:val="single" w:sz="8" w:space="0" w:color="auto"/>
              <w:bottom w:val="single" w:sz="4" w:space="0" w:color="000000"/>
              <w:right w:val="single" w:sz="8" w:space="0" w:color="auto"/>
            </w:tcBorders>
            <w:shd w:val="clear" w:color="000000" w:fill="8DB4E2"/>
            <w:vAlign w:val="center"/>
            <w:hideMark/>
          </w:tcPr>
          <w:p w:rsidR="00C6012B" w:rsidRPr="000124E5" w:rsidRDefault="00C6012B" w:rsidP="00C6012B">
            <w:pPr>
              <w:jc w:val="center"/>
              <w:rPr>
                <w:b/>
                <w:bCs/>
                <w:color w:val="000000"/>
                <w:sz w:val="20"/>
                <w:szCs w:val="20"/>
                <w:lang w:val="es-GT" w:eastAsia="es-GT"/>
              </w:rPr>
            </w:pPr>
            <w:r w:rsidRPr="000124E5">
              <w:rPr>
                <w:b/>
                <w:bCs/>
                <w:color w:val="000000"/>
                <w:sz w:val="20"/>
                <w:szCs w:val="20"/>
                <w:lang w:val="es-GT" w:eastAsia="es-GT"/>
              </w:rPr>
              <w:t>Estructura Porcentual 2021</w:t>
            </w:r>
          </w:p>
        </w:tc>
      </w:tr>
      <w:tr w:rsidR="00C6012B" w:rsidRPr="000124E5" w:rsidTr="00E21886">
        <w:trPr>
          <w:trHeight w:val="390"/>
          <w:jc w:val="center"/>
        </w:trPr>
        <w:tc>
          <w:tcPr>
            <w:tcW w:w="2600" w:type="dxa"/>
            <w:vMerge/>
            <w:tcBorders>
              <w:top w:val="single" w:sz="8" w:space="0" w:color="auto"/>
              <w:left w:val="single" w:sz="8" w:space="0" w:color="auto"/>
              <w:bottom w:val="single" w:sz="4" w:space="0" w:color="000000"/>
              <w:right w:val="nil"/>
            </w:tcBorders>
            <w:vAlign w:val="center"/>
            <w:hideMark/>
          </w:tcPr>
          <w:p w:rsidR="00C6012B" w:rsidRPr="000124E5" w:rsidRDefault="00C6012B" w:rsidP="00C6012B">
            <w:pPr>
              <w:rPr>
                <w:b/>
                <w:bCs/>
                <w:color w:val="000000"/>
                <w:sz w:val="20"/>
                <w:szCs w:val="20"/>
                <w:lang w:val="es-GT" w:eastAsia="es-GT"/>
              </w:rPr>
            </w:pPr>
          </w:p>
        </w:tc>
        <w:tc>
          <w:tcPr>
            <w:tcW w:w="1275" w:type="dxa"/>
            <w:vMerge/>
            <w:tcBorders>
              <w:top w:val="single" w:sz="8" w:space="0" w:color="auto"/>
              <w:left w:val="single" w:sz="4" w:space="0" w:color="auto"/>
              <w:bottom w:val="single" w:sz="4" w:space="0" w:color="000000"/>
              <w:right w:val="single" w:sz="4" w:space="0" w:color="auto"/>
            </w:tcBorders>
            <w:vAlign w:val="center"/>
            <w:hideMark/>
          </w:tcPr>
          <w:p w:rsidR="00C6012B" w:rsidRPr="000124E5" w:rsidRDefault="00C6012B" w:rsidP="00C6012B">
            <w:pPr>
              <w:rPr>
                <w:b/>
                <w:bCs/>
                <w:color w:val="000000"/>
                <w:sz w:val="20"/>
                <w:szCs w:val="20"/>
                <w:lang w:val="es-GT" w:eastAsia="es-GT"/>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rsidR="00C6012B" w:rsidRPr="000124E5" w:rsidRDefault="00C6012B" w:rsidP="00C6012B">
            <w:pPr>
              <w:rPr>
                <w:b/>
                <w:bCs/>
                <w:color w:val="000000"/>
                <w:sz w:val="20"/>
                <w:szCs w:val="20"/>
                <w:lang w:val="es-GT" w:eastAsia="es-GT"/>
              </w:rPr>
            </w:pP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C6012B" w:rsidRPr="000124E5" w:rsidRDefault="00C6012B" w:rsidP="00E21886">
            <w:pPr>
              <w:jc w:val="center"/>
              <w:rPr>
                <w:b/>
                <w:bCs/>
                <w:color w:val="000000"/>
                <w:sz w:val="20"/>
                <w:szCs w:val="20"/>
                <w:lang w:val="es-GT" w:eastAsia="es-GT"/>
              </w:rPr>
            </w:pPr>
            <w:r w:rsidRPr="000124E5">
              <w:rPr>
                <w:b/>
                <w:bCs/>
                <w:color w:val="000000"/>
                <w:sz w:val="20"/>
                <w:szCs w:val="20"/>
                <w:lang w:val="es-GT" w:eastAsia="es-GT"/>
              </w:rPr>
              <w:t>Absolutas</w:t>
            </w:r>
          </w:p>
        </w:tc>
        <w:tc>
          <w:tcPr>
            <w:tcW w:w="1134" w:type="dxa"/>
            <w:tcBorders>
              <w:top w:val="single" w:sz="4" w:space="0" w:color="auto"/>
              <w:left w:val="nil"/>
              <w:bottom w:val="single" w:sz="4" w:space="0" w:color="auto"/>
              <w:right w:val="single" w:sz="8" w:space="0" w:color="auto"/>
            </w:tcBorders>
            <w:shd w:val="clear" w:color="000000" w:fill="8DB4E2"/>
            <w:noWrap/>
            <w:vAlign w:val="center"/>
            <w:hideMark/>
          </w:tcPr>
          <w:p w:rsidR="00C6012B" w:rsidRPr="000124E5" w:rsidRDefault="00C6012B" w:rsidP="00E21886">
            <w:pPr>
              <w:jc w:val="center"/>
              <w:rPr>
                <w:b/>
                <w:bCs/>
                <w:color w:val="000000"/>
                <w:sz w:val="20"/>
                <w:szCs w:val="20"/>
                <w:lang w:val="es-GT" w:eastAsia="es-GT"/>
              </w:rPr>
            </w:pPr>
            <w:r w:rsidRPr="000124E5">
              <w:rPr>
                <w:b/>
                <w:bCs/>
                <w:color w:val="000000"/>
                <w:sz w:val="20"/>
                <w:szCs w:val="20"/>
                <w:lang w:val="es-GT" w:eastAsia="es-GT"/>
              </w:rPr>
              <w:t>Relativas</w:t>
            </w:r>
          </w:p>
        </w:tc>
        <w:tc>
          <w:tcPr>
            <w:tcW w:w="1464" w:type="dxa"/>
            <w:vMerge/>
            <w:tcBorders>
              <w:top w:val="single" w:sz="8" w:space="0" w:color="auto"/>
              <w:left w:val="single" w:sz="8" w:space="0" w:color="auto"/>
              <w:bottom w:val="single" w:sz="4" w:space="0" w:color="000000"/>
              <w:right w:val="single" w:sz="8" w:space="0" w:color="auto"/>
            </w:tcBorders>
            <w:vAlign w:val="center"/>
            <w:hideMark/>
          </w:tcPr>
          <w:p w:rsidR="00C6012B" w:rsidRPr="000124E5" w:rsidRDefault="00C6012B" w:rsidP="00C6012B">
            <w:pPr>
              <w:rPr>
                <w:b/>
                <w:bCs/>
                <w:color w:val="000000"/>
                <w:sz w:val="20"/>
                <w:szCs w:val="20"/>
                <w:lang w:val="es-GT" w:eastAsia="es-GT"/>
              </w:rPr>
            </w:pPr>
          </w:p>
        </w:tc>
      </w:tr>
      <w:tr w:rsidR="00C6012B" w:rsidRPr="000124E5" w:rsidTr="00A57246">
        <w:trPr>
          <w:trHeight w:val="390"/>
          <w:jc w:val="center"/>
        </w:trPr>
        <w:tc>
          <w:tcPr>
            <w:tcW w:w="2600" w:type="dxa"/>
            <w:tcBorders>
              <w:top w:val="nil"/>
              <w:left w:val="single" w:sz="8" w:space="0" w:color="auto"/>
              <w:bottom w:val="nil"/>
              <w:right w:val="nil"/>
            </w:tcBorders>
            <w:shd w:val="clear" w:color="000000" w:fill="FFFFFF"/>
            <w:noWrap/>
            <w:vAlign w:val="center"/>
            <w:hideMark/>
          </w:tcPr>
          <w:p w:rsidR="00C6012B" w:rsidRPr="00A57246" w:rsidRDefault="00C6012B" w:rsidP="00C6012B">
            <w:pPr>
              <w:jc w:val="center"/>
              <w:rPr>
                <w:b/>
                <w:bCs/>
                <w:color w:val="000000"/>
                <w:sz w:val="22"/>
                <w:szCs w:val="20"/>
                <w:lang w:val="es-GT" w:eastAsia="es-GT"/>
              </w:rPr>
            </w:pPr>
            <w:r w:rsidRPr="00A57246">
              <w:rPr>
                <w:b/>
                <w:bCs/>
                <w:color w:val="000000"/>
                <w:sz w:val="22"/>
                <w:szCs w:val="20"/>
                <w:lang w:val="es-GT" w:eastAsia="es-GT"/>
              </w:rPr>
              <w:t>Total</w:t>
            </w:r>
          </w:p>
        </w:tc>
        <w:tc>
          <w:tcPr>
            <w:tcW w:w="1275" w:type="dxa"/>
            <w:tcBorders>
              <w:top w:val="nil"/>
              <w:left w:val="single" w:sz="4" w:space="0" w:color="auto"/>
              <w:bottom w:val="nil"/>
              <w:right w:val="single" w:sz="4" w:space="0" w:color="auto"/>
            </w:tcBorders>
            <w:shd w:val="clear" w:color="000000" w:fill="FFFFFF"/>
            <w:noWrap/>
            <w:vAlign w:val="center"/>
            <w:hideMark/>
          </w:tcPr>
          <w:p w:rsidR="00C6012B" w:rsidRPr="00A57246" w:rsidRDefault="00C6012B" w:rsidP="00C6012B">
            <w:pPr>
              <w:rPr>
                <w:b/>
                <w:bCs/>
                <w:color w:val="000000"/>
                <w:sz w:val="22"/>
                <w:szCs w:val="20"/>
                <w:lang w:val="es-GT" w:eastAsia="es-GT"/>
              </w:rPr>
            </w:pPr>
            <w:r w:rsidRPr="00A57246">
              <w:rPr>
                <w:b/>
                <w:bCs/>
                <w:color w:val="000000"/>
                <w:sz w:val="22"/>
                <w:szCs w:val="20"/>
                <w:lang w:val="es-GT" w:eastAsia="es-GT"/>
              </w:rPr>
              <w:t xml:space="preserve">      41,296.2 </w:t>
            </w:r>
          </w:p>
        </w:tc>
        <w:tc>
          <w:tcPr>
            <w:tcW w:w="1134" w:type="dxa"/>
            <w:tcBorders>
              <w:top w:val="nil"/>
              <w:left w:val="nil"/>
              <w:bottom w:val="nil"/>
              <w:right w:val="single" w:sz="4" w:space="0" w:color="auto"/>
            </w:tcBorders>
            <w:shd w:val="clear" w:color="000000" w:fill="FFFFFF"/>
            <w:noWrap/>
            <w:vAlign w:val="center"/>
            <w:hideMark/>
          </w:tcPr>
          <w:p w:rsidR="00C6012B" w:rsidRPr="00A57246" w:rsidRDefault="00C6012B" w:rsidP="00A57246">
            <w:pPr>
              <w:rPr>
                <w:b/>
                <w:bCs/>
                <w:color w:val="000000"/>
                <w:sz w:val="22"/>
                <w:szCs w:val="20"/>
                <w:lang w:val="es-GT" w:eastAsia="es-GT"/>
              </w:rPr>
            </w:pPr>
            <w:r w:rsidRPr="00A57246">
              <w:rPr>
                <w:b/>
                <w:bCs/>
                <w:color w:val="000000"/>
                <w:sz w:val="22"/>
                <w:szCs w:val="20"/>
                <w:lang w:val="es-GT" w:eastAsia="es-GT"/>
              </w:rPr>
              <w:t xml:space="preserve">    41,408.5 </w:t>
            </w:r>
          </w:p>
        </w:tc>
        <w:tc>
          <w:tcPr>
            <w:tcW w:w="1276" w:type="dxa"/>
            <w:tcBorders>
              <w:top w:val="nil"/>
              <w:left w:val="nil"/>
              <w:bottom w:val="nil"/>
              <w:right w:val="single" w:sz="4" w:space="0" w:color="auto"/>
            </w:tcBorders>
            <w:shd w:val="clear" w:color="000000" w:fill="FFFFFF"/>
            <w:noWrap/>
            <w:vAlign w:val="center"/>
            <w:hideMark/>
          </w:tcPr>
          <w:p w:rsidR="00C6012B" w:rsidRPr="00A57246" w:rsidRDefault="00C6012B" w:rsidP="00C6012B">
            <w:pPr>
              <w:rPr>
                <w:b/>
                <w:bCs/>
                <w:color w:val="000000"/>
                <w:sz w:val="22"/>
                <w:szCs w:val="20"/>
                <w:lang w:val="es-GT" w:eastAsia="es-GT"/>
              </w:rPr>
            </w:pPr>
            <w:r w:rsidRPr="00A57246">
              <w:rPr>
                <w:b/>
                <w:bCs/>
                <w:color w:val="000000"/>
                <w:sz w:val="22"/>
                <w:szCs w:val="20"/>
                <w:lang w:val="es-GT" w:eastAsia="es-GT"/>
              </w:rPr>
              <w:t xml:space="preserve">          112.3 </w:t>
            </w:r>
          </w:p>
        </w:tc>
        <w:tc>
          <w:tcPr>
            <w:tcW w:w="1134" w:type="dxa"/>
            <w:tcBorders>
              <w:top w:val="nil"/>
              <w:left w:val="single" w:sz="4" w:space="0" w:color="auto"/>
              <w:bottom w:val="nil"/>
              <w:right w:val="single" w:sz="8" w:space="0" w:color="auto"/>
            </w:tcBorders>
            <w:shd w:val="clear" w:color="000000" w:fill="FFFFFF"/>
            <w:noWrap/>
            <w:vAlign w:val="center"/>
            <w:hideMark/>
          </w:tcPr>
          <w:p w:rsidR="00C6012B" w:rsidRPr="00A57246" w:rsidRDefault="00C6012B" w:rsidP="00C6012B">
            <w:pPr>
              <w:jc w:val="center"/>
              <w:rPr>
                <w:b/>
                <w:bCs/>
                <w:color w:val="000000"/>
                <w:sz w:val="22"/>
                <w:szCs w:val="20"/>
                <w:lang w:val="es-GT" w:eastAsia="es-GT"/>
              </w:rPr>
            </w:pPr>
            <w:r w:rsidRPr="00A57246">
              <w:rPr>
                <w:b/>
                <w:bCs/>
                <w:color w:val="000000"/>
                <w:sz w:val="22"/>
                <w:szCs w:val="20"/>
                <w:lang w:val="es-GT" w:eastAsia="es-GT"/>
              </w:rPr>
              <w:t>0.3%</w:t>
            </w:r>
          </w:p>
        </w:tc>
        <w:tc>
          <w:tcPr>
            <w:tcW w:w="1464" w:type="dxa"/>
            <w:tcBorders>
              <w:top w:val="nil"/>
              <w:left w:val="nil"/>
              <w:bottom w:val="nil"/>
              <w:right w:val="single" w:sz="8" w:space="0" w:color="auto"/>
            </w:tcBorders>
            <w:shd w:val="clear" w:color="000000" w:fill="FFFFFF"/>
            <w:noWrap/>
            <w:vAlign w:val="bottom"/>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w:t>
            </w:r>
          </w:p>
        </w:tc>
      </w:tr>
      <w:tr w:rsidR="00C6012B" w:rsidRPr="000124E5" w:rsidTr="00A57246">
        <w:trPr>
          <w:trHeight w:val="390"/>
          <w:jc w:val="center"/>
        </w:trPr>
        <w:tc>
          <w:tcPr>
            <w:tcW w:w="2600" w:type="dxa"/>
            <w:tcBorders>
              <w:top w:val="nil"/>
              <w:left w:val="single" w:sz="8" w:space="0" w:color="auto"/>
              <w:bottom w:val="nil"/>
              <w:right w:val="nil"/>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Funcionamiento</w:t>
            </w:r>
          </w:p>
        </w:tc>
        <w:tc>
          <w:tcPr>
            <w:tcW w:w="1275" w:type="dxa"/>
            <w:tcBorders>
              <w:top w:val="nil"/>
              <w:left w:val="single" w:sz="4" w:space="0" w:color="auto"/>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27,406.8</w:t>
            </w:r>
          </w:p>
        </w:tc>
        <w:tc>
          <w:tcPr>
            <w:tcW w:w="1134" w:type="dxa"/>
            <w:tcBorders>
              <w:top w:val="nil"/>
              <w:left w:val="nil"/>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27,905.8</w:t>
            </w:r>
          </w:p>
        </w:tc>
        <w:tc>
          <w:tcPr>
            <w:tcW w:w="1276" w:type="dxa"/>
            <w:tcBorders>
              <w:top w:val="nil"/>
              <w:left w:val="nil"/>
              <w:bottom w:val="nil"/>
              <w:right w:val="single" w:sz="4" w:space="0" w:color="auto"/>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xml:space="preserve">           498.9 </w:t>
            </w:r>
          </w:p>
        </w:tc>
        <w:tc>
          <w:tcPr>
            <w:tcW w:w="1134" w:type="dxa"/>
            <w:tcBorders>
              <w:top w:val="nil"/>
              <w:left w:val="single" w:sz="4" w:space="0" w:color="auto"/>
              <w:bottom w:val="nil"/>
              <w:right w:val="single" w:sz="8" w:space="0" w:color="auto"/>
            </w:tcBorders>
            <w:shd w:val="clear" w:color="000000" w:fill="FFFFFF"/>
            <w:noWrap/>
            <w:vAlign w:val="center"/>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1.8%</w:t>
            </w:r>
          </w:p>
        </w:tc>
        <w:tc>
          <w:tcPr>
            <w:tcW w:w="1464" w:type="dxa"/>
            <w:tcBorders>
              <w:top w:val="nil"/>
              <w:left w:val="nil"/>
              <w:bottom w:val="nil"/>
              <w:right w:val="single" w:sz="8" w:space="0" w:color="auto"/>
            </w:tcBorders>
            <w:shd w:val="clear" w:color="000000" w:fill="FFFFFF"/>
            <w:noWrap/>
            <w:vAlign w:val="bottom"/>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67.4%</w:t>
            </w:r>
          </w:p>
        </w:tc>
      </w:tr>
      <w:tr w:rsidR="00C6012B" w:rsidRPr="000124E5" w:rsidTr="00A57246">
        <w:trPr>
          <w:trHeight w:val="390"/>
          <w:jc w:val="center"/>
        </w:trPr>
        <w:tc>
          <w:tcPr>
            <w:tcW w:w="2600" w:type="dxa"/>
            <w:tcBorders>
              <w:top w:val="nil"/>
              <w:left w:val="single" w:sz="8" w:space="0" w:color="auto"/>
              <w:bottom w:val="nil"/>
              <w:right w:val="nil"/>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Inversión</w:t>
            </w:r>
          </w:p>
        </w:tc>
        <w:tc>
          <w:tcPr>
            <w:tcW w:w="1275" w:type="dxa"/>
            <w:tcBorders>
              <w:top w:val="nil"/>
              <w:left w:val="single" w:sz="4" w:space="0" w:color="auto"/>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7,519.5</w:t>
            </w:r>
          </w:p>
        </w:tc>
        <w:tc>
          <w:tcPr>
            <w:tcW w:w="1134" w:type="dxa"/>
            <w:tcBorders>
              <w:top w:val="nil"/>
              <w:left w:val="nil"/>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6,420.0</w:t>
            </w:r>
          </w:p>
        </w:tc>
        <w:tc>
          <w:tcPr>
            <w:tcW w:w="1276" w:type="dxa"/>
            <w:tcBorders>
              <w:top w:val="nil"/>
              <w:left w:val="nil"/>
              <w:bottom w:val="nil"/>
              <w:right w:val="single" w:sz="4" w:space="0" w:color="auto"/>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xml:space="preserve">      -1,099.5</w:t>
            </w:r>
          </w:p>
        </w:tc>
        <w:tc>
          <w:tcPr>
            <w:tcW w:w="1134" w:type="dxa"/>
            <w:tcBorders>
              <w:top w:val="nil"/>
              <w:left w:val="single" w:sz="4" w:space="0" w:color="auto"/>
              <w:bottom w:val="nil"/>
              <w:right w:val="single" w:sz="8" w:space="0" w:color="auto"/>
            </w:tcBorders>
            <w:shd w:val="clear" w:color="000000" w:fill="FFFFFF"/>
            <w:noWrap/>
            <w:vAlign w:val="center"/>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-14.6%</w:t>
            </w:r>
          </w:p>
        </w:tc>
        <w:tc>
          <w:tcPr>
            <w:tcW w:w="1464" w:type="dxa"/>
            <w:tcBorders>
              <w:top w:val="nil"/>
              <w:left w:val="nil"/>
              <w:bottom w:val="nil"/>
              <w:right w:val="single" w:sz="8" w:space="0" w:color="auto"/>
            </w:tcBorders>
            <w:shd w:val="clear" w:color="000000" w:fill="FFFFFF"/>
            <w:noWrap/>
            <w:vAlign w:val="bottom"/>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15.5%</w:t>
            </w:r>
          </w:p>
        </w:tc>
      </w:tr>
      <w:tr w:rsidR="00C6012B" w:rsidRPr="000124E5" w:rsidTr="00A57246">
        <w:trPr>
          <w:trHeight w:val="390"/>
          <w:jc w:val="center"/>
        </w:trPr>
        <w:tc>
          <w:tcPr>
            <w:tcW w:w="2600" w:type="dxa"/>
            <w:tcBorders>
              <w:top w:val="nil"/>
              <w:left w:val="single" w:sz="8" w:space="0" w:color="auto"/>
              <w:bottom w:val="single" w:sz="4" w:space="0" w:color="auto"/>
              <w:right w:val="nil"/>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Deuda Pública</w:t>
            </w:r>
          </w:p>
        </w:tc>
        <w:tc>
          <w:tcPr>
            <w:tcW w:w="1275" w:type="dxa"/>
            <w:tcBorders>
              <w:top w:val="nil"/>
              <w:left w:val="single" w:sz="4" w:space="0" w:color="auto"/>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6,369.9</w:t>
            </w:r>
          </w:p>
        </w:tc>
        <w:tc>
          <w:tcPr>
            <w:tcW w:w="1134" w:type="dxa"/>
            <w:tcBorders>
              <w:top w:val="nil"/>
              <w:left w:val="nil"/>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7,082.8</w:t>
            </w:r>
          </w:p>
        </w:tc>
        <w:tc>
          <w:tcPr>
            <w:tcW w:w="1276" w:type="dxa"/>
            <w:tcBorders>
              <w:top w:val="nil"/>
              <w:left w:val="nil"/>
              <w:bottom w:val="nil"/>
              <w:right w:val="single" w:sz="4" w:space="0" w:color="auto"/>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xml:space="preserve">           712.9 </w:t>
            </w:r>
          </w:p>
        </w:tc>
        <w:tc>
          <w:tcPr>
            <w:tcW w:w="1134" w:type="dxa"/>
            <w:tcBorders>
              <w:top w:val="nil"/>
              <w:left w:val="single" w:sz="4" w:space="0" w:color="auto"/>
              <w:bottom w:val="nil"/>
              <w:right w:val="single" w:sz="8" w:space="0" w:color="auto"/>
            </w:tcBorders>
            <w:shd w:val="clear" w:color="000000" w:fill="FFFFFF"/>
            <w:noWrap/>
            <w:vAlign w:val="center"/>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11.2%</w:t>
            </w:r>
          </w:p>
        </w:tc>
        <w:tc>
          <w:tcPr>
            <w:tcW w:w="1464" w:type="dxa"/>
            <w:tcBorders>
              <w:top w:val="nil"/>
              <w:left w:val="nil"/>
              <w:bottom w:val="nil"/>
              <w:right w:val="single" w:sz="8" w:space="0" w:color="auto"/>
            </w:tcBorders>
            <w:shd w:val="clear" w:color="000000" w:fill="FFFFFF"/>
            <w:noWrap/>
            <w:vAlign w:val="bottom"/>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17.1%</w:t>
            </w:r>
          </w:p>
        </w:tc>
      </w:tr>
      <w:tr w:rsidR="00C6012B" w:rsidRPr="000124E5" w:rsidTr="00A57246">
        <w:trPr>
          <w:trHeight w:val="390"/>
          <w:jc w:val="center"/>
        </w:trPr>
        <w:tc>
          <w:tcPr>
            <w:tcW w:w="2600" w:type="dxa"/>
            <w:tcBorders>
              <w:top w:val="nil"/>
              <w:left w:val="single" w:sz="8" w:space="0" w:color="auto"/>
              <w:bottom w:val="nil"/>
              <w:right w:val="nil"/>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Presupuesto Vigente</w:t>
            </w:r>
          </w:p>
        </w:tc>
        <w:tc>
          <w:tcPr>
            <w:tcW w:w="1275" w:type="dxa"/>
            <w:tcBorders>
              <w:top w:val="single" w:sz="4" w:space="0" w:color="auto"/>
              <w:left w:val="single" w:sz="4" w:space="0" w:color="auto"/>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107,760.7</w:t>
            </w:r>
          </w:p>
        </w:tc>
        <w:tc>
          <w:tcPr>
            <w:tcW w:w="1134" w:type="dxa"/>
            <w:tcBorders>
              <w:top w:val="single" w:sz="4" w:space="0" w:color="auto"/>
              <w:left w:val="nil"/>
              <w:bottom w:val="nil"/>
              <w:right w:val="single" w:sz="4" w:space="0" w:color="auto"/>
            </w:tcBorders>
            <w:shd w:val="clear" w:color="000000" w:fill="FFFFFF"/>
            <w:noWrap/>
            <w:vAlign w:val="bottom"/>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107,521.5</w:t>
            </w:r>
          </w:p>
        </w:tc>
        <w:tc>
          <w:tcPr>
            <w:tcW w:w="1276" w:type="dxa"/>
            <w:tcBorders>
              <w:top w:val="single" w:sz="4" w:space="0" w:color="auto"/>
              <w:left w:val="nil"/>
              <w:bottom w:val="nil"/>
              <w:right w:val="single" w:sz="4" w:space="0" w:color="auto"/>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xml:space="preserve">         -239.3</w:t>
            </w:r>
          </w:p>
        </w:tc>
        <w:tc>
          <w:tcPr>
            <w:tcW w:w="1134" w:type="dxa"/>
            <w:tcBorders>
              <w:top w:val="single" w:sz="4" w:space="0" w:color="auto"/>
              <w:left w:val="single" w:sz="4" w:space="0" w:color="auto"/>
              <w:bottom w:val="nil"/>
              <w:right w:val="single" w:sz="8" w:space="0" w:color="auto"/>
            </w:tcBorders>
            <w:shd w:val="clear" w:color="000000" w:fill="FFFFFF"/>
            <w:noWrap/>
            <w:vAlign w:val="center"/>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-0.2%</w:t>
            </w:r>
          </w:p>
        </w:tc>
        <w:tc>
          <w:tcPr>
            <w:tcW w:w="1464" w:type="dxa"/>
            <w:tcBorders>
              <w:top w:val="nil"/>
              <w:left w:val="nil"/>
              <w:bottom w:val="nil"/>
              <w:right w:val="single" w:sz="8" w:space="0" w:color="auto"/>
            </w:tcBorders>
            <w:shd w:val="clear" w:color="000000" w:fill="FFFFFF"/>
            <w:noWrap/>
            <w:vAlign w:val="bottom"/>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w:t>
            </w:r>
          </w:p>
        </w:tc>
      </w:tr>
      <w:tr w:rsidR="00C6012B" w:rsidRPr="000124E5" w:rsidTr="00A57246">
        <w:trPr>
          <w:trHeight w:val="390"/>
          <w:jc w:val="center"/>
        </w:trPr>
        <w:tc>
          <w:tcPr>
            <w:tcW w:w="2600" w:type="dxa"/>
            <w:tcBorders>
              <w:top w:val="nil"/>
              <w:left w:val="single" w:sz="8" w:space="0" w:color="auto"/>
              <w:bottom w:val="single" w:sz="8" w:space="0" w:color="auto"/>
              <w:right w:val="nil"/>
            </w:tcBorders>
            <w:shd w:val="clear" w:color="000000" w:fill="FFFFFF"/>
            <w:noWrap/>
            <w:vAlign w:val="center"/>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xml:space="preserve">Porcentaje de Ejecución </w:t>
            </w:r>
          </w:p>
        </w:tc>
        <w:tc>
          <w:tcPr>
            <w:tcW w:w="1275" w:type="dxa"/>
            <w:tcBorders>
              <w:top w:val="nil"/>
              <w:left w:val="single" w:sz="4" w:space="0" w:color="auto"/>
              <w:bottom w:val="single" w:sz="8" w:space="0" w:color="auto"/>
              <w:right w:val="single" w:sz="4" w:space="0" w:color="auto"/>
            </w:tcBorders>
            <w:shd w:val="clear" w:color="000000" w:fill="FFFFFF"/>
            <w:noWrap/>
            <w:vAlign w:val="center"/>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38.3%</w:t>
            </w:r>
          </w:p>
        </w:tc>
        <w:tc>
          <w:tcPr>
            <w:tcW w:w="1134" w:type="dxa"/>
            <w:tcBorders>
              <w:top w:val="nil"/>
              <w:left w:val="nil"/>
              <w:bottom w:val="single" w:sz="8" w:space="0" w:color="auto"/>
              <w:right w:val="single" w:sz="4" w:space="0" w:color="auto"/>
            </w:tcBorders>
            <w:shd w:val="clear" w:color="000000" w:fill="FFFFFF"/>
            <w:noWrap/>
            <w:vAlign w:val="center"/>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38.5%</w:t>
            </w:r>
          </w:p>
        </w:tc>
        <w:tc>
          <w:tcPr>
            <w:tcW w:w="1276" w:type="dxa"/>
            <w:tcBorders>
              <w:top w:val="nil"/>
              <w:left w:val="nil"/>
              <w:bottom w:val="single" w:sz="8" w:space="0" w:color="auto"/>
              <w:right w:val="single" w:sz="4" w:space="0" w:color="auto"/>
            </w:tcBorders>
            <w:shd w:val="clear" w:color="000000" w:fill="FFFFFF"/>
            <w:noWrap/>
            <w:vAlign w:val="center"/>
            <w:hideMark/>
          </w:tcPr>
          <w:p w:rsidR="00C6012B" w:rsidRPr="00A57246" w:rsidRDefault="00C6012B" w:rsidP="00C6012B">
            <w:pPr>
              <w:jc w:val="right"/>
              <w:rPr>
                <w:color w:val="000000"/>
                <w:sz w:val="22"/>
                <w:szCs w:val="20"/>
                <w:lang w:val="es-GT" w:eastAsia="es-GT"/>
              </w:rPr>
            </w:pPr>
            <w:r w:rsidRPr="00A57246">
              <w:rPr>
                <w:color w:val="000000"/>
                <w:sz w:val="22"/>
                <w:szCs w:val="20"/>
                <w:lang w:val="es-GT" w:eastAsia="es-GT"/>
              </w:rPr>
              <w:t>0.2%</w:t>
            </w:r>
          </w:p>
        </w:tc>
        <w:tc>
          <w:tcPr>
            <w:tcW w:w="1134" w:type="dxa"/>
            <w:tcBorders>
              <w:top w:val="nil"/>
              <w:left w:val="single" w:sz="4" w:space="0" w:color="auto"/>
              <w:bottom w:val="single" w:sz="8" w:space="0" w:color="auto"/>
              <w:right w:val="single" w:sz="8" w:space="0" w:color="auto"/>
            </w:tcBorders>
            <w:shd w:val="clear" w:color="000000" w:fill="FFFFFF"/>
            <w:noWrap/>
            <w:vAlign w:val="center"/>
            <w:hideMark/>
          </w:tcPr>
          <w:p w:rsidR="00C6012B" w:rsidRPr="00A57246" w:rsidRDefault="00C6012B" w:rsidP="00C6012B">
            <w:pPr>
              <w:jc w:val="center"/>
              <w:rPr>
                <w:color w:val="000000"/>
                <w:sz w:val="22"/>
                <w:szCs w:val="20"/>
                <w:lang w:val="es-GT" w:eastAsia="es-GT"/>
              </w:rPr>
            </w:pPr>
            <w:r w:rsidRPr="00A57246">
              <w:rPr>
                <w:color w:val="000000"/>
                <w:sz w:val="22"/>
                <w:szCs w:val="20"/>
                <w:lang w:val="es-GT" w:eastAsia="es-GT"/>
              </w:rPr>
              <w:t>0.5%</w:t>
            </w:r>
          </w:p>
        </w:tc>
        <w:tc>
          <w:tcPr>
            <w:tcW w:w="1464" w:type="dxa"/>
            <w:tcBorders>
              <w:top w:val="nil"/>
              <w:left w:val="nil"/>
              <w:bottom w:val="single" w:sz="8" w:space="0" w:color="auto"/>
              <w:right w:val="single" w:sz="8" w:space="0" w:color="auto"/>
            </w:tcBorders>
            <w:shd w:val="clear" w:color="000000" w:fill="FFFFFF"/>
            <w:noWrap/>
            <w:vAlign w:val="bottom"/>
            <w:hideMark/>
          </w:tcPr>
          <w:p w:rsidR="00C6012B" w:rsidRPr="00A57246" w:rsidRDefault="00C6012B" w:rsidP="00C6012B">
            <w:pPr>
              <w:rPr>
                <w:color w:val="000000"/>
                <w:sz w:val="22"/>
                <w:szCs w:val="20"/>
                <w:lang w:val="es-GT" w:eastAsia="es-GT"/>
              </w:rPr>
            </w:pPr>
            <w:r w:rsidRPr="00A57246">
              <w:rPr>
                <w:color w:val="000000"/>
                <w:sz w:val="22"/>
                <w:szCs w:val="20"/>
                <w:lang w:val="es-GT" w:eastAsia="es-GT"/>
              </w:rPr>
              <w:t> </w:t>
            </w:r>
          </w:p>
        </w:tc>
      </w:tr>
    </w:tbl>
    <w:p w:rsidR="00C6012B" w:rsidRDefault="00340800" w:rsidP="00C6012B">
      <w:pPr>
        <w:rPr>
          <w:sz w:val="18"/>
          <w:lang w:val="es-MX"/>
        </w:rPr>
      </w:pPr>
      <w:r>
        <w:rPr>
          <w:sz w:val="18"/>
          <w:lang w:val="es-MX"/>
        </w:rPr>
        <w:t xml:space="preserve"> </w:t>
      </w:r>
      <w:r w:rsidR="00C6012B" w:rsidRPr="004B1436">
        <w:rPr>
          <w:sz w:val="18"/>
          <w:lang w:val="es-MX"/>
        </w:rPr>
        <w:t xml:space="preserve"> * Cifras preliminares.</w:t>
      </w:r>
    </w:p>
    <w:p w:rsidR="00C6012B" w:rsidRDefault="00340800" w:rsidP="00C6012B">
      <w:pPr>
        <w:rPr>
          <w:sz w:val="18"/>
          <w:lang w:val="es-MX"/>
        </w:rPr>
      </w:pPr>
      <w:r>
        <w:rPr>
          <w:sz w:val="18"/>
          <w:lang w:val="es-MX"/>
        </w:rPr>
        <w:t xml:space="preserve"> </w:t>
      </w:r>
      <w:r w:rsidR="00A57246">
        <w:rPr>
          <w:sz w:val="18"/>
          <w:lang w:val="es-MX"/>
        </w:rPr>
        <w:t xml:space="preserve"> </w:t>
      </w:r>
      <w:r>
        <w:rPr>
          <w:sz w:val="18"/>
          <w:lang w:val="es-MX"/>
        </w:rPr>
        <w:t xml:space="preserve">    </w:t>
      </w:r>
      <w:r w:rsidR="00C6012B" w:rsidRPr="004B1436">
        <w:rPr>
          <w:sz w:val="18"/>
          <w:lang w:val="es-MX"/>
        </w:rPr>
        <w:t>Fuente: Ministerio de Finanzas Públicas con base al SICOIN.</w:t>
      </w:r>
    </w:p>
    <w:p w:rsidR="00C6012B" w:rsidRDefault="00C6012B" w:rsidP="00C6012B">
      <w:pPr>
        <w:rPr>
          <w:sz w:val="18"/>
          <w:lang w:val="es-MX"/>
        </w:rPr>
      </w:pPr>
    </w:p>
    <w:p w:rsidR="00C6012B" w:rsidRDefault="00C6012B" w:rsidP="00C6012B">
      <w:pPr>
        <w:rPr>
          <w:sz w:val="18"/>
          <w:lang w:val="es-MX"/>
        </w:rPr>
      </w:pPr>
    </w:p>
    <w:p w:rsidR="00C6012B" w:rsidRDefault="00C6012B" w:rsidP="00C6012B">
      <w:pPr>
        <w:rPr>
          <w:sz w:val="18"/>
          <w:lang w:val="es-MX"/>
        </w:rPr>
      </w:pPr>
    </w:p>
    <w:p w:rsidR="0004318A" w:rsidRDefault="0004318A" w:rsidP="00C6012B">
      <w:pPr>
        <w:rPr>
          <w:sz w:val="18"/>
          <w:lang w:val="es-MX"/>
        </w:rPr>
      </w:pPr>
    </w:p>
    <w:p w:rsidR="0004318A" w:rsidRDefault="0004318A" w:rsidP="00C6012B">
      <w:pPr>
        <w:rPr>
          <w:sz w:val="18"/>
          <w:lang w:val="es-MX"/>
        </w:rPr>
      </w:pPr>
    </w:p>
    <w:p w:rsidR="0004318A" w:rsidRDefault="0004318A" w:rsidP="00C6012B">
      <w:pPr>
        <w:rPr>
          <w:sz w:val="18"/>
          <w:lang w:val="es-MX"/>
        </w:rPr>
      </w:pPr>
    </w:p>
    <w:p w:rsidR="0004318A" w:rsidRPr="004B1436" w:rsidRDefault="0004318A" w:rsidP="00C6012B">
      <w:pPr>
        <w:rPr>
          <w:sz w:val="18"/>
          <w:lang w:val="es-MX"/>
        </w:rPr>
      </w:pPr>
    </w:p>
    <w:p w:rsidR="00C6012B" w:rsidRPr="004B1436" w:rsidRDefault="00C6012B" w:rsidP="00C6012B">
      <w:pPr>
        <w:rPr>
          <w:sz w:val="18"/>
          <w:lang w:val="es-MX"/>
        </w:rPr>
      </w:pPr>
    </w:p>
    <w:p w:rsidR="00C6012B" w:rsidRPr="005E55DE" w:rsidRDefault="00C6012B" w:rsidP="004C636B">
      <w:pPr>
        <w:pStyle w:val="Ttulo3"/>
        <w:numPr>
          <w:ilvl w:val="0"/>
          <w:numId w:val="7"/>
        </w:numPr>
        <w:ind w:left="426"/>
        <w:rPr>
          <w:rFonts w:ascii="Times New Roman" w:hAnsi="Times New Roman"/>
          <w:color w:val="auto"/>
          <w:lang w:val="es-MX"/>
        </w:rPr>
      </w:pPr>
      <w:bookmarkStart w:id="17" w:name="_Toc83713625"/>
      <w:r w:rsidRPr="005E55DE">
        <w:rPr>
          <w:rFonts w:ascii="Times New Roman" w:hAnsi="Times New Roman"/>
          <w:color w:val="auto"/>
          <w:lang w:val="es-MX"/>
        </w:rPr>
        <w:t>Destino del Gasto por Cuenta Económica</w:t>
      </w:r>
      <w:bookmarkEnd w:id="17"/>
    </w:p>
    <w:p w:rsidR="00C6012B" w:rsidRPr="00FB641E" w:rsidRDefault="00C6012B" w:rsidP="00C6012B">
      <w:pPr>
        <w:jc w:val="both"/>
        <w:rPr>
          <w:sz w:val="32"/>
          <w:lang w:val="es-MX"/>
        </w:rPr>
      </w:pPr>
    </w:p>
    <w:p w:rsidR="00C6012B" w:rsidRPr="00FB641E" w:rsidRDefault="00C6012B" w:rsidP="00C6012B">
      <w:pPr>
        <w:jc w:val="both"/>
        <w:rPr>
          <w:lang w:val="es-MX"/>
        </w:rPr>
      </w:pPr>
      <w:r w:rsidRPr="00FB641E">
        <w:rPr>
          <w:lang w:val="es-MX"/>
        </w:rPr>
        <w:t>Los gastos totales al 30 de junio de 20</w:t>
      </w:r>
      <w:r>
        <w:rPr>
          <w:lang w:val="es-MX"/>
        </w:rPr>
        <w:t>21</w:t>
      </w:r>
      <w:r w:rsidRPr="00FB641E">
        <w:rPr>
          <w:lang w:val="es-MX"/>
        </w:rPr>
        <w:t xml:space="preserve"> (sin incluir amortizaciones de la deuda pública)</w:t>
      </w:r>
      <w:r>
        <w:rPr>
          <w:lang w:val="es-MX"/>
        </w:rPr>
        <w:t xml:space="preserve">, alcanzaron un monto de </w:t>
      </w:r>
      <w:r w:rsidRPr="00FB641E">
        <w:rPr>
          <w:lang w:val="es-MX"/>
        </w:rPr>
        <w:t>Q</w:t>
      </w:r>
      <w:r w:rsidR="000C10F8">
        <w:rPr>
          <w:lang w:val="es-MX"/>
        </w:rPr>
        <w:t>.</w:t>
      </w:r>
      <w:r>
        <w:rPr>
          <w:lang w:val="es-MX"/>
        </w:rPr>
        <w:t>39</w:t>
      </w:r>
      <w:r w:rsidRPr="00FB641E">
        <w:rPr>
          <w:lang w:val="es-MX"/>
        </w:rPr>
        <w:t>,</w:t>
      </w:r>
      <w:r>
        <w:rPr>
          <w:lang w:val="es-MX"/>
        </w:rPr>
        <w:t>900.2</w:t>
      </w:r>
      <w:r w:rsidRPr="00FB641E">
        <w:rPr>
          <w:lang w:val="es-MX"/>
        </w:rPr>
        <w:t xml:space="preserve"> millones, </w:t>
      </w:r>
      <w:r>
        <w:rPr>
          <w:lang w:val="es-MX"/>
        </w:rPr>
        <w:t>monto neto mayor en Q</w:t>
      </w:r>
      <w:r w:rsidR="000C10F8">
        <w:rPr>
          <w:lang w:val="es-MX"/>
        </w:rPr>
        <w:t>.</w:t>
      </w:r>
      <w:r>
        <w:rPr>
          <w:lang w:val="es-MX"/>
        </w:rPr>
        <w:t xml:space="preserve">154.4 millones </w:t>
      </w:r>
      <w:r w:rsidR="000C10F8">
        <w:rPr>
          <w:lang w:val="es-MX"/>
        </w:rPr>
        <w:t xml:space="preserve">con relación </w:t>
      </w:r>
      <w:r>
        <w:rPr>
          <w:lang w:val="es-MX"/>
        </w:rPr>
        <w:t>a lo observado en el mismo período de 2020, el cual fue de Q</w:t>
      </w:r>
      <w:r w:rsidR="001F1513">
        <w:rPr>
          <w:lang w:val="es-MX"/>
        </w:rPr>
        <w:t>.</w:t>
      </w:r>
      <w:r>
        <w:rPr>
          <w:lang w:val="es-MX"/>
        </w:rPr>
        <w:t>39,745.7</w:t>
      </w:r>
      <w:r w:rsidRPr="00FB641E">
        <w:rPr>
          <w:lang w:val="es-MX"/>
        </w:rPr>
        <w:t xml:space="preserve"> millones. </w:t>
      </w:r>
      <w:r>
        <w:rPr>
          <w:lang w:val="es-MX"/>
        </w:rPr>
        <w:t>La composición del aumento estuvo balanceada en virtud que los gastos corrientes tuvieron un aumento neto significativo, en el orden de los Q</w:t>
      </w:r>
      <w:r w:rsidR="001F1513">
        <w:rPr>
          <w:lang w:val="es-MX"/>
        </w:rPr>
        <w:t>.</w:t>
      </w:r>
      <w:r>
        <w:rPr>
          <w:lang w:val="es-MX"/>
        </w:rPr>
        <w:t>1,254.0 millones más a lo observado a junio de 2020, teniendo su principal impacto en la compra de bienes y servicios con Q</w:t>
      </w:r>
      <w:r w:rsidR="001F1513">
        <w:rPr>
          <w:lang w:val="es-MX"/>
        </w:rPr>
        <w:t>.</w:t>
      </w:r>
      <w:r>
        <w:rPr>
          <w:lang w:val="es-MX"/>
        </w:rPr>
        <w:t>2,118.6 millones más, seguido del pago de intereses de deuda pública con Q</w:t>
      </w:r>
      <w:r w:rsidR="001F1513">
        <w:rPr>
          <w:lang w:val="es-MX"/>
        </w:rPr>
        <w:t>.</w:t>
      </w:r>
      <w:r>
        <w:rPr>
          <w:lang w:val="es-MX"/>
        </w:rPr>
        <w:t xml:space="preserve">755.0 millones y de las </w:t>
      </w:r>
      <w:r w:rsidR="001F1513">
        <w:rPr>
          <w:lang w:val="es-MX"/>
        </w:rPr>
        <w:t>r</w:t>
      </w:r>
      <w:r>
        <w:rPr>
          <w:lang w:val="es-MX"/>
        </w:rPr>
        <w:t>emuneraciones con Q</w:t>
      </w:r>
      <w:r w:rsidR="001F1513">
        <w:rPr>
          <w:lang w:val="es-MX"/>
        </w:rPr>
        <w:t>.</w:t>
      </w:r>
      <w:r>
        <w:rPr>
          <w:lang w:val="es-MX"/>
        </w:rPr>
        <w:t xml:space="preserve">532.5 millones, como los montos más fuertes. También se puede observar que las transferencias corrientes tuvieron un impacto negativo, en virtud que fueron menores en las destinadas al </w:t>
      </w:r>
      <w:r w:rsidR="001F1513">
        <w:rPr>
          <w:lang w:val="es-MX"/>
        </w:rPr>
        <w:t>s</w:t>
      </w:r>
      <w:r>
        <w:rPr>
          <w:lang w:val="es-MX"/>
        </w:rPr>
        <w:t xml:space="preserve">ector </w:t>
      </w:r>
      <w:r w:rsidR="001F1513">
        <w:rPr>
          <w:lang w:val="es-MX"/>
        </w:rPr>
        <w:t>p</w:t>
      </w:r>
      <w:r>
        <w:rPr>
          <w:lang w:val="es-MX"/>
        </w:rPr>
        <w:t>rivado con Q</w:t>
      </w:r>
      <w:r w:rsidR="001F1513">
        <w:rPr>
          <w:lang w:val="es-MX"/>
        </w:rPr>
        <w:t>.</w:t>
      </w:r>
      <w:r>
        <w:rPr>
          <w:lang w:val="es-MX"/>
        </w:rPr>
        <w:t xml:space="preserve">2,580.2 millones menos, ubicados en el Programa 94 </w:t>
      </w:r>
      <w:r w:rsidR="001F1513">
        <w:rPr>
          <w:lang w:val="es-MX"/>
        </w:rPr>
        <w:t>“</w:t>
      </w:r>
      <w:r>
        <w:rPr>
          <w:lang w:val="es-MX"/>
        </w:rPr>
        <w:t>Atención por Desastres Naturales y Calamidades Públicas</w:t>
      </w:r>
      <w:r w:rsidR="001F1513">
        <w:rPr>
          <w:lang w:val="es-MX"/>
        </w:rPr>
        <w:t>”</w:t>
      </w:r>
      <w:r>
        <w:rPr>
          <w:lang w:val="es-MX"/>
        </w:rPr>
        <w:t>, para atender los impactos generados por la pandemia, lo cual ya no se dio para 2021.</w:t>
      </w:r>
    </w:p>
    <w:p w:rsidR="00C6012B" w:rsidRPr="00FB641E" w:rsidRDefault="00C6012B" w:rsidP="00C6012B">
      <w:pPr>
        <w:jc w:val="both"/>
        <w:rPr>
          <w:sz w:val="32"/>
          <w:lang w:val="es-MX"/>
        </w:rPr>
      </w:pPr>
    </w:p>
    <w:p w:rsidR="00C6012B" w:rsidRDefault="00C6012B" w:rsidP="00C6012B">
      <w:pPr>
        <w:jc w:val="both"/>
        <w:rPr>
          <w:lang w:val="es-MX"/>
        </w:rPr>
      </w:pPr>
      <w:r w:rsidRPr="00FB641E">
        <w:rPr>
          <w:lang w:val="es-MX"/>
        </w:rPr>
        <w:t>En cuanto a los Gastos de Capital</w:t>
      </w:r>
      <w:r>
        <w:rPr>
          <w:lang w:val="es-MX"/>
        </w:rPr>
        <w:t xml:space="preserve"> para junio de 2021</w:t>
      </w:r>
      <w:r w:rsidRPr="00FB641E">
        <w:rPr>
          <w:lang w:val="es-MX"/>
        </w:rPr>
        <w:t>,</w:t>
      </w:r>
      <w:r>
        <w:rPr>
          <w:lang w:val="es-MX"/>
        </w:rPr>
        <w:t xml:space="preserve"> fueron menores de forma neta en Q</w:t>
      </w:r>
      <w:r w:rsidR="001F1513">
        <w:rPr>
          <w:lang w:val="es-MX"/>
        </w:rPr>
        <w:t>.</w:t>
      </w:r>
      <w:r>
        <w:rPr>
          <w:lang w:val="es-MX"/>
        </w:rPr>
        <w:t>1,099.5 millones, teniendo el impacto en la Inversión Financiera al pasar de Q</w:t>
      </w:r>
      <w:r w:rsidR="001F1513">
        <w:rPr>
          <w:lang w:val="es-MX"/>
        </w:rPr>
        <w:t>.</w:t>
      </w:r>
      <w:r>
        <w:rPr>
          <w:lang w:val="es-MX"/>
        </w:rPr>
        <w:t>1,450.0 millones en junio de 2020 a Q</w:t>
      </w:r>
      <w:r w:rsidR="001F1513">
        <w:rPr>
          <w:lang w:val="es-MX"/>
        </w:rPr>
        <w:t>.</w:t>
      </w:r>
      <w:r>
        <w:rPr>
          <w:lang w:val="es-MX"/>
        </w:rPr>
        <w:t xml:space="preserve">3.0 millones a junio de 2021. Esto se debió al traslado de fondos al Banco </w:t>
      </w:r>
      <w:r w:rsidR="001F1513">
        <w:rPr>
          <w:lang w:val="es-MX"/>
        </w:rPr>
        <w:t xml:space="preserve">El </w:t>
      </w:r>
      <w:r>
        <w:rPr>
          <w:lang w:val="es-MX"/>
        </w:rPr>
        <w:t xml:space="preserve">Crédito Hipotecario Nacional por parte del Ministerio de Economía, siempre bajo la figura del programa 94 </w:t>
      </w:r>
      <w:r w:rsidR="001F1513">
        <w:rPr>
          <w:lang w:val="es-MX"/>
        </w:rPr>
        <w:t>“</w:t>
      </w:r>
      <w:r w:rsidRPr="00FB641E">
        <w:rPr>
          <w:lang w:val="es-MX"/>
        </w:rPr>
        <w:t>Atención</w:t>
      </w:r>
      <w:r>
        <w:rPr>
          <w:lang w:val="es-MX"/>
        </w:rPr>
        <w:t xml:space="preserve"> por Desastres Naturales y Calamidades Públicas</w:t>
      </w:r>
      <w:r w:rsidR="001F1513">
        <w:rPr>
          <w:lang w:val="es-MX"/>
        </w:rPr>
        <w:t>”</w:t>
      </w:r>
      <w:r>
        <w:rPr>
          <w:lang w:val="es-MX"/>
        </w:rPr>
        <w:t>, lo cual para 2021 ya no se efectuó.</w:t>
      </w:r>
    </w:p>
    <w:p w:rsidR="00C6012B" w:rsidRDefault="00C6012B" w:rsidP="00C6012B">
      <w:pPr>
        <w:jc w:val="both"/>
        <w:rPr>
          <w:lang w:val="es-MX"/>
        </w:rPr>
      </w:pPr>
    </w:p>
    <w:p w:rsidR="00C6012B" w:rsidRDefault="00C6012B" w:rsidP="00C6012B">
      <w:pPr>
        <w:jc w:val="both"/>
        <w:rPr>
          <w:lang w:val="es-MX"/>
        </w:rPr>
      </w:pPr>
      <w:r>
        <w:rPr>
          <w:lang w:val="es-MX"/>
        </w:rPr>
        <w:t>La ejecución presupuestaria se compone por los gastos totales más las amortizaciones de préstamos que en conjunto suman Q</w:t>
      </w:r>
      <w:r w:rsidR="001F1513">
        <w:rPr>
          <w:lang w:val="es-MX"/>
        </w:rPr>
        <w:t>.</w:t>
      </w:r>
      <w:r>
        <w:rPr>
          <w:lang w:val="es-MX"/>
        </w:rPr>
        <w:t>41,408.5 millones a junio de 2021 y a junio de 2020 sumaron Q</w:t>
      </w:r>
      <w:r w:rsidR="001F1513">
        <w:rPr>
          <w:lang w:val="es-MX"/>
        </w:rPr>
        <w:t>.</w:t>
      </w:r>
      <w:r>
        <w:rPr>
          <w:lang w:val="es-MX"/>
        </w:rPr>
        <w:t>41,296.2 millones, mayor en Q112.3 millones en 2021, lo cual representa un aumento del 0.3%.</w:t>
      </w: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lang w:val="es-MX"/>
        </w:rPr>
      </w:pPr>
    </w:p>
    <w:p w:rsidR="00C6012B" w:rsidRDefault="00C6012B" w:rsidP="00C6012B">
      <w:pPr>
        <w:jc w:val="both"/>
        <w:rPr>
          <w:sz w:val="14"/>
          <w:lang w:val="es-MX"/>
        </w:rPr>
      </w:pPr>
    </w:p>
    <w:p w:rsidR="00C6012B" w:rsidRPr="00AF05C7" w:rsidRDefault="00C6012B" w:rsidP="00C6012B">
      <w:pPr>
        <w:jc w:val="center"/>
        <w:rPr>
          <w:b/>
          <w:szCs w:val="22"/>
          <w:lang w:val="es-MX"/>
        </w:rPr>
      </w:pPr>
      <w:r w:rsidRPr="00AF05C7">
        <w:rPr>
          <w:b/>
          <w:szCs w:val="22"/>
          <w:lang w:val="es-MX"/>
        </w:rPr>
        <w:t>Cuadro 4</w:t>
      </w:r>
    </w:p>
    <w:p w:rsidR="00C6012B" w:rsidRPr="00AF05C7" w:rsidRDefault="00C6012B" w:rsidP="00C6012B">
      <w:pPr>
        <w:jc w:val="center"/>
        <w:rPr>
          <w:b/>
          <w:szCs w:val="22"/>
          <w:lang w:val="es-MX"/>
        </w:rPr>
      </w:pPr>
      <w:r w:rsidRPr="00AF05C7">
        <w:rPr>
          <w:b/>
          <w:szCs w:val="22"/>
          <w:lang w:val="es-MX"/>
        </w:rPr>
        <w:t>Detalle del Gasto Público por Cuenta Económica</w:t>
      </w:r>
    </w:p>
    <w:p w:rsidR="00C6012B" w:rsidRPr="00AF05C7" w:rsidRDefault="00C6012B" w:rsidP="00C6012B">
      <w:pPr>
        <w:jc w:val="center"/>
        <w:rPr>
          <w:b/>
          <w:szCs w:val="22"/>
          <w:lang w:val="es-MX"/>
        </w:rPr>
      </w:pPr>
      <w:r w:rsidRPr="00AF05C7">
        <w:rPr>
          <w:b/>
          <w:szCs w:val="22"/>
          <w:lang w:val="es-MX"/>
        </w:rPr>
        <w:t>Al 30 de junio de 20</w:t>
      </w:r>
      <w:r w:rsidR="001F1513">
        <w:rPr>
          <w:b/>
          <w:szCs w:val="22"/>
          <w:lang w:val="es-MX"/>
        </w:rPr>
        <w:t>20</w:t>
      </w:r>
      <w:r w:rsidRPr="00AF05C7">
        <w:rPr>
          <w:b/>
          <w:szCs w:val="22"/>
          <w:lang w:val="es-MX"/>
        </w:rPr>
        <w:t xml:space="preserve"> y 202</w:t>
      </w:r>
      <w:r w:rsidR="001F1513">
        <w:rPr>
          <w:b/>
          <w:szCs w:val="22"/>
          <w:lang w:val="es-MX"/>
        </w:rPr>
        <w:t>1</w:t>
      </w:r>
      <w:r>
        <w:rPr>
          <w:b/>
          <w:szCs w:val="22"/>
          <w:lang w:val="es-MX"/>
        </w:rPr>
        <w:t>*</w:t>
      </w:r>
    </w:p>
    <w:p w:rsidR="00C6012B" w:rsidRPr="00AF05C7" w:rsidRDefault="00C6012B" w:rsidP="00C6012B">
      <w:pPr>
        <w:jc w:val="center"/>
        <w:rPr>
          <w:sz w:val="18"/>
          <w:lang w:val="es-MX"/>
        </w:rPr>
      </w:pPr>
      <w:r w:rsidRPr="00AF05C7">
        <w:rPr>
          <w:b/>
          <w:szCs w:val="22"/>
          <w:lang w:val="es-MX"/>
        </w:rPr>
        <w:t>(Cifras en Millones de Quetzales)</w:t>
      </w:r>
    </w:p>
    <w:tbl>
      <w:tblPr>
        <w:tblW w:w="0" w:type="auto"/>
        <w:jc w:val="center"/>
        <w:tblCellMar>
          <w:left w:w="0" w:type="dxa"/>
          <w:right w:w="0" w:type="dxa"/>
        </w:tblCellMar>
        <w:tblLook w:val="04A0" w:firstRow="1" w:lastRow="0" w:firstColumn="1" w:lastColumn="0" w:noHBand="0" w:noVBand="1"/>
      </w:tblPr>
      <w:tblGrid>
        <w:gridCol w:w="3178"/>
        <w:gridCol w:w="1418"/>
        <w:gridCol w:w="1276"/>
        <w:gridCol w:w="1417"/>
        <w:gridCol w:w="1334"/>
      </w:tblGrid>
      <w:tr w:rsidR="00C6012B" w:rsidRPr="00A01651" w:rsidTr="001F1513">
        <w:trPr>
          <w:trHeight w:val="315"/>
          <w:jc w:val="center"/>
        </w:trPr>
        <w:tc>
          <w:tcPr>
            <w:tcW w:w="3178" w:type="dxa"/>
            <w:vMerge w:val="restart"/>
            <w:tcBorders>
              <w:top w:val="single" w:sz="8" w:space="0" w:color="auto"/>
              <w:left w:val="single" w:sz="8" w:space="0" w:color="auto"/>
              <w:bottom w:val="single" w:sz="4" w:space="0" w:color="000000"/>
              <w:right w:val="nil"/>
            </w:tcBorders>
            <w:shd w:val="clear" w:color="000000" w:fill="8DB4E2"/>
            <w:tcMar>
              <w:top w:w="15" w:type="dxa"/>
              <w:left w:w="15" w:type="dxa"/>
              <w:bottom w:w="0" w:type="dxa"/>
              <w:right w:w="15" w:type="dxa"/>
            </w:tcMar>
            <w:vAlign w:val="center"/>
            <w:hideMark/>
          </w:tcPr>
          <w:p w:rsidR="00C6012B" w:rsidRPr="00A01651" w:rsidRDefault="00C6012B" w:rsidP="00C6012B">
            <w:pPr>
              <w:jc w:val="center"/>
              <w:rPr>
                <w:b/>
                <w:bCs/>
                <w:color w:val="000000"/>
                <w:sz w:val="18"/>
                <w:lang w:val="es-GT" w:eastAsia="es-GT"/>
              </w:rPr>
            </w:pPr>
            <w:r w:rsidRPr="00A01651">
              <w:rPr>
                <w:b/>
                <w:bCs/>
                <w:color w:val="000000"/>
                <w:sz w:val="18"/>
              </w:rPr>
              <w:t>Concepto</w:t>
            </w:r>
          </w:p>
        </w:tc>
        <w:tc>
          <w:tcPr>
            <w:tcW w:w="1418" w:type="dxa"/>
            <w:vMerge w:val="restart"/>
            <w:tcBorders>
              <w:top w:val="single" w:sz="8" w:space="0" w:color="auto"/>
              <w:left w:val="single" w:sz="4" w:space="0" w:color="auto"/>
              <w:bottom w:val="single" w:sz="4" w:space="0" w:color="000000"/>
              <w:right w:val="single" w:sz="4" w:space="0" w:color="auto"/>
            </w:tcBorders>
            <w:shd w:val="clear" w:color="000000" w:fill="8DB4E2"/>
            <w:tcMar>
              <w:top w:w="15" w:type="dxa"/>
              <w:left w:w="15" w:type="dxa"/>
              <w:bottom w:w="0" w:type="dxa"/>
              <w:right w:w="15" w:type="dxa"/>
            </w:tcMar>
            <w:vAlign w:val="center"/>
            <w:hideMark/>
          </w:tcPr>
          <w:p w:rsidR="00C6012B" w:rsidRPr="00A01651" w:rsidRDefault="00C6012B" w:rsidP="001F1513">
            <w:pPr>
              <w:jc w:val="center"/>
              <w:rPr>
                <w:b/>
                <w:bCs/>
                <w:color w:val="000000"/>
                <w:sz w:val="18"/>
              </w:rPr>
            </w:pPr>
            <w:r w:rsidRPr="00A01651">
              <w:rPr>
                <w:b/>
                <w:bCs/>
                <w:color w:val="000000"/>
                <w:sz w:val="18"/>
              </w:rPr>
              <w:t>20</w:t>
            </w:r>
            <w:r w:rsidR="001F1513">
              <w:rPr>
                <w:b/>
                <w:bCs/>
                <w:color w:val="000000"/>
                <w:sz w:val="18"/>
              </w:rPr>
              <w:t>20</w:t>
            </w:r>
          </w:p>
        </w:tc>
        <w:tc>
          <w:tcPr>
            <w:tcW w:w="1276" w:type="dxa"/>
            <w:vMerge w:val="restart"/>
            <w:tcBorders>
              <w:top w:val="single" w:sz="8" w:space="0" w:color="auto"/>
              <w:left w:val="single" w:sz="4" w:space="0" w:color="auto"/>
              <w:bottom w:val="single" w:sz="4" w:space="0" w:color="000000"/>
              <w:right w:val="single" w:sz="4" w:space="0" w:color="auto"/>
            </w:tcBorders>
            <w:shd w:val="clear" w:color="000000" w:fill="8DB4E2"/>
            <w:tcMar>
              <w:top w:w="15" w:type="dxa"/>
              <w:left w:w="15" w:type="dxa"/>
              <w:bottom w:w="0" w:type="dxa"/>
              <w:right w:w="15" w:type="dxa"/>
            </w:tcMar>
            <w:vAlign w:val="center"/>
            <w:hideMark/>
          </w:tcPr>
          <w:p w:rsidR="00C6012B" w:rsidRPr="00A01651" w:rsidRDefault="00C6012B" w:rsidP="001F1513">
            <w:pPr>
              <w:jc w:val="center"/>
              <w:rPr>
                <w:b/>
                <w:bCs/>
                <w:color w:val="000000"/>
                <w:sz w:val="18"/>
              </w:rPr>
            </w:pPr>
            <w:r w:rsidRPr="00A01651">
              <w:rPr>
                <w:b/>
                <w:bCs/>
                <w:color w:val="000000"/>
                <w:sz w:val="18"/>
              </w:rPr>
              <w:t>202</w:t>
            </w:r>
            <w:r w:rsidR="001F1513">
              <w:rPr>
                <w:b/>
                <w:bCs/>
                <w:color w:val="000000"/>
                <w:sz w:val="18"/>
              </w:rPr>
              <w:t>1</w:t>
            </w:r>
          </w:p>
        </w:tc>
        <w:tc>
          <w:tcPr>
            <w:tcW w:w="2751" w:type="dxa"/>
            <w:gridSpan w:val="2"/>
            <w:tcBorders>
              <w:top w:val="single" w:sz="8" w:space="0" w:color="auto"/>
              <w:left w:val="single" w:sz="4" w:space="0" w:color="auto"/>
              <w:bottom w:val="single" w:sz="4" w:space="0" w:color="auto"/>
              <w:right w:val="single" w:sz="8" w:space="0" w:color="000000"/>
            </w:tcBorders>
            <w:shd w:val="clear" w:color="000000" w:fill="8DB4E2"/>
            <w:noWrap/>
            <w:tcMar>
              <w:top w:w="15" w:type="dxa"/>
              <w:left w:w="15" w:type="dxa"/>
              <w:bottom w:w="0" w:type="dxa"/>
              <w:right w:w="15" w:type="dxa"/>
            </w:tcMar>
            <w:vAlign w:val="bottom"/>
            <w:hideMark/>
          </w:tcPr>
          <w:p w:rsidR="00C6012B" w:rsidRPr="00A01651" w:rsidRDefault="00C6012B" w:rsidP="00C6012B">
            <w:pPr>
              <w:jc w:val="center"/>
              <w:rPr>
                <w:b/>
                <w:bCs/>
                <w:color w:val="000000"/>
                <w:sz w:val="18"/>
              </w:rPr>
            </w:pPr>
            <w:r w:rsidRPr="00A01651">
              <w:rPr>
                <w:b/>
                <w:bCs/>
                <w:color w:val="000000"/>
                <w:sz w:val="18"/>
              </w:rPr>
              <w:t>Diferencias</w:t>
            </w:r>
          </w:p>
        </w:tc>
      </w:tr>
      <w:tr w:rsidR="00C6012B" w:rsidRPr="00A01651" w:rsidTr="001F1513">
        <w:trPr>
          <w:trHeight w:val="315"/>
          <w:jc w:val="center"/>
        </w:trPr>
        <w:tc>
          <w:tcPr>
            <w:tcW w:w="3178" w:type="dxa"/>
            <w:vMerge/>
            <w:tcBorders>
              <w:top w:val="single" w:sz="8" w:space="0" w:color="auto"/>
              <w:left w:val="single" w:sz="8" w:space="0" w:color="auto"/>
              <w:bottom w:val="single" w:sz="4" w:space="0" w:color="000000"/>
              <w:right w:val="nil"/>
            </w:tcBorders>
            <w:vAlign w:val="center"/>
            <w:hideMark/>
          </w:tcPr>
          <w:p w:rsidR="00C6012B" w:rsidRPr="00A01651" w:rsidRDefault="00C6012B" w:rsidP="00C6012B">
            <w:pPr>
              <w:rPr>
                <w:b/>
                <w:bCs/>
                <w:color w:val="000000"/>
                <w:sz w:val="18"/>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C6012B" w:rsidRPr="00A01651" w:rsidRDefault="00C6012B" w:rsidP="00C6012B">
            <w:pPr>
              <w:rPr>
                <w:b/>
                <w:bCs/>
                <w:color w:val="000000"/>
                <w:sz w:val="18"/>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rsidR="00C6012B" w:rsidRPr="00A01651" w:rsidRDefault="00C6012B" w:rsidP="00C6012B">
            <w:pPr>
              <w:rPr>
                <w:b/>
                <w:bCs/>
                <w:color w:val="000000"/>
                <w:sz w:val="18"/>
              </w:rPr>
            </w:pPr>
          </w:p>
        </w:tc>
        <w:tc>
          <w:tcPr>
            <w:tcW w:w="1417" w:type="dxa"/>
            <w:tcBorders>
              <w:top w:val="nil"/>
              <w:left w:val="nil"/>
              <w:bottom w:val="single" w:sz="4" w:space="0" w:color="auto"/>
              <w:right w:val="single" w:sz="4" w:space="0" w:color="auto"/>
            </w:tcBorders>
            <w:shd w:val="clear" w:color="000000" w:fill="8DB4E2"/>
            <w:noWrap/>
            <w:tcMar>
              <w:top w:w="15" w:type="dxa"/>
              <w:left w:w="15" w:type="dxa"/>
              <w:bottom w:w="0" w:type="dxa"/>
              <w:right w:w="15" w:type="dxa"/>
            </w:tcMar>
            <w:vAlign w:val="bottom"/>
            <w:hideMark/>
          </w:tcPr>
          <w:p w:rsidR="00C6012B" w:rsidRPr="00A01651" w:rsidRDefault="00C6012B" w:rsidP="00C6012B">
            <w:pPr>
              <w:jc w:val="center"/>
              <w:rPr>
                <w:b/>
                <w:bCs/>
                <w:color w:val="000000"/>
                <w:sz w:val="18"/>
              </w:rPr>
            </w:pPr>
            <w:r w:rsidRPr="00A01651">
              <w:rPr>
                <w:b/>
                <w:bCs/>
                <w:color w:val="000000"/>
                <w:sz w:val="18"/>
              </w:rPr>
              <w:t>Absolutas</w:t>
            </w:r>
          </w:p>
        </w:tc>
        <w:tc>
          <w:tcPr>
            <w:tcW w:w="1334" w:type="dxa"/>
            <w:tcBorders>
              <w:top w:val="single" w:sz="4" w:space="0" w:color="auto"/>
              <w:left w:val="nil"/>
              <w:bottom w:val="single" w:sz="4" w:space="0" w:color="auto"/>
              <w:right w:val="single" w:sz="8" w:space="0" w:color="auto"/>
            </w:tcBorders>
            <w:shd w:val="clear" w:color="000000" w:fill="8DB4E2"/>
            <w:noWrap/>
            <w:tcMar>
              <w:top w:w="15" w:type="dxa"/>
              <w:left w:w="15" w:type="dxa"/>
              <w:bottom w:w="0" w:type="dxa"/>
              <w:right w:w="15" w:type="dxa"/>
            </w:tcMar>
            <w:vAlign w:val="bottom"/>
            <w:hideMark/>
          </w:tcPr>
          <w:p w:rsidR="00C6012B" w:rsidRPr="00A01651" w:rsidRDefault="00C6012B" w:rsidP="00C6012B">
            <w:pPr>
              <w:jc w:val="center"/>
              <w:rPr>
                <w:b/>
                <w:bCs/>
                <w:color w:val="000000"/>
                <w:sz w:val="18"/>
              </w:rPr>
            </w:pPr>
            <w:r w:rsidRPr="00A01651">
              <w:rPr>
                <w:b/>
                <w:bCs/>
                <w:color w:val="000000"/>
                <w:sz w:val="18"/>
              </w:rPr>
              <w:t>Relativas</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rPr>
                <w:b/>
                <w:bCs/>
                <w:color w:val="000000"/>
                <w:sz w:val="18"/>
              </w:rPr>
            </w:pPr>
            <w:r w:rsidRPr="00A01651">
              <w:rPr>
                <w:b/>
                <w:bCs/>
                <w:color w:val="000000"/>
                <w:sz w:val="18"/>
              </w:rPr>
              <w:t>Gastos Totales</w:t>
            </w:r>
          </w:p>
        </w:tc>
        <w:tc>
          <w:tcPr>
            <w:tcW w:w="1418" w:type="dxa"/>
            <w:tcBorders>
              <w:top w:val="single" w:sz="4" w:space="0" w:color="auto"/>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39,745.7</w:t>
            </w:r>
          </w:p>
        </w:tc>
        <w:tc>
          <w:tcPr>
            <w:tcW w:w="1276" w:type="dxa"/>
            <w:tcBorders>
              <w:top w:val="single" w:sz="4" w:space="0" w:color="auto"/>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39,900.2</w:t>
            </w:r>
          </w:p>
        </w:tc>
        <w:tc>
          <w:tcPr>
            <w:tcW w:w="1417"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154.4</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0.4%</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135" w:type="dxa"/>
              <w:bottom w:w="0" w:type="dxa"/>
              <w:right w:w="15" w:type="dxa"/>
            </w:tcMar>
            <w:vAlign w:val="bottom"/>
            <w:hideMark/>
          </w:tcPr>
          <w:p w:rsidR="00C6012B" w:rsidRPr="00A01651" w:rsidRDefault="00C6012B" w:rsidP="00C6012B">
            <w:pPr>
              <w:ind w:firstLineChars="100" w:firstLine="181"/>
              <w:rPr>
                <w:b/>
                <w:bCs/>
                <w:color w:val="000000"/>
                <w:sz w:val="18"/>
              </w:rPr>
            </w:pPr>
            <w:r w:rsidRPr="00A01651">
              <w:rPr>
                <w:b/>
                <w:bCs/>
                <w:color w:val="000000"/>
                <w:sz w:val="18"/>
              </w:rPr>
              <w:t>Gastos Corrientes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32,226.2</w:t>
            </w:r>
          </w:p>
        </w:tc>
        <w:tc>
          <w:tcPr>
            <w:tcW w:w="1276"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33,480.2</w:t>
            </w:r>
          </w:p>
        </w:tc>
        <w:tc>
          <w:tcPr>
            <w:tcW w:w="1417"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1,254.0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3.9%</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Remuneraciones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12,479.5</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13,012.0</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532.5</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4.3%</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Bienes y Servicios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3,222.9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5,341.5</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2,118.6</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65.7%</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1F1513">
            <w:pPr>
              <w:ind w:firstLineChars="200" w:firstLine="360"/>
              <w:rPr>
                <w:color w:val="000000"/>
                <w:sz w:val="18"/>
              </w:rPr>
            </w:pPr>
            <w:r w:rsidRPr="00A01651">
              <w:rPr>
                <w:color w:val="000000"/>
                <w:sz w:val="18"/>
              </w:rPr>
              <w:t xml:space="preserve">Impuestos </w:t>
            </w:r>
            <w:r w:rsidR="001F1513">
              <w:rPr>
                <w:color w:val="000000"/>
                <w:sz w:val="18"/>
              </w:rPr>
              <w:t>P</w:t>
            </w:r>
            <w:r w:rsidRPr="00A01651">
              <w:rPr>
                <w:color w:val="000000"/>
                <w:sz w:val="18"/>
              </w:rPr>
              <w:t>agados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2.1</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2.8</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0.7</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32.8%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Descuentos y Bonificaciones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28.9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53.7</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24.8</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85.8%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Prestaciones a la Seguridad Social</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2,424.9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2,509.1</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84.2</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3.5%</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Intereses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4,819.4</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5,574.4</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755.0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15.7%</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1F1513">
            <w:pPr>
              <w:ind w:firstLineChars="300" w:firstLine="540"/>
              <w:rPr>
                <w:color w:val="000000"/>
                <w:sz w:val="18"/>
              </w:rPr>
            </w:pPr>
            <w:r w:rsidRPr="00A01651">
              <w:rPr>
                <w:color w:val="000000"/>
                <w:sz w:val="18"/>
              </w:rPr>
              <w:t xml:space="preserve">Deuda </w:t>
            </w:r>
            <w:r w:rsidR="001F1513">
              <w:rPr>
                <w:color w:val="000000"/>
                <w:sz w:val="18"/>
              </w:rPr>
              <w:t>I</w:t>
            </w:r>
            <w:r w:rsidRPr="00A01651">
              <w:rPr>
                <w:color w:val="000000"/>
                <w:sz w:val="18"/>
              </w:rPr>
              <w:t xml:space="preserve">nterna </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3,175.8</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3,756.3</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580.4</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18.3%</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1F1513">
            <w:pPr>
              <w:ind w:firstLineChars="300" w:firstLine="540"/>
              <w:rPr>
                <w:color w:val="000000"/>
                <w:sz w:val="18"/>
              </w:rPr>
            </w:pPr>
            <w:r w:rsidRPr="00A01651">
              <w:rPr>
                <w:color w:val="000000"/>
                <w:sz w:val="18"/>
              </w:rPr>
              <w:t xml:space="preserve">Deuda </w:t>
            </w:r>
            <w:r w:rsidR="001F1513">
              <w:rPr>
                <w:color w:val="000000"/>
                <w:sz w:val="18"/>
              </w:rPr>
              <w:t>E</w:t>
            </w:r>
            <w:r w:rsidRPr="00A01651">
              <w:rPr>
                <w:color w:val="000000"/>
                <w:sz w:val="18"/>
              </w:rPr>
              <w:t>xterna</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1,643.6</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1,818.2</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174.6</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10.6%</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540" w:type="dxa"/>
              <w:bottom w:w="0" w:type="dxa"/>
              <w:right w:w="15" w:type="dxa"/>
            </w:tcMar>
            <w:vAlign w:val="bottom"/>
            <w:hideMark/>
          </w:tcPr>
          <w:p w:rsidR="00C6012B" w:rsidRPr="00A01651" w:rsidRDefault="00C6012B" w:rsidP="00C6012B">
            <w:pPr>
              <w:ind w:firstLineChars="400" w:firstLine="720"/>
              <w:rPr>
                <w:color w:val="000000"/>
                <w:sz w:val="18"/>
              </w:rPr>
            </w:pPr>
            <w:r w:rsidRPr="00A01651">
              <w:rPr>
                <w:color w:val="000000"/>
                <w:sz w:val="18"/>
              </w:rPr>
              <w:t>Préstamos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776.9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677.5</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-99.5</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-12.8%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540" w:type="dxa"/>
              <w:bottom w:w="0" w:type="dxa"/>
              <w:right w:w="15" w:type="dxa"/>
            </w:tcMar>
            <w:vAlign w:val="bottom"/>
            <w:hideMark/>
          </w:tcPr>
          <w:p w:rsidR="00C6012B" w:rsidRPr="00A01651" w:rsidRDefault="00C6012B" w:rsidP="00C6012B">
            <w:pPr>
              <w:ind w:firstLineChars="400" w:firstLine="720"/>
              <w:rPr>
                <w:color w:val="000000"/>
                <w:sz w:val="18"/>
              </w:rPr>
            </w:pPr>
            <w:r w:rsidRPr="00A01651">
              <w:rPr>
                <w:color w:val="000000"/>
                <w:sz w:val="18"/>
              </w:rPr>
              <w:t>Bonos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866.6</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1,140.7</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274.1</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31.6%</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Arrendamiento de Tierra y Terrenos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0.1</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0.1</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0.0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-12.5%</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Derechos Sobre Bienes Intangibles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6.7</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14.6</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8.0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119.0%</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Transferencias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9,241.9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6,972.1</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-2,269.8</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-24.6%</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C6012B">
            <w:pPr>
              <w:ind w:firstLineChars="300" w:firstLine="540"/>
              <w:rPr>
                <w:color w:val="000000"/>
                <w:sz w:val="18"/>
              </w:rPr>
            </w:pPr>
            <w:r w:rsidRPr="00A01651">
              <w:rPr>
                <w:color w:val="000000"/>
                <w:sz w:val="18"/>
              </w:rPr>
              <w:t>Resto del Sector Público</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4,604.6</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4,885.5</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280.9</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6.1%</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1F1513">
            <w:pPr>
              <w:ind w:firstLineChars="300" w:firstLine="540"/>
              <w:rPr>
                <w:color w:val="000000"/>
                <w:sz w:val="18"/>
              </w:rPr>
            </w:pPr>
            <w:r w:rsidRPr="00A01651">
              <w:rPr>
                <w:color w:val="000000"/>
                <w:sz w:val="18"/>
              </w:rPr>
              <w:t xml:space="preserve">Sector </w:t>
            </w:r>
            <w:r w:rsidR="001F1513">
              <w:rPr>
                <w:color w:val="000000"/>
                <w:sz w:val="18"/>
              </w:rPr>
              <w:t>P</w:t>
            </w:r>
            <w:r w:rsidRPr="00A01651">
              <w:rPr>
                <w:color w:val="000000"/>
                <w:sz w:val="18"/>
              </w:rPr>
              <w:t>rivado</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4,625.5</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2,045.3</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-2,580.2</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-55.8%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1F1513">
            <w:pPr>
              <w:ind w:firstLineChars="300" w:firstLine="540"/>
              <w:rPr>
                <w:color w:val="000000"/>
                <w:sz w:val="18"/>
              </w:rPr>
            </w:pPr>
            <w:r w:rsidRPr="00A01651">
              <w:rPr>
                <w:color w:val="000000"/>
                <w:sz w:val="18"/>
              </w:rPr>
              <w:t xml:space="preserve">Sector </w:t>
            </w:r>
            <w:r w:rsidR="001F1513">
              <w:rPr>
                <w:color w:val="000000"/>
                <w:sz w:val="18"/>
              </w:rPr>
              <w:t>E</w:t>
            </w:r>
            <w:r w:rsidRPr="00A01651">
              <w:rPr>
                <w:color w:val="000000"/>
                <w:sz w:val="18"/>
              </w:rPr>
              <w:t>xterno</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11.8</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41.3</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29.5</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249.4%</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135" w:type="dxa"/>
              <w:bottom w:w="0" w:type="dxa"/>
              <w:right w:w="15" w:type="dxa"/>
            </w:tcMar>
            <w:vAlign w:val="bottom"/>
            <w:hideMark/>
          </w:tcPr>
          <w:p w:rsidR="00C6012B" w:rsidRPr="00A01651" w:rsidRDefault="00C6012B" w:rsidP="00C6012B">
            <w:pPr>
              <w:ind w:firstLineChars="100" w:firstLine="181"/>
              <w:rPr>
                <w:b/>
                <w:bCs/>
                <w:color w:val="000000"/>
                <w:sz w:val="18"/>
              </w:rPr>
            </w:pPr>
            <w:r w:rsidRPr="00A01651">
              <w:rPr>
                <w:b/>
                <w:bCs/>
                <w:color w:val="000000"/>
                <w:sz w:val="18"/>
              </w:rPr>
              <w:t>Gastos de Capital</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7,519.5</w:t>
            </w:r>
          </w:p>
        </w:tc>
        <w:tc>
          <w:tcPr>
            <w:tcW w:w="1276"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sz w:val="18"/>
              </w:rPr>
            </w:pPr>
            <w:r w:rsidRPr="00A01651">
              <w:rPr>
                <w:b/>
                <w:bCs/>
                <w:sz w:val="18"/>
              </w:rPr>
              <w:t>6,420.0</w:t>
            </w:r>
          </w:p>
        </w:tc>
        <w:tc>
          <w:tcPr>
            <w:tcW w:w="1417"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-1,099.5</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-14.6%</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Inversión Real Directa</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1,347.6</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1,430.7</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83.0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6.2%</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Inversión Financiera</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1,450.0</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3.0</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-1,447.0</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-99.8%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270" w:type="dxa"/>
              <w:bottom w:w="0" w:type="dxa"/>
              <w:right w:w="15" w:type="dxa"/>
            </w:tcMar>
            <w:vAlign w:val="bottom"/>
            <w:hideMark/>
          </w:tcPr>
          <w:p w:rsidR="00C6012B" w:rsidRPr="00A01651" w:rsidRDefault="00C6012B" w:rsidP="00C6012B">
            <w:pPr>
              <w:ind w:firstLineChars="200" w:firstLine="360"/>
              <w:rPr>
                <w:color w:val="000000"/>
                <w:sz w:val="18"/>
              </w:rPr>
            </w:pPr>
            <w:r w:rsidRPr="00A01651">
              <w:rPr>
                <w:color w:val="000000"/>
                <w:sz w:val="18"/>
              </w:rPr>
              <w:t>Transferencias</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4,721.9</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4,986.3</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264.4</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5.6%</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C6012B">
            <w:pPr>
              <w:ind w:firstLineChars="300" w:firstLine="540"/>
              <w:rPr>
                <w:color w:val="000000"/>
                <w:sz w:val="18"/>
              </w:rPr>
            </w:pPr>
            <w:r w:rsidRPr="00A01651">
              <w:rPr>
                <w:color w:val="000000"/>
                <w:sz w:val="18"/>
              </w:rPr>
              <w:t xml:space="preserve">Resto del Sector Público </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4,414.3</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4,696.4</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282.1</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6.4%</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405" w:type="dxa"/>
              <w:bottom w:w="0" w:type="dxa"/>
              <w:right w:w="15" w:type="dxa"/>
            </w:tcMar>
            <w:vAlign w:val="bottom"/>
            <w:hideMark/>
          </w:tcPr>
          <w:p w:rsidR="00C6012B" w:rsidRPr="00A01651" w:rsidRDefault="00C6012B" w:rsidP="001F1513">
            <w:pPr>
              <w:ind w:firstLineChars="300" w:firstLine="540"/>
              <w:rPr>
                <w:color w:val="000000"/>
                <w:sz w:val="18"/>
              </w:rPr>
            </w:pPr>
            <w:r w:rsidRPr="00A01651">
              <w:rPr>
                <w:color w:val="000000"/>
                <w:sz w:val="18"/>
              </w:rPr>
              <w:t xml:space="preserve">Sector </w:t>
            </w:r>
            <w:r w:rsidR="001F1513">
              <w:rPr>
                <w:color w:val="000000"/>
                <w:sz w:val="18"/>
              </w:rPr>
              <w:t>P</w:t>
            </w:r>
            <w:r w:rsidRPr="00A01651">
              <w:rPr>
                <w:color w:val="000000"/>
                <w:sz w:val="18"/>
              </w:rPr>
              <w:t xml:space="preserve">rivado y </w:t>
            </w:r>
            <w:r w:rsidR="001F1513">
              <w:rPr>
                <w:color w:val="000000"/>
                <w:sz w:val="18"/>
              </w:rPr>
              <w:t>E</w:t>
            </w:r>
            <w:r w:rsidRPr="00A01651">
              <w:rPr>
                <w:color w:val="000000"/>
                <w:sz w:val="18"/>
              </w:rPr>
              <w:t xml:space="preserve">xterno </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307.6</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289.9</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-17.7</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-5.8%</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1F1513">
            <w:pPr>
              <w:rPr>
                <w:b/>
                <w:bCs/>
                <w:color w:val="000000"/>
                <w:sz w:val="18"/>
                <w:u w:val="single"/>
              </w:rPr>
            </w:pPr>
            <w:r w:rsidRPr="00A01651">
              <w:rPr>
                <w:b/>
                <w:bCs/>
                <w:color w:val="000000"/>
                <w:sz w:val="18"/>
                <w:u w:val="single"/>
              </w:rPr>
              <w:t xml:space="preserve">Más pagos de </w:t>
            </w:r>
            <w:r w:rsidR="001F1513">
              <w:rPr>
                <w:b/>
                <w:bCs/>
                <w:color w:val="000000"/>
                <w:sz w:val="18"/>
                <w:u w:val="single"/>
              </w:rPr>
              <w:t>D</w:t>
            </w:r>
            <w:r w:rsidRPr="00A01651">
              <w:rPr>
                <w:b/>
                <w:bCs/>
                <w:color w:val="000000"/>
                <w:sz w:val="18"/>
                <w:u w:val="single"/>
              </w:rPr>
              <w:t xml:space="preserve">euda </w:t>
            </w:r>
            <w:r w:rsidR="001F1513">
              <w:rPr>
                <w:b/>
                <w:bCs/>
                <w:color w:val="000000"/>
                <w:sz w:val="18"/>
                <w:u w:val="single"/>
              </w:rPr>
              <w:t>E</w:t>
            </w:r>
            <w:r w:rsidRPr="00A01651">
              <w:rPr>
                <w:b/>
                <w:bCs/>
                <w:color w:val="000000"/>
                <w:sz w:val="18"/>
                <w:u w:val="single"/>
              </w:rPr>
              <w:t>xterna:</w:t>
            </w:r>
          </w:p>
        </w:tc>
        <w:tc>
          <w:tcPr>
            <w:tcW w:w="1418" w:type="dxa"/>
            <w:tcBorders>
              <w:top w:val="nil"/>
              <w:left w:val="single" w:sz="4" w:space="0" w:color="auto"/>
              <w:bottom w:val="nil"/>
              <w:right w:val="nil"/>
            </w:tcBorders>
            <w:shd w:val="clear" w:color="000000" w:fill="FFFFFF"/>
            <w:noWrap/>
            <w:tcMar>
              <w:top w:w="15" w:type="dxa"/>
              <w:left w:w="15" w:type="dxa"/>
              <w:bottom w:w="0" w:type="dxa"/>
              <w:right w:w="15" w:type="dxa"/>
            </w:tcMar>
            <w:vAlign w:val="bottom"/>
            <w:hideMark/>
          </w:tcPr>
          <w:p w:rsidR="00C6012B" w:rsidRPr="00A01651" w:rsidRDefault="00C6012B" w:rsidP="00C6012B">
            <w:pPr>
              <w:rPr>
                <w:color w:val="000000"/>
                <w:sz w:val="18"/>
              </w:rPr>
            </w:pPr>
            <w:r w:rsidRPr="00A01651">
              <w:rPr>
                <w:color w:val="000000"/>
                <w:sz w:val="18"/>
              </w:rPr>
              <w:t> </w:t>
            </w:r>
          </w:p>
        </w:tc>
        <w:tc>
          <w:tcPr>
            <w:tcW w:w="1276" w:type="dxa"/>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rPr>
                <w:color w:val="000000"/>
                <w:sz w:val="18"/>
              </w:rPr>
            </w:pPr>
            <w:r w:rsidRPr="00A01651">
              <w:rPr>
                <w:color w:val="000000"/>
                <w:sz w:val="18"/>
              </w:rPr>
              <w:t> </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rPr>
                <w:color w:val="000000"/>
                <w:sz w:val="18"/>
              </w:rPr>
            </w:pPr>
            <w:r w:rsidRPr="00A01651">
              <w:rPr>
                <w:color w:val="000000"/>
                <w:sz w:val="18"/>
              </w:rPr>
              <w:t> </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rPr>
                <w:color w:val="000000"/>
                <w:sz w:val="18"/>
              </w:rPr>
            </w:pPr>
            <w:r w:rsidRPr="00A01651">
              <w:rPr>
                <w:color w:val="000000"/>
                <w:sz w:val="18"/>
              </w:rPr>
              <w:t> </w:t>
            </w:r>
          </w:p>
        </w:tc>
      </w:tr>
      <w:tr w:rsidR="00C6012B" w:rsidRPr="00A01651" w:rsidTr="001F1513">
        <w:trPr>
          <w:trHeight w:val="315"/>
          <w:jc w:val="center"/>
        </w:trPr>
        <w:tc>
          <w:tcPr>
            <w:tcW w:w="3178" w:type="dxa"/>
            <w:tcBorders>
              <w:top w:val="nil"/>
              <w:left w:val="single" w:sz="8" w:space="0" w:color="auto"/>
              <w:bottom w:val="nil"/>
              <w:right w:val="nil"/>
            </w:tcBorders>
            <w:shd w:val="clear" w:color="000000" w:fill="FFFFFF"/>
            <w:noWrap/>
            <w:tcMar>
              <w:top w:w="15" w:type="dxa"/>
              <w:left w:w="135" w:type="dxa"/>
              <w:bottom w:w="0" w:type="dxa"/>
              <w:right w:w="15" w:type="dxa"/>
            </w:tcMar>
            <w:vAlign w:val="bottom"/>
            <w:hideMark/>
          </w:tcPr>
          <w:p w:rsidR="00C6012B" w:rsidRPr="00A01651" w:rsidRDefault="00C6012B" w:rsidP="00C6012B">
            <w:pPr>
              <w:ind w:firstLineChars="100" w:firstLine="180"/>
              <w:rPr>
                <w:color w:val="000000"/>
                <w:sz w:val="18"/>
              </w:rPr>
            </w:pPr>
            <w:r w:rsidRPr="00A01651">
              <w:rPr>
                <w:color w:val="000000"/>
                <w:sz w:val="18"/>
              </w:rPr>
              <w:t>Amortizaciones</w:t>
            </w:r>
          </w:p>
        </w:tc>
        <w:tc>
          <w:tcPr>
            <w:tcW w:w="1418"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center"/>
            <w:hideMark/>
          </w:tcPr>
          <w:p w:rsidR="00C6012B" w:rsidRPr="00A01651" w:rsidRDefault="00C6012B" w:rsidP="00C6012B">
            <w:pPr>
              <w:jc w:val="right"/>
              <w:rPr>
                <w:sz w:val="18"/>
              </w:rPr>
            </w:pPr>
            <w:r w:rsidRPr="00A01651">
              <w:rPr>
                <w:sz w:val="18"/>
              </w:rPr>
              <w:t>1,550.5</w:t>
            </w:r>
          </w:p>
        </w:tc>
        <w:tc>
          <w:tcPr>
            <w:tcW w:w="127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C6012B" w:rsidRPr="00A01651" w:rsidRDefault="00C6012B" w:rsidP="00C6012B">
            <w:pPr>
              <w:jc w:val="right"/>
              <w:rPr>
                <w:sz w:val="18"/>
              </w:rPr>
            </w:pPr>
            <w:r w:rsidRPr="00A01651">
              <w:rPr>
                <w:sz w:val="18"/>
              </w:rPr>
              <w:t>1,508.4</w:t>
            </w:r>
          </w:p>
        </w:tc>
        <w:tc>
          <w:tcPr>
            <w:tcW w:w="1417" w:type="dxa"/>
            <w:tcBorders>
              <w:top w:val="nil"/>
              <w:left w:val="nil"/>
              <w:bottom w:val="nil"/>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-42.1</w:t>
            </w:r>
          </w:p>
        </w:tc>
        <w:tc>
          <w:tcPr>
            <w:tcW w:w="1334" w:type="dxa"/>
            <w:tcBorders>
              <w:top w:val="nil"/>
              <w:left w:val="single" w:sz="4" w:space="0" w:color="auto"/>
              <w:bottom w:val="nil"/>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color w:val="000000"/>
                <w:sz w:val="18"/>
              </w:rPr>
            </w:pPr>
            <w:r w:rsidRPr="00A01651">
              <w:rPr>
                <w:color w:val="000000"/>
                <w:sz w:val="18"/>
              </w:rPr>
              <w:t>-2.7%</w:t>
            </w:r>
          </w:p>
        </w:tc>
      </w:tr>
      <w:tr w:rsidR="00C6012B" w:rsidRPr="00A01651" w:rsidTr="001F1513">
        <w:trPr>
          <w:trHeight w:val="330"/>
          <w:jc w:val="center"/>
        </w:trPr>
        <w:tc>
          <w:tcPr>
            <w:tcW w:w="3178" w:type="dxa"/>
            <w:tcBorders>
              <w:top w:val="nil"/>
              <w:left w:val="single" w:sz="8" w:space="0" w:color="auto"/>
              <w:bottom w:val="single" w:sz="8" w:space="0" w:color="auto"/>
              <w:right w:val="nil"/>
            </w:tcBorders>
            <w:shd w:val="clear" w:color="000000" w:fill="FFFFFF"/>
            <w:noWrap/>
            <w:tcMar>
              <w:top w:w="15" w:type="dxa"/>
              <w:left w:w="15" w:type="dxa"/>
              <w:bottom w:w="0" w:type="dxa"/>
              <w:right w:w="15" w:type="dxa"/>
            </w:tcMar>
            <w:vAlign w:val="bottom"/>
            <w:hideMark/>
          </w:tcPr>
          <w:p w:rsidR="00C6012B" w:rsidRPr="00A01651" w:rsidRDefault="00C6012B" w:rsidP="001F1513">
            <w:pPr>
              <w:rPr>
                <w:b/>
                <w:bCs/>
                <w:color w:val="000000"/>
                <w:sz w:val="18"/>
              </w:rPr>
            </w:pPr>
            <w:r w:rsidRPr="00A01651">
              <w:rPr>
                <w:b/>
                <w:bCs/>
                <w:color w:val="000000"/>
                <w:sz w:val="18"/>
              </w:rPr>
              <w:t xml:space="preserve">Total del </w:t>
            </w:r>
            <w:r w:rsidR="001F1513">
              <w:rPr>
                <w:b/>
                <w:bCs/>
                <w:color w:val="000000"/>
                <w:sz w:val="18"/>
              </w:rPr>
              <w:t>G</w:t>
            </w:r>
            <w:r w:rsidRPr="00A01651">
              <w:rPr>
                <w:b/>
                <w:bCs/>
                <w:color w:val="000000"/>
                <w:sz w:val="18"/>
              </w:rPr>
              <w:t xml:space="preserve">asto </w:t>
            </w:r>
            <w:r w:rsidR="001F1513">
              <w:rPr>
                <w:b/>
                <w:bCs/>
                <w:color w:val="000000"/>
                <w:sz w:val="18"/>
              </w:rPr>
              <w:t>P</w:t>
            </w:r>
            <w:r w:rsidRPr="00A01651">
              <w:rPr>
                <w:b/>
                <w:bCs/>
                <w:color w:val="000000"/>
                <w:sz w:val="18"/>
              </w:rPr>
              <w:t>resupuestario</w:t>
            </w:r>
          </w:p>
        </w:tc>
        <w:tc>
          <w:tcPr>
            <w:tcW w:w="1418" w:type="dxa"/>
            <w:tcBorders>
              <w:top w:val="nil"/>
              <w:left w:val="single" w:sz="4" w:space="0" w:color="auto"/>
              <w:bottom w:val="single" w:sz="8" w:space="0" w:color="auto"/>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rPr>
                <w:b/>
                <w:bCs/>
                <w:color w:val="000000"/>
                <w:sz w:val="18"/>
              </w:rPr>
            </w:pPr>
            <w:r w:rsidRPr="00A01651">
              <w:rPr>
                <w:b/>
                <w:bCs/>
                <w:color w:val="000000"/>
                <w:sz w:val="18"/>
              </w:rPr>
              <w:t xml:space="preserve">    </w:t>
            </w:r>
            <w:r w:rsidR="00E21886">
              <w:rPr>
                <w:b/>
                <w:bCs/>
                <w:color w:val="000000"/>
                <w:sz w:val="18"/>
              </w:rPr>
              <w:t xml:space="preserve">        </w:t>
            </w:r>
            <w:r w:rsidRPr="00A01651">
              <w:rPr>
                <w:b/>
                <w:bCs/>
                <w:color w:val="000000"/>
                <w:sz w:val="18"/>
              </w:rPr>
              <w:t xml:space="preserve">    41,296.2 </w:t>
            </w:r>
          </w:p>
        </w:tc>
        <w:tc>
          <w:tcPr>
            <w:tcW w:w="1276" w:type="dxa"/>
            <w:tcBorders>
              <w:top w:val="nil"/>
              <w:left w:val="nil"/>
              <w:bottom w:val="single" w:sz="8" w:space="0" w:color="auto"/>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rPr>
                <w:b/>
                <w:bCs/>
                <w:color w:val="000000"/>
                <w:sz w:val="18"/>
              </w:rPr>
            </w:pPr>
            <w:r w:rsidRPr="00A01651">
              <w:rPr>
                <w:b/>
                <w:bCs/>
                <w:color w:val="000000"/>
                <w:sz w:val="18"/>
              </w:rPr>
              <w:t xml:space="preserve">    </w:t>
            </w:r>
            <w:r w:rsidR="00E21886">
              <w:rPr>
                <w:b/>
                <w:bCs/>
                <w:color w:val="000000"/>
                <w:sz w:val="18"/>
              </w:rPr>
              <w:t xml:space="preserve">      </w:t>
            </w:r>
            <w:r w:rsidRPr="00A01651">
              <w:rPr>
                <w:b/>
                <w:bCs/>
                <w:color w:val="000000"/>
                <w:sz w:val="18"/>
              </w:rPr>
              <w:t xml:space="preserve">   41,408.5 </w:t>
            </w:r>
          </w:p>
        </w:tc>
        <w:tc>
          <w:tcPr>
            <w:tcW w:w="1417" w:type="dxa"/>
            <w:tcBorders>
              <w:top w:val="nil"/>
              <w:left w:val="nil"/>
              <w:bottom w:val="single" w:sz="8" w:space="0" w:color="auto"/>
              <w:right w:val="single" w:sz="4"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112.3</w:t>
            </w:r>
          </w:p>
        </w:tc>
        <w:tc>
          <w:tcPr>
            <w:tcW w:w="1334" w:type="dxa"/>
            <w:tcBorders>
              <w:top w:val="nil"/>
              <w:left w:val="single" w:sz="4" w:space="0" w:color="auto"/>
              <w:bottom w:val="single" w:sz="8" w:space="0" w:color="auto"/>
              <w:right w:val="single" w:sz="8" w:space="0" w:color="auto"/>
            </w:tcBorders>
            <w:shd w:val="clear" w:color="000000" w:fill="FFFFFF"/>
            <w:noWrap/>
            <w:tcMar>
              <w:top w:w="15" w:type="dxa"/>
              <w:left w:w="15" w:type="dxa"/>
              <w:bottom w:w="0" w:type="dxa"/>
              <w:right w:w="15" w:type="dxa"/>
            </w:tcMar>
            <w:vAlign w:val="bottom"/>
            <w:hideMark/>
          </w:tcPr>
          <w:p w:rsidR="00C6012B" w:rsidRPr="00A01651" w:rsidRDefault="00C6012B" w:rsidP="00C6012B">
            <w:pPr>
              <w:jc w:val="right"/>
              <w:rPr>
                <w:b/>
                <w:bCs/>
                <w:color w:val="000000"/>
                <w:sz w:val="18"/>
              </w:rPr>
            </w:pPr>
            <w:r w:rsidRPr="00A01651">
              <w:rPr>
                <w:b/>
                <w:bCs/>
                <w:color w:val="000000"/>
                <w:sz w:val="18"/>
              </w:rPr>
              <w:t>0.3%</w:t>
            </w:r>
          </w:p>
        </w:tc>
      </w:tr>
    </w:tbl>
    <w:p w:rsidR="00C6012B" w:rsidRDefault="00E21886" w:rsidP="00C6012B">
      <w:pPr>
        <w:rPr>
          <w:sz w:val="18"/>
          <w:lang w:val="es-MX"/>
        </w:rPr>
      </w:pPr>
      <w:r>
        <w:rPr>
          <w:sz w:val="18"/>
          <w:lang w:val="es-MX"/>
        </w:rPr>
        <w:t xml:space="preserve">   </w:t>
      </w:r>
      <w:r w:rsidR="00C6012B" w:rsidRPr="004B1436">
        <w:rPr>
          <w:sz w:val="18"/>
          <w:lang w:val="es-MX"/>
        </w:rPr>
        <w:t xml:space="preserve"> * Cifras preliminares</w:t>
      </w:r>
    </w:p>
    <w:p w:rsidR="00C6012B" w:rsidRPr="004B1436" w:rsidRDefault="00C6012B" w:rsidP="00C6012B">
      <w:pPr>
        <w:rPr>
          <w:sz w:val="18"/>
          <w:lang w:val="es-MX"/>
        </w:rPr>
      </w:pPr>
      <w:r>
        <w:rPr>
          <w:sz w:val="18"/>
          <w:lang w:val="es-MX"/>
        </w:rPr>
        <w:t xml:space="preserve">   </w:t>
      </w:r>
      <w:r w:rsidR="00E21886">
        <w:rPr>
          <w:sz w:val="18"/>
          <w:lang w:val="es-MX"/>
        </w:rPr>
        <w:t xml:space="preserve">    </w:t>
      </w:r>
      <w:r w:rsidRPr="004B1436">
        <w:rPr>
          <w:sz w:val="18"/>
          <w:lang w:val="es-MX"/>
        </w:rPr>
        <w:t>Fuente: Ministerio de Finanzas Públicas con base al SICOIN.</w:t>
      </w:r>
    </w:p>
    <w:p w:rsidR="00C6012B" w:rsidRDefault="00C6012B" w:rsidP="00C6012B">
      <w:pPr>
        <w:rPr>
          <w:sz w:val="18"/>
          <w:lang w:val="es-MX"/>
        </w:rPr>
      </w:pPr>
    </w:p>
    <w:p w:rsidR="00C6012B" w:rsidRDefault="00C6012B" w:rsidP="00C6012B">
      <w:pPr>
        <w:rPr>
          <w:sz w:val="18"/>
          <w:lang w:val="es-MX"/>
        </w:rPr>
      </w:pPr>
    </w:p>
    <w:p w:rsidR="001F1513" w:rsidRDefault="001F1513" w:rsidP="00C6012B">
      <w:pPr>
        <w:rPr>
          <w:sz w:val="18"/>
          <w:lang w:val="es-MX"/>
        </w:rPr>
      </w:pPr>
    </w:p>
    <w:p w:rsidR="001F1513" w:rsidRDefault="001F1513" w:rsidP="00C6012B">
      <w:pPr>
        <w:rPr>
          <w:sz w:val="18"/>
          <w:lang w:val="es-MX"/>
        </w:rPr>
      </w:pPr>
    </w:p>
    <w:p w:rsidR="001F1513" w:rsidRDefault="001F1513" w:rsidP="00C6012B">
      <w:pPr>
        <w:rPr>
          <w:sz w:val="18"/>
          <w:lang w:val="es-MX"/>
        </w:rPr>
      </w:pPr>
    </w:p>
    <w:p w:rsidR="001F1513" w:rsidRPr="004B1436" w:rsidRDefault="001F1513" w:rsidP="00C6012B">
      <w:pPr>
        <w:rPr>
          <w:sz w:val="18"/>
          <w:lang w:val="es-MX"/>
        </w:rPr>
      </w:pPr>
    </w:p>
    <w:p w:rsidR="00C6012B" w:rsidRPr="005E55DE" w:rsidRDefault="00C6012B" w:rsidP="004C636B">
      <w:pPr>
        <w:pStyle w:val="Ttulo3"/>
        <w:numPr>
          <w:ilvl w:val="0"/>
          <w:numId w:val="7"/>
        </w:numPr>
        <w:ind w:left="426"/>
        <w:rPr>
          <w:rFonts w:ascii="Times New Roman" w:hAnsi="Times New Roman"/>
          <w:color w:val="auto"/>
          <w:lang w:val="es-MX"/>
        </w:rPr>
      </w:pPr>
      <w:bookmarkStart w:id="18" w:name="_Toc83713626"/>
      <w:r w:rsidRPr="005E55DE">
        <w:rPr>
          <w:rFonts w:ascii="Times New Roman" w:hAnsi="Times New Roman"/>
          <w:color w:val="auto"/>
          <w:lang w:val="es-MX"/>
        </w:rPr>
        <w:lastRenderedPageBreak/>
        <w:t>Ejecución Presupuestaria Institucional</w:t>
      </w:r>
      <w:bookmarkEnd w:id="18"/>
    </w:p>
    <w:p w:rsidR="00C6012B" w:rsidRPr="00FB641E" w:rsidRDefault="00C6012B" w:rsidP="00C6012B">
      <w:pPr>
        <w:jc w:val="both"/>
        <w:rPr>
          <w:sz w:val="18"/>
          <w:lang w:val="es-MX"/>
        </w:rPr>
      </w:pPr>
    </w:p>
    <w:p w:rsidR="00C6012B" w:rsidRDefault="00C6012B" w:rsidP="00C6012B">
      <w:pPr>
        <w:jc w:val="both"/>
        <w:rPr>
          <w:lang w:val="es-MX"/>
        </w:rPr>
      </w:pPr>
      <w:r>
        <w:rPr>
          <w:lang w:val="es-MX"/>
        </w:rPr>
        <w:t>Al 30 de junio de 2021, según la estructura del gasto, el 67.1% del total se concentra en 3 entidades: Obligaciones del Estado a Cargo del Tesoro, Ministerio de Educación y Servicio</w:t>
      </w:r>
      <w:r w:rsidR="00052900">
        <w:rPr>
          <w:lang w:val="es-MX"/>
        </w:rPr>
        <w:t>s</w:t>
      </w:r>
      <w:r>
        <w:rPr>
          <w:lang w:val="es-MX"/>
        </w:rPr>
        <w:t xml:space="preserve"> de la Deuda Pública; en tanto que para 2020 estas mismas entidades significaron el 67.8%.  El 26.8% del total de la ejecución de 2021 se concentró en los Ministerios de Salud</w:t>
      </w:r>
      <w:r w:rsidR="00052900">
        <w:rPr>
          <w:lang w:val="es-MX"/>
        </w:rPr>
        <w:t xml:space="preserve"> y Asistencia Social</w:t>
      </w:r>
      <w:r>
        <w:rPr>
          <w:lang w:val="es-MX"/>
        </w:rPr>
        <w:t xml:space="preserve">, </w:t>
      </w:r>
      <w:r w:rsidR="00052900">
        <w:rPr>
          <w:lang w:val="es-MX"/>
        </w:rPr>
        <w:t xml:space="preserve">de </w:t>
      </w:r>
      <w:r>
        <w:rPr>
          <w:lang w:val="es-MX"/>
        </w:rPr>
        <w:t xml:space="preserve">Gobernación, </w:t>
      </w:r>
      <w:r w:rsidR="00052900">
        <w:rPr>
          <w:lang w:val="es-MX"/>
        </w:rPr>
        <w:t xml:space="preserve">de </w:t>
      </w:r>
      <w:r>
        <w:rPr>
          <w:lang w:val="es-MX"/>
        </w:rPr>
        <w:t>Comunicaciones, Infraestructura y Vivienda, así también el Ministerio de la Defensa</w:t>
      </w:r>
      <w:r w:rsidR="00052900">
        <w:rPr>
          <w:lang w:val="es-MX"/>
        </w:rPr>
        <w:t xml:space="preserve"> Nacional</w:t>
      </w:r>
      <w:r>
        <w:rPr>
          <w:lang w:val="es-MX"/>
        </w:rPr>
        <w:t>. Vale resaltar que en 2020 dentro de este grupo se ubicó el Ministerio de Desarrollo Social como resultado de su importante papel en los momentos de crisis provocados por la pandemia del C</w:t>
      </w:r>
      <w:r w:rsidR="00052900">
        <w:rPr>
          <w:lang w:val="es-MX"/>
        </w:rPr>
        <w:t>OVID</w:t>
      </w:r>
      <w:r>
        <w:rPr>
          <w:lang w:val="es-MX"/>
        </w:rPr>
        <w:t xml:space="preserve">-19, que a junio </w:t>
      </w:r>
      <w:r w:rsidR="00052900">
        <w:rPr>
          <w:lang w:val="es-MX"/>
        </w:rPr>
        <w:t xml:space="preserve">de 2020 </w:t>
      </w:r>
      <w:r>
        <w:rPr>
          <w:lang w:val="es-MX"/>
        </w:rPr>
        <w:t>ya había ejecutado Q</w:t>
      </w:r>
      <w:r w:rsidR="00052900">
        <w:rPr>
          <w:lang w:val="es-MX"/>
        </w:rPr>
        <w:t>.</w:t>
      </w:r>
      <w:r>
        <w:rPr>
          <w:lang w:val="es-MX"/>
        </w:rPr>
        <w:t>2,076.6 millones, mientras en lo que corresponde a 2021 su ejecución es de Q</w:t>
      </w:r>
      <w:r w:rsidR="00052900">
        <w:rPr>
          <w:lang w:val="es-MX"/>
        </w:rPr>
        <w:t>.</w:t>
      </w:r>
      <w:r>
        <w:rPr>
          <w:lang w:val="es-MX"/>
        </w:rPr>
        <w:t>372.4 millones. Las 12 entidades restantes tuvieron una participación del 11.0% para 2020 y de 6.1% para 2021.</w:t>
      </w:r>
    </w:p>
    <w:p w:rsidR="00C6012B" w:rsidRDefault="00C6012B" w:rsidP="00C6012B">
      <w:pPr>
        <w:jc w:val="both"/>
        <w:rPr>
          <w:lang w:val="es-MX"/>
        </w:rPr>
      </w:pPr>
    </w:p>
    <w:p w:rsidR="00C6012B" w:rsidRDefault="00C6012B" w:rsidP="00C6012B">
      <w:pPr>
        <w:jc w:val="both"/>
        <w:rPr>
          <w:lang w:val="es-MX"/>
        </w:rPr>
      </w:pPr>
      <w:r>
        <w:rPr>
          <w:lang w:val="es-MX"/>
        </w:rPr>
        <w:t>Por su parte la entidad Obligaciones del Estado a Cargo del Tesoro</w:t>
      </w:r>
      <w:r w:rsidR="00052900">
        <w:rPr>
          <w:lang w:val="es-MX"/>
        </w:rPr>
        <w:t>,</w:t>
      </w:r>
      <w:r>
        <w:rPr>
          <w:lang w:val="es-MX"/>
        </w:rPr>
        <w:t xml:space="preserve"> tuvo una ejecución de 32.9% en 2020 como resultado del incremento del gasto para atender el programa 94 </w:t>
      </w:r>
      <w:r w:rsidR="00052900">
        <w:rPr>
          <w:lang w:val="es-MX"/>
        </w:rPr>
        <w:t>“</w:t>
      </w:r>
      <w:r w:rsidRPr="00FB641E">
        <w:rPr>
          <w:lang w:val="es-MX"/>
        </w:rPr>
        <w:t>Atención</w:t>
      </w:r>
      <w:r>
        <w:rPr>
          <w:lang w:val="es-MX"/>
        </w:rPr>
        <w:t xml:space="preserve"> por Desastres Naturales y Calamidades Públicas</w:t>
      </w:r>
      <w:r w:rsidR="00052900">
        <w:rPr>
          <w:lang w:val="es-MX"/>
        </w:rPr>
        <w:t>”</w:t>
      </w:r>
      <w:r>
        <w:rPr>
          <w:lang w:val="es-MX"/>
        </w:rPr>
        <w:t>, mientras que para 2021 su ejecución fue del 30.6%; en esta entidad se ejecutan los</w:t>
      </w:r>
      <w:r w:rsidRPr="00FB641E">
        <w:rPr>
          <w:lang w:val="es-MX"/>
        </w:rPr>
        <w:t xml:space="preserve"> compromisos de </w:t>
      </w:r>
      <w:r>
        <w:rPr>
          <w:lang w:val="es-MX"/>
        </w:rPr>
        <w:t xml:space="preserve">los </w:t>
      </w:r>
      <w:r w:rsidRPr="00FB641E">
        <w:rPr>
          <w:lang w:val="es-MX"/>
        </w:rPr>
        <w:t>aportes constitucionales</w:t>
      </w:r>
      <w:r>
        <w:rPr>
          <w:lang w:val="es-MX"/>
        </w:rPr>
        <w:t>, en</w:t>
      </w:r>
      <w:r w:rsidR="00052900">
        <w:rPr>
          <w:lang w:val="es-MX"/>
        </w:rPr>
        <w:t>tre</w:t>
      </w:r>
      <w:r>
        <w:rPr>
          <w:lang w:val="es-MX"/>
        </w:rPr>
        <w:t xml:space="preserve"> los que resaltan las transferencias a favor de</w:t>
      </w:r>
      <w:r w:rsidRPr="00FB641E">
        <w:rPr>
          <w:lang w:val="es-MX"/>
        </w:rPr>
        <w:t xml:space="preserve"> las </w:t>
      </w:r>
      <w:r>
        <w:rPr>
          <w:lang w:val="es-MX"/>
        </w:rPr>
        <w:t>M</w:t>
      </w:r>
      <w:r w:rsidRPr="00FB641E">
        <w:rPr>
          <w:lang w:val="es-MX"/>
        </w:rPr>
        <w:t>unicipalidades</w:t>
      </w:r>
      <w:r>
        <w:rPr>
          <w:lang w:val="es-MX"/>
        </w:rPr>
        <w:t xml:space="preserve"> </w:t>
      </w:r>
      <w:r w:rsidRPr="00FB641E">
        <w:rPr>
          <w:lang w:val="es-MX"/>
        </w:rPr>
        <w:t xml:space="preserve">del país, </w:t>
      </w:r>
      <w:r>
        <w:rPr>
          <w:lang w:val="es-MX"/>
        </w:rPr>
        <w:t xml:space="preserve">los </w:t>
      </w:r>
      <w:r w:rsidRPr="00FB641E">
        <w:rPr>
          <w:lang w:val="es-MX"/>
        </w:rPr>
        <w:t xml:space="preserve">Consejos Departamentales de Desarrollo, </w:t>
      </w:r>
      <w:r>
        <w:rPr>
          <w:lang w:val="es-MX"/>
        </w:rPr>
        <w:t xml:space="preserve">transferencias a la </w:t>
      </w:r>
      <w:r w:rsidRPr="00FB641E">
        <w:rPr>
          <w:lang w:val="es-MX"/>
        </w:rPr>
        <w:t>Universidad de San Carlos de Guatemala, Organismo Judicial, Ministerio Público, Congreso de la República, Contraloría General de Cuentas, Corte de Constitucionalidad, entre otros.</w:t>
      </w:r>
    </w:p>
    <w:p w:rsidR="00C6012B" w:rsidRPr="00FB641E" w:rsidRDefault="00C6012B" w:rsidP="00C6012B">
      <w:pPr>
        <w:jc w:val="both"/>
        <w:rPr>
          <w:lang w:val="es-MX"/>
        </w:rPr>
      </w:pPr>
    </w:p>
    <w:p w:rsidR="00C6012B" w:rsidRPr="00FB641E" w:rsidRDefault="00C6012B" w:rsidP="00C6012B">
      <w:pPr>
        <w:jc w:val="both"/>
        <w:rPr>
          <w:sz w:val="18"/>
          <w:lang w:val="es-MX"/>
        </w:rPr>
      </w:pPr>
    </w:p>
    <w:p w:rsidR="00C6012B" w:rsidRPr="00451BC5" w:rsidRDefault="00C6012B" w:rsidP="00C6012B">
      <w:pPr>
        <w:jc w:val="center"/>
        <w:rPr>
          <w:b/>
          <w:szCs w:val="22"/>
          <w:lang w:val="es-MX"/>
        </w:rPr>
      </w:pPr>
      <w:r w:rsidRPr="00451BC5">
        <w:rPr>
          <w:b/>
          <w:szCs w:val="22"/>
          <w:lang w:val="es-MX"/>
        </w:rPr>
        <w:t>Gráfica 1</w:t>
      </w:r>
      <w:r w:rsidR="008B5E5C">
        <w:rPr>
          <w:b/>
          <w:szCs w:val="22"/>
          <w:lang w:val="es-MX"/>
        </w:rPr>
        <w:t>3</w:t>
      </w:r>
    </w:p>
    <w:p w:rsidR="00C6012B" w:rsidRPr="00451BC5" w:rsidRDefault="00C6012B" w:rsidP="00C6012B">
      <w:pPr>
        <w:jc w:val="center"/>
        <w:rPr>
          <w:b/>
          <w:szCs w:val="22"/>
          <w:lang w:val="es-MX"/>
        </w:rPr>
      </w:pPr>
      <w:r w:rsidRPr="00451BC5">
        <w:rPr>
          <w:b/>
          <w:szCs w:val="22"/>
          <w:lang w:val="es-MX"/>
        </w:rPr>
        <w:t>Ejecución Presupuestaria por Grupo de Entidades</w:t>
      </w:r>
    </w:p>
    <w:p w:rsidR="00C6012B" w:rsidRPr="00451BC5" w:rsidRDefault="00C6012B" w:rsidP="00C6012B">
      <w:pPr>
        <w:jc w:val="center"/>
        <w:rPr>
          <w:b/>
          <w:szCs w:val="22"/>
          <w:lang w:val="es-MX"/>
        </w:rPr>
      </w:pPr>
      <w:r w:rsidRPr="00451BC5">
        <w:rPr>
          <w:b/>
          <w:szCs w:val="22"/>
          <w:lang w:val="es-MX"/>
        </w:rPr>
        <w:t>Comparativo al 30 de junio de 20</w:t>
      </w:r>
      <w:r>
        <w:rPr>
          <w:b/>
          <w:szCs w:val="22"/>
          <w:lang w:val="es-MX"/>
        </w:rPr>
        <w:t>20</w:t>
      </w:r>
      <w:r w:rsidRPr="00451BC5">
        <w:rPr>
          <w:b/>
          <w:szCs w:val="22"/>
          <w:lang w:val="es-MX"/>
        </w:rPr>
        <w:t xml:space="preserve"> y 202</w:t>
      </w:r>
      <w:r>
        <w:rPr>
          <w:b/>
          <w:szCs w:val="22"/>
          <w:lang w:val="es-MX"/>
        </w:rPr>
        <w:t>1</w:t>
      </w:r>
      <w:r w:rsidRPr="00451BC5">
        <w:rPr>
          <w:b/>
          <w:szCs w:val="22"/>
          <w:lang w:val="es-MX"/>
        </w:rPr>
        <w:t>*</w:t>
      </w:r>
    </w:p>
    <w:p w:rsidR="00C6012B" w:rsidRPr="00451BC5" w:rsidRDefault="00C6012B" w:rsidP="00C6012B">
      <w:pPr>
        <w:jc w:val="center"/>
        <w:rPr>
          <w:b/>
          <w:szCs w:val="22"/>
          <w:lang w:val="es-MX"/>
        </w:rPr>
      </w:pPr>
      <w:r w:rsidRPr="00451BC5">
        <w:rPr>
          <w:b/>
          <w:szCs w:val="22"/>
          <w:lang w:val="es-MX"/>
        </w:rPr>
        <w:t>(Porcentajes de Ejecución)</w:t>
      </w:r>
    </w:p>
    <w:p w:rsidR="00C6012B" w:rsidRDefault="00C6012B" w:rsidP="00C6012B">
      <w:pPr>
        <w:jc w:val="center"/>
        <w:rPr>
          <w:i/>
          <w:sz w:val="22"/>
          <w:lang w:val="es-MX"/>
        </w:rPr>
      </w:pPr>
      <w:r>
        <w:rPr>
          <w:noProof/>
          <w:lang w:val="es-GT" w:eastAsia="es-GT"/>
        </w:rPr>
        <w:drawing>
          <wp:inline distT="0" distB="0" distL="0" distR="0" wp14:anchorId="6229590F" wp14:editId="674A7A93">
            <wp:extent cx="2457450" cy="2028825"/>
            <wp:effectExtent l="19050" t="0" r="19050" b="0"/>
            <wp:docPr id="11" name="Gráfico 1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lang w:val="es-GT" w:eastAsia="es-GT"/>
        </w:rPr>
        <w:t xml:space="preserve">    </w:t>
      </w:r>
      <w:r>
        <w:rPr>
          <w:noProof/>
          <w:lang w:val="es-GT" w:eastAsia="es-GT"/>
        </w:rPr>
        <w:drawing>
          <wp:inline distT="0" distB="0" distL="0" distR="0" wp14:anchorId="2F4D4959" wp14:editId="43039D0B">
            <wp:extent cx="2657475" cy="2114550"/>
            <wp:effectExtent l="0" t="0" r="0" b="0"/>
            <wp:docPr id="4" name="Gráfico 4">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6012B" w:rsidRDefault="00C6012B" w:rsidP="00C6012B">
      <w:pPr>
        <w:rPr>
          <w:i/>
          <w:sz w:val="22"/>
          <w:lang w:val="es-MX"/>
        </w:rPr>
      </w:pPr>
    </w:p>
    <w:p w:rsidR="00C6012B" w:rsidRDefault="00C6012B" w:rsidP="00C6012B">
      <w:pPr>
        <w:ind w:left="142"/>
        <w:rPr>
          <w:sz w:val="18"/>
          <w:lang w:val="es-MX"/>
        </w:rPr>
      </w:pPr>
      <w:r w:rsidRPr="004B1436">
        <w:rPr>
          <w:sz w:val="18"/>
          <w:lang w:val="es-MX"/>
        </w:rPr>
        <w:t>* Cifras preliminares</w:t>
      </w:r>
    </w:p>
    <w:p w:rsidR="00C6012B" w:rsidRPr="004B1436" w:rsidRDefault="00C6012B" w:rsidP="00C6012B">
      <w:pPr>
        <w:rPr>
          <w:sz w:val="20"/>
          <w:lang w:val="es-MX"/>
        </w:rPr>
      </w:pPr>
      <w:r w:rsidRPr="004B1436">
        <w:rPr>
          <w:i/>
          <w:sz w:val="28"/>
          <w:lang w:val="es-MX"/>
        </w:rPr>
        <w:t xml:space="preserve"> </w:t>
      </w:r>
      <w:r>
        <w:rPr>
          <w:i/>
          <w:sz w:val="28"/>
          <w:lang w:val="es-MX"/>
        </w:rPr>
        <w:t xml:space="preserve">  </w:t>
      </w:r>
      <w:r w:rsidRPr="004B1436">
        <w:rPr>
          <w:i/>
          <w:sz w:val="28"/>
          <w:lang w:val="es-MX"/>
        </w:rPr>
        <w:t xml:space="preserve"> </w:t>
      </w:r>
      <w:r w:rsidRPr="004B1436">
        <w:rPr>
          <w:sz w:val="18"/>
          <w:lang w:val="es-MX"/>
        </w:rPr>
        <w:t>Fuente: Ministerio de Finanzas Públicas con base al SICOIN.</w:t>
      </w:r>
    </w:p>
    <w:p w:rsidR="00C6012B" w:rsidRPr="00052900" w:rsidRDefault="00C6012B" w:rsidP="00C6012B">
      <w:pPr>
        <w:jc w:val="center"/>
        <w:rPr>
          <w:b/>
          <w:sz w:val="36"/>
          <w:szCs w:val="22"/>
          <w:lang w:val="es-MX"/>
        </w:rPr>
      </w:pPr>
    </w:p>
    <w:p w:rsidR="00C6012B" w:rsidRDefault="00C6012B" w:rsidP="00C6012B">
      <w:pPr>
        <w:jc w:val="both"/>
        <w:rPr>
          <w:lang w:val="es-MX"/>
        </w:rPr>
      </w:pPr>
      <w:r>
        <w:rPr>
          <w:lang w:val="es-MX"/>
        </w:rPr>
        <w:t>Al comparar la ejecución presupuestaria por entidad d</w:t>
      </w:r>
      <w:r w:rsidRPr="003E1D05">
        <w:rPr>
          <w:lang w:val="es-MX"/>
        </w:rPr>
        <w:t>urante el primer semestre de 20</w:t>
      </w:r>
      <w:r>
        <w:rPr>
          <w:lang w:val="es-MX"/>
        </w:rPr>
        <w:t xml:space="preserve">21 con </w:t>
      </w:r>
      <w:r w:rsidR="00052900">
        <w:rPr>
          <w:lang w:val="es-MX"/>
        </w:rPr>
        <w:t xml:space="preserve">relación a </w:t>
      </w:r>
      <w:r>
        <w:rPr>
          <w:lang w:val="es-MX"/>
        </w:rPr>
        <w:t>la de 2020,</w:t>
      </w:r>
      <w:r w:rsidRPr="003E1D05">
        <w:rPr>
          <w:lang w:val="es-MX"/>
        </w:rPr>
        <w:t xml:space="preserve"> la</w:t>
      </w:r>
      <w:r w:rsidRPr="003E1D05">
        <w:rPr>
          <w:b/>
          <w:lang w:val="es-MX"/>
        </w:rPr>
        <w:t xml:space="preserve"> </w:t>
      </w:r>
      <w:r w:rsidRPr="003E1D05">
        <w:rPr>
          <w:lang w:val="es-MX"/>
        </w:rPr>
        <w:t>ejecución</w:t>
      </w:r>
      <w:r>
        <w:rPr>
          <w:lang w:val="es-MX"/>
        </w:rPr>
        <w:t xml:space="preserve"> mantiene el mismo nivel en virtud que en 2020 el gasto se vio afectado por la pandemia, mientras que para 2021 el gasto mantiene la inercia del crecimiento de cada año más la atención que aun necesitan las consecuencias generadas por la </w:t>
      </w:r>
      <w:r>
        <w:rPr>
          <w:lang w:val="es-MX"/>
        </w:rPr>
        <w:lastRenderedPageBreak/>
        <w:t>pandemia, por tal motivo el aumento neto es leve, alcanzando los Q</w:t>
      </w:r>
      <w:r w:rsidR="00052900">
        <w:rPr>
          <w:lang w:val="es-MX"/>
        </w:rPr>
        <w:t>.</w:t>
      </w:r>
      <w:r>
        <w:rPr>
          <w:lang w:val="es-MX"/>
        </w:rPr>
        <w:t>112.3 millones</w:t>
      </w:r>
      <w:r w:rsidR="00052900">
        <w:rPr>
          <w:lang w:val="es-MX"/>
        </w:rPr>
        <w:t>;</w:t>
      </w:r>
      <w:r w:rsidRPr="003E1D05">
        <w:rPr>
          <w:lang w:val="es-MX"/>
        </w:rPr>
        <w:t xml:space="preserve"> </w:t>
      </w:r>
      <w:r>
        <w:rPr>
          <w:lang w:val="es-MX"/>
        </w:rPr>
        <w:t xml:space="preserve">sin embargo, al </w:t>
      </w:r>
      <w:r w:rsidR="00052900">
        <w:rPr>
          <w:lang w:val="es-MX"/>
        </w:rPr>
        <w:t>analizar</w:t>
      </w:r>
      <w:r>
        <w:rPr>
          <w:lang w:val="es-MX"/>
        </w:rPr>
        <w:t xml:space="preserve"> al interior de las variaciones, se observa que, en el aumento del gasto por parte del Ministerio de Salud Pública y Asistencia </w:t>
      </w:r>
      <w:r w:rsidR="00052900">
        <w:rPr>
          <w:lang w:val="es-MX"/>
        </w:rPr>
        <w:t>S</w:t>
      </w:r>
      <w:r>
        <w:rPr>
          <w:lang w:val="es-MX"/>
        </w:rPr>
        <w:t>ocial fueron Q</w:t>
      </w:r>
      <w:r w:rsidR="00052900">
        <w:rPr>
          <w:lang w:val="es-MX"/>
        </w:rPr>
        <w:t>.</w:t>
      </w:r>
      <w:r>
        <w:rPr>
          <w:lang w:val="es-MX"/>
        </w:rPr>
        <w:t>1,554.1 millones, el cual se nivela con la disminución del Ministerio de Desarrollo Social que redujo su ejecución en Q</w:t>
      </w:r>
      <w:r w:rsidR="00052900">
        <w:rPr>
          <w:lang w:val="es-MX"/>
        </w:rPr>
        <w:t>.</w:t>
      </w:r>
      <w:r>
        <w:rPr>
          <w:lang w:val="es-MX"/>
        </w:rPr>
        <w:t>1,704.2 millones. Otros aumentos se pueden observar en el Ministerio de Comunicaciones</w:t>
      </w:r>
      <w:r w:rsidR="00052900">
        <w:rPr>
          <w:lang w:val="es-MX"/>
        </w:rPr>
        <w:t>, Infraestructura y Vivienda</w:t>
      </w:r>
      <w:r>
        <w:rPr>
          <w:lang w:val="es-MX"/>
        </w:rPr>
        <w:t xml:space="preserve"> con Q</w:t>
      </w:r>
      <w:r w:rsidR="00052900">
        <w:rPr>
          <w:lang w:val="es-MX"/>
        </w:rPr>
        <w:t>.</w:t>
      </w:r>
      <w:r>
        <w:rPr>
          <w:lang w:val="es-MX"/>
        </w:rPr>
        <w:t>517.7 millones, el Servicio de la Deuda Pública con Q</w:t>
      </w:r>
      <w:r w:rsidR="00052900">
        <w:rPr>
          <w:lang w:val="es-MX"/>
        </w:rPr>
        <w:t>.</w:t>
      </w:r>
      <w:r>
        <w:rPr>
          <w:lang w:val="es-MX"/>
        </w:rPr>
        <w:t>712.9 millones, el Ministerio de Gobernación con Q</w:t>
      </w:r>
      <w:r w:rsidR="00052900">
        <w:rPr>
          <w:lang w:val="es-MX"/>
        </w:rPr>
        <w:t>.</w:t>
      </w:r>
      <w:r>
        <w:rPr>
          <w:lang w:val="es-MX"/>
        </w:rPr>
        <w:t>247.6 millones</w:t>
      </w:r>
      <w:r w:rsidR="00052900">
        <w:rPr>
          <w:lang w:val="es-MX"/>
        </w:rPr>
        <w:t>;</w:t>
      </w:r>
      <w:r>
        <w:rPr>
          <w:lang w:val="es-MX"/>
        </w:rPr>
        <w:t xml:space="preserve"> el resto de aumentos se ubican por debajo de los Q</w:t>
      </w:r>
      <w:r w:rsidR="00052900">
        <w:rPr>
          <w:lang w:val="es-MX"/>
        </w:rPr>
        <w:t>.</w:t>
      </w:r>
      <w:r>
        <w:rPr>
          <w:lang w:val="es-MX"/>
        </w:rPr>
        <w:t>110.9 millones ejecutados por el Ministerio de Agricultura, Ganadería y Alimentación.</w:t>
      </w:r>
    </w:p>
    <w:p w:rsidR="00C6012B" w:rsidRDefault="00C6012B" w:rsidP="00C6012B">
      <w:pPr>
        <w:jc w:val="both"/>
        <w:rPr>
          <w:lang w:val="es-MX"/>
        </w:rPr>
      </w:pPr>
    </w:p>
    <w:p w:rsidR="00C6012B" w:rsidRDefault="00C6012B" w:rsidP="00C6012B">
      <w:pPr>
        <w:jc w:val="both"/>
        <w:rPr>
          <w:lang w:val="es-MX"/>
        </w:rPr>
      </w:pPr>
      <w:r>
        <w:rPr>
          <w:lang w:val="es-MX"/>
        </w:rPr>
        <w:t>En lo que se refiere a la disminución de la ejecución, respecto al año anterior, se encuentran las Obligaciones del Estado a cargo del Tesoro con Q</w:t>
      </w:r>
      <w:r w:rsidR="00052900">
        <w:rPr>
          <w:lang w:val="es-MX"/>
        </w:rPr>
        <w:t>.</w:t>
      </w:r>
      <w:r>
        <w:rPr>
          <w:lang w:val="es-MX"/>
        </w:rPr>
        <w:t>912.4 millones y el Ministerio de Economía con Q</w:t>
      </w:r>
      <w:r w:rsidR="00052900">
        <w:rPr>
          <w:lang w:val="es-MX"/>
        </w:rPr>
        <w:t>.</w:t>
      </w:r>
      <w:r>
        <w:rPr>
          <w:lang w:val="es-MX"/>
        </w:rPr>
        <w:t>497.7 millones, entre otros con montos menores.</w:t>
      </w:r>
    </w:p>
    <w:p w:rsidR="00C6012B" w:rsidRDefault="00C6012B" w:rsidP="00C6012B">
      <w:pPr>
        <w:jc w:val="both"/>
        <w:rPr>
          <w:lang w:val="es-MX"/>
        </w:rPr>
      </w:pPr>
    </w:p>
    <w:p w:rsidR="00C6012B" w:rsidRPr="00451BC5" w:rsidRDefault="00C6012B" w:rsidP="00C6012B">
      <w:pPr>
        <w:jc w:val="center"/>
        <w:rPr>
          <w:b/>
          <w:szCs w:val="22"/>
          <w:lang w:val="es-MX"/>
        </w:rPr>
      </w:pPr>
      <w:r w:rsidRPr="00451BC5">
        <w:rPr>
          <w:b/>
          <w:szCs w:val="22"/>
          <w:lang w:val="es-MX"/>
        </w:rPr>
        <w:t>Cuadro 5</w:t>
      </w:r>
    </w:p>
    <w:p w:rsidR="00C6012B" w:rsidRPr="00451BC5" w:rsidRDefault="00C6012B" w:rsidP="00C6012B">
      <w:pPr>
        <w:jc w:val="center"/>
        <w:rPr>
          <w:b/>
          <w:szCs w:val="22"/>
          <w:lang w:val="es-MX"/>
        </w:rPr>
      </w:pPr>
      <w:r w:rsidRPr="00451BC5">
        <w:rPr>
          <w:b/>
          <w:szCs w:val="22"/>
          <w:lang w:val="es-MX"/>
        </w:rPr>
        <w:t>Ejecución Presupuestaria por Entidad</w:t>
      </w:r>
    </w:p>
    <w:p w:rsidR="00C6012B" w:rsidRPr="00451BC5" w:rsidRDefault="00C6012B" w:rsidP="00C6012B">
      <w:pPr>
        <w:jc w:val="center"/>
        <w:rPr>
          <w:b/>
          <w:szCs w:val="22"/>
          <w:lang w:val="es-MX"/>
        </w:rPr>
      </w:pPr>
      <w:r w:rsidRPr="00451BC5">
        <w:rPr>
          <w:b/>
          <w:szCs w:val="22"/>
          <w:lang w:val="es-MX"/>
        </w:rPr>
        <w:t>Al 30 de junio de 20</w:t>
      </w:r>
      <w:r>
        <w:rPr>
          <w:b/>
          <w:szCs w:val="22"/>
          <w:lang w:val="es-MX"/>
        </w:rPr>
        <w:t>20</w:t>
      </w:r>
      <w:r w:rsidRPr="00451BC5">
        <w:rPr>
          <w:b/>
          <w:szCs w:val="22"/>
          <w:lang w:val="es-MX"/>
        </w:rPr>
        <w:t xml:space="preserve"> </w:t>
      </w:r>
      <w:r>
        <w:rPr>
          <w:b/>
          <w:szCs w:val="22"/>
          <w:lang w:val="es-MX"/>
        </w:rPr>
        <w:t>-</w:t>
      </w:r>
      <w:r w:rsidRPr="00451BC5">
        <w:rPr>
          <w:b/>
          <w:szCs w:val="22"/>
          <w:lang w:val="es-MX"/>
        </w:rPr>
        <w:t xml:space="preserve"> 202</w:t>
      </w:r>
      <w:r>
        <w:rPr>
          <w:b/>
          <w:szCs w:val="22"/>
          <w:lang w:val="es-MX"/>
        </w:rPr>
        <w:t>1*</w:t>
      </w:r>
    </w:p>
    <w:p w:rsidR="00C6012B" w:rsidRPr="00451BC5" w:rsidRDefault="00C6012B" w:rsidP="00C6012B">
      <w:pPr>
        <w:jc w:val="center"/>
        <w:rPr>
          <w:sz w:val="20"/>
          <w:lang w:val="es-MX"/>
        </w:rPr>
      </w:pPr>
      <w:r w:rsidRPr="00451BC5">
        <w:rPr>
          <w:b/>
          <w:szCs w:val="22"/>
          <w:lang w:val="es-MX"/>
        </w:rPr>
        <w:t>(Cifras en Millones de Quetzales)</w:t>
      </w:r>
    </w:p>
    <w:tbl>
      <w:tblPr>
        <w:tblW w:w="0" w:type="auto"/>
        <w:jc w:val="center"/>
        <w:tblCellMar>
          <w:left w:w="70" w:type="dxa"/>
          <w:right w:w="70" w:type="dxa"/>
        </w:tblCellMar>
        <w:tblLook w:val="04A0" w:firstRow="1" w:lastRow="0" w:firstColumn="1" w:lastColumn="0" w:noHBand="0" w:noVBand="1"/>
      </w:tblPr>
      <w:tblGrid>
        <w:gridCol w:w="1900"/>
        <w:gridCol w:w="905"/>
        <w:gridCol w:w="905"/>
        <w:gridCol w:w="1040"/>
        <w:gridCol w:w="850"/>
        <w:gridCol w:w="875"/>
        <w:gridCol w:w="875"/>
        <w:gridCol w:w="851"/>
        <w:gridCol w:w="851"/>
      </w:tblGrid>
      <w:tr w:rsidR="00C6012B" w:rsidRPr="00864C0E" w:rsidTr="00C6012B">
        <w:trPr>
          <w:trHeight w:val="645"/>
          <w:jc w:val="center"/>
        </w:trPr>
        <w:tc>
          <w:tcPr>
            <w:tcW w:w="0" w:type="auto"/>
            <w:vMerge w:val="restart"/>
            <w:tcBorders>
              <w:top w:val="single" w:sz="8" w:space="0" w:color="auto"/>
              <w:left w:val="single" w:sz="8" w:space="0" w:color="auto"/>
              <w:bottom w:val="single" w:sz="4" w:space="0" w:color="000000"/>
              <w:right w:val="nil"/>
            </w:tcBorders>
            <w:shd w:val="clear" w:color="000000" w:fill="8DB4E2"/>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Devengado por Entidad</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2020</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2021</w:t>
            </w:r>
          </w:p>
        </w:tc>
        <w:tc>
          <w:tcPr>
            <w:tcW w:w="0" w:type="auto"/>
            <w:gridSpan w:val="2"/>
            <w:tcBorders>
              <w:top w:val="single" w:sz="8" w:space="0" w:color="auto"/>
              <w:left w:val="single" w:sz="4" w:space="0" w:color="auto"/>
              <w:bottom w:val="single" w:sz="4" w:space="0" w:color="auto"/>
              <w:right w:val="single" w:sz="8" w:space="0" w:color="000000"/>
            </w:tcBorders>
            <w:shd w:val="clear" w:color="000000" w:fill="8DB4E2"/>
            <w:noWrap/>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Diferencias</w:t>
            </w:r>
          </w:p>
        </w:tc>
        <w:tc>
          <w:tcPr>
            <w:tcW w:w="0" w:type="auto"/>
            <w:gridSpan w:val="2"/>
            <w:tcBorders>
              <w:top w:val="single" w:sz="8" w:space="0" w:color="auto"/>
              <w:left w:val="nil"/>
              <w:bottom w:val="single" w:sz="4" w:space="0" w:color="auto"/>
              <w:right w:val="single" w:sz="8" w:space="0" w:color="000000"/>
            </w:tcBorders>
            <w:shd w:val="clear" w:color="000000" w:fill="8DB4E2"/>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Estructura Porcentual</w:t>
            </w:r>
          </w:p>
        </w:tc>
        <w:tc>
          <w:tcPr>
            <w:tcW w:w="0" w:type="auto"/>
            <w:gridSpan w:val="2"/>
            <w:tcBorders>
              <w:top w:val="single" w:sz="8" w:space="0" w:color="auto"/>
              <w:left w:val="nil"/>
              <w:bottom w:val="single" w:sz="4" w:space="0" w:color="auto"/>
              <w:right w:val="single" w:sz="8" w:space="0" w:color="000000"/>
            </w:tcBorders>
            <w:shd w:val="clear" w:color="000000" w:fill="8DB4E2"/>
            <w:vAlign w:val="center"/>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Estructura por grupo</w:t>
            </w:r>
          </w:p>
        </w:tc>
      </w:tr>
      <w:tr w:rsidR="00C6012B" w:rsidRPr="00864C0E" w:rsidTr="00C6012B">
        <w:trPr>
          <w:trHeight w:val="300"/>
          <w:jc w:val="center"/>
        </w:trPr>
        <w:tc>
          <w:tcPr>
            <w:tcW w:w="0" w:type="auto"/>
            <w:vMerge/>
            <w:tcBorders>
              <w:top w:val="single" w:sz="8" w:space="0" w:color="auto"/>
              <w:left w:val="single" w:sz="8" w:space="0" w:color="auto"/>
              <w:bottom w:val="single" w:sz="4" w:space="0" w:color="000000"/>
              <w:right w:val="nil"/>
            </w:tcBorders>
            <w:vAlign w:val="center"/>
            <w:hideMark/>
          </w:tcPr>
          <w:p w:rsidR="00C6012B" w:rsidRPr="00864C0E" w:rsidRDefault="00C6012B" w:rsidP="00C6012B">
            <w:pPr>
              <w:rPr>
                <w:b/>
                <w:bCs/>
                <w:color w:val="000000"/>
                <w:sz w:val="18"/>
                <w:szCs w:val="22"/>
                <w:lang w:val="es-GT" w:eastAsia="es-GT"/>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C6012B" w:rsidRPr="00864C0E" w:rsidRDefault="00C6012B" w:rsidP="00C6012B">
            <w:pPr>
              <w:rPr>
                <w:b/>
                <w:bCs/>
                <w:color w:val="000000"/>
                <w:sz w:val="18"/>
                <w:szCs w:val="22"/>
                <w:lang w:val="es-GT" w:eastAsia="es-GT"/>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C6012B" w:rsidRPr="00864C0E" w:rsidRDefault="00C6012B" w:rsidP="00C6012B">
            <w:pPr>
              <w:rPr>
                <w:b/>
                <w:bCs/>
                <w:color w:val="000000"/>
                <w:sz w:val="18"/>
                <w:szCs w:val="22"/>
                <w:lang w:val="es-GT" w:eastAsia="es-GT"/>
              </w:rPr>
            </w:pPr>
          </w:p>
        </w:tc>
        <w:tc>
          <w:tcPr>
            <w:tcW w:w="0" w:type="auto"/>
            <w:tcBorders>
              <w:top w:val="nil"/>
              <w:left w:val="nil"/>
              <w:bottom w:val="single" w:sz="4" w:space="0" w:color="auto"/>
              <w:right w:val="single" w:sz="4"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Absolutas</w:t>
            </w:r>
          </w:p>
        </w:tc>
        <w:tc>
          <w:tcPr>
            <w:tcW w:w="0" w:type="auto"/>
            <w:tcBorders>
              <w:top w:val="single" w:sz="4" w:space="0" w:color="auto"/>
              <w:left w:val="nil"/>
              <w:bottom w:val="single" w:sz="4" w:space="0" w:color="auto"/>
              <w:right w:val="single" w:sz="8"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Relativas</w:t>
            </w:r>
          </w:p>
        </w:tc>
        <w:tc>
          <w:tcPr>
            <w:tcW w:w="0" w:type="auto"/>
            <w:tcBorders>
              <w:top w:val="nil"/>
              <w:left w:val="nil"/>
              <w:bottom w:val="single" w:sz="4" w:space="0" w:color="auto"/>
              <w:right w:val="single" w:sz="4"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2020</w:t>
            </w:r>
          </w:p>
        </w:tc>
        <w:tc>
          <w:tcPr>
            <w:tcW w:w="0" w:type="auto"/>
            <w:tcBorders>
              <w:top w:val="nil"/>
              <w:left w:val="nil"/>
              <w:bottom w:val="single" w:sz="4" w:space="0" w:color="auto"/>
              <w:right w:val="single" w:sz="8"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2021</w:t>
            </w:r>
          </w:p>
        </w:tc>
        <w:tc>
          <w:tcPr>
            <w:tcW w:w="0" w:type="auto"/>
            <w:tcBorders>
              <w:top w:val="nil"/>
              <w:left w:val="nil"/>
              <w:bottom w:val="single" w:sz="4" w:space="0" w:color="auto"/>
              <w:right w:val="single" w:sz="4"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2020</w:t>
            </w:r>
          </w:p>
        </w:tc>
        <w:tc>
          <w:tcPr>
            <w:tcW w:w="0" w:type="auto"/>
            <w:tcBorders>
              <w:top w:val="nil"/>
              <w:left w:val="nil"/>
              <w:bottom w:val="single" w:sz="4" w:space="0" w:color="auto"/>
              <w:right w:val="single" w:sz="8" w:space="0" w:color="auto"/>
            </w:tcBorders>
            <w:shd w:val="clear" w:color="000000" w:fill="8DB4E2"/>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2021</w:t>
            </w: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jc w:val="center"/>
              <w:rPr>
                <w:b/>
                <w:bCs/>
                <w:color w:val="000000"/>
                <w:sz w:val="18"/>
                <w:szCs w:val="20"/>
                <w:lang w:val="es-GT" w:eastAsia="es-GT"/>
              </w:rPr>
            </w:pPr>
            <w:r w:rsidRPr="00864C0E">
              <w:rPr>
                <w:b/>
                <w:bCs/>
                <w:color w:val="000000"/>
                <w:sz w:val="18"/>
                <w:szCs w:val="20"/>
                <w:lang w:val="es-GT" w:eastAsia="es-GT"/>
              </w:rPr>
              <w:t>Total</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rPr>
                <w:b/>
                <w:bCs/>
                <w:color w:val="000000"/>
                <w:sz w:val="18"/>
                <w:szCs w:val="20"/>
                <w:lang w:val="es-GT" w:eastAsia="es-GT"/>
              </w:rPr>
            </w:pPr>
            <w:r w:rsidRPr="00864C0E">
              <w:rPr>
                <w:b/>
                <w:bCs/>
                <w:color w:val="000000"/>
                <w:sz w:val="18"/>
                <w:szCs w:val="20"/>
                <w:lang w:val="es-GT" w:eastAsia="es-GT"/>
              </w:rPr>
              <w:t xml:space="preserve">   41,296.2 </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rPr>
                <w:b/>
                <w:bCs/>
                <w:color w:val="000000"/>
                <w:sz w:val="18"/>
                <w:szCs w:val="20"/>
                <w:lang w:val="es-GT" w:eastAsia="es-GT"/>
              </w:rPr>
            </w:pPr>
            <w:r w:rsidRPr="00864C0E">
              <w:rPr>
                <w:b/>
                <w:bCs/>
                <w:color w:val="000000"/>
                <w:sz w:val="18"/>
                <w:szCs w:val="20"/>
                <w:lang w:val="es-GT" w:eastAsia="es-GT"/>
              </w:rPr>
              <w:t xml:space="preserve">   41,408.5 </w:t>
            </w:r>
          </w:p>
        </w:tc>
        <w:tc>
          <w:tcPr>
            <w:tcW w:w="0" w:type="auto"/>
            <w:tcBorders>
              <w:top w:val="single" w:sz="4" w:space="0" w:color="auto"/>
              <w:left w:val="nil"/>
              <w:bottom w:val="nil"/>
              <w:right w:val="single" w:sz="4" w:space="0" w:color="auto"/>
            </w:tcBorders>
            <w:shd w:val="clear" w:color="000000" w:fill="FFFFFF"/>
            <w:noWrap/>
            <w:vAlign w:val="bottom"/>
            <w:hideMark/>
          </w:tcPr>
          <w:p w:rsidR="00C6012B" w:rsidRPr="00864C0E" w:rsidRDefault="00C6012B" w:rsidP="00C6012B">
            <w:pPr>
              <w:rPr>
                <w:b/>
                <w:bCs/>
                <w:color w:val="000000"/>
                <w:sz w:val="18"/>
                <w:szCs w:val="20"/>
                <w:lang w:val="es-GT" w:eastAsia="es-GT"/>
              </w:rPr>
            </w:pPr>
            <w:r w:rsidRPr="00864C0E">
              <w:rPr>
                <w:b/>
                <w:bCs/>
                <w:color w:val="000000"/>
                <w:sz w:val="18"/>
                <w:szCs w:val="20"/>
                <w:lang w:val="es-GT" w:eastAsia="es-GT"/>
              </w:rPr>
              <w:t xml:space="preserve">           112.3 </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b/>
                <w:bCs/>
                <w:color w:val="000000"/>
                <w:sz w:val="18"/>
                <w:szCs w:val="22"/>
                <w:lang w:val="es-GT" w:eastAsia="es-GT"/>
              </w:rPr>
            </w:pPr>
            <w:r w:rsidRPr="00864C0E">
              <w:rPr>
                <w:b/>
                <w:bCs/>
                <w:color w:val="000000"/>
                <w:sz w:val="18"/>
                <w:szCs w:val="22"/>
                <w:lang w:val="es-GT" w:eastAsia="es-GT"/>
              </w:rPr>
              <w:t>16.6%</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100.0%</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100.0%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100.0%</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b/>
                <w:bCs/>
                <w:color w:val="000000"/>
                <w:sz w:val="18"/>
                <w:szCs w:val="22"/>
                <w:lang w:val="es-GT" w:eastAsia="es-GT"/>
              </w:rPr>
            </w:pPr>
            <w:r w:rsidRPr="00864C0E">
              <w:rPr>
                <w:b/>
                <w:bCs/>
                <w:color w:val="000000"/>
                <w:sz w:val="18"/>
                <w:szCs w:val="22"/>
                <w:lang w:val="es-GT" w:eastAsia="es-GT"/>
              </w:rPr>
              <w:t>100.0%</w:t>
            </w: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Obligaciones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13,601.0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12,688.5</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-912.4</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-6.7%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32.9%</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30.6%</w:t>
            </w:r>
          </w:p>
        </w:tc>
        <w:tc>
          <w:tcPr>
            <w:tcW w:w="0" w:type="auto"/>
            <w:vMerge w:val="restart"/>
            <w:tcBorders>
              <w:top w:val="nil"/>
              <w:left w:val="single" w:sz="8" w:space="0" w:color="auto"/>
              <w:bottom w:val="nil"/>
              <w:right w:val="single" w:sz="4"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67.8%</w:t>
            </w:r>
          </w:p>
        </w:tc>
        <w:tc>
          <w:tcPr>
            <w:tcW w:w="0" w:type="auto"/>
            <w:vMerge w:val="restart"/>
            <w:tcBorders>
              <w:top w:val="nil"/>
              <w:left w:val="nil"/>
              <w:bottom w:val="nil"/>
              <w:right w:val="single" w:sz="8"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67.1%</w:t>
            </w: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Educación</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8,026.8</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8,006.5</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-20.3</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-0.3%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19.4%</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19.3%</w:t>
            </w:r>
          </w:p>
        </w:tc>
        <w:tc>
          <w:tcPr>
            <w:tcW w:w="0" w:type="auto"/>
            <w:vMerge/>
            <w:tcBorders>
              <w:top w:val="nil"/>
              <w:left w:val="single" w:sz="8" w:space="0" w:color="auto"/>
              <w:bottom w:val="nil"/>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nil"/>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single" w:sz="4" w:space="0" w:color="auto"/>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Servicios de la Deuda</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6,369.9</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7,082.8</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712.9</w:t>
            </w:r>
          </w:p>
        </w:tc>
        <w:tc>
          <w:tcPr>
            <w:tcW w:w="0" w:type="auto"/>
            <w:tcBorders>
              <w:top w:val="nil"/>
              <w:left w:val="nil"/>
              <w:bottom w:val="single" w:sz="4" w:space="0" w:color="auto"/>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11.2%</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15.4%</w:t>
            </w:r>
          </w:p>
        </w:tc>
        <w:tc>
          <w:tcPr>
            <w:tcW w:w="0" w:type="auto"/>
            <w:tcBorders>
              <w:top w:val="nil"/>
              <w:left w:val="nil"/>
              <w:bottom w:val="single" w:sz="4" w:space="0" w:color="auto"/>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17.1%</w:t>
            </w:r>
          </w:p>
        </w:tc>
        <w:tc>
          <w:tcPr>
            <w:tcW w:w="0" w:type="auto"/>
            <w:vMerge/>
            <w:tcBorders>
              <w:top w:val="nil"/>
              <w:left w:val="single" w:sz="8" w:space="0" w:color="auto"/>
              <w:bottom w:val="nil"/>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nil"/>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Salud Pública</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3,397.7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4,951.8</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1,554.1</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45.7%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8.2%</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12.0%</w:t>
            </w:r>
          </w:p>
        </w:tc>
        <w:tc>
          <w:tcPr>
            <w:tcW w:w="0" w:type="auto"/>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21.2%</w:t>
            </w:r>
          </w:p>
        </w:tc>
        <w:tc>
          <w:tcPr>
            <w:tcW w:w="0" w:type="auto"/>
            <w:vMerge w:val="restart"/>
            <w:tcBorders>
              <w:top w:val="single" w:sz="4" w:space="0" w:color="auto"/>
              <w:left w:val="nil"/>
              <w:bottom w:val="single" w:sz="4" w:space="0" w:color="000000"/>
              <w:right w:val="single" w:sz="8"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26.8%</w:t>
            </w: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Comunicaciones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2,122.1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2,639.7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517.7</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24.4%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5.1%</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6.4%</w:t>
            </w:r>
          </w:p>
        </w:tc>
        <w:tc>
          <w:tcPr>
            <w:tcW w:w="0" w:type="auto"/>
            <w:vMerge/>
            <w:tcBorders>
              <w:top w:val="single" w:sz="4" w:space="0" w:color="auto"/>
              <w:left w:val="single" w:sz="8" w:space="0" w:color="auto"/>
              <w:bottom w:val="single" w:sz="4"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single" w:sz="4" w:space="0" w:color="auto"/>
              <w:left w:val="nil"/>
              <w:bottom w:val="single" w:sz="4"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Gobernación</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2,250.1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2,497.7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247.6</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11.0%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5.4%</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6.0%</w:t>
            </w:r>
          </w:p>
        </w:tc>
        <w:tc>
          <w:tcPr>
            <w:tcW w:w="0" w:type="auto"/>
            <w:vMerge/>
            <w:tcBorders>
              <w:top w:val="single" w:sz="4" w:space="0" w:color="auto"/>
              <w:left w:val="single" w:sz="8" w:space="0" w:color="auto"/>
              <w:bottom w:val="single" w:sz="4"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single" w:sz="4" w:space="0" w:color="auto"/>
              <w:left w:val="nil"/>
              <w:bottom w:val="single" w:sz="4"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single" w:sz="4" w:space="0" w:color="auto"/>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Defensa</w:t>
            </w:r>
            <w:r w:rsidR="007B4911">
              <w:rPr>
                <w:color w:val="000000"/>
                <w:sz w:val="18"/>
                <w:szCs w:val="20"/>
                <w:lang w:val="es-GT" w:eastAsia="es-GT"/>
              </w:rPr>
              <w:t xml:space="preserve"> Nacional</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969.2</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1,004.0</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34.8</w:t>
            </w:r>
          </w:p>
        </w:tc>
        <w:tc>
          <w:tcPr>
            <w:tcW w:w="0" w:type="auto"/>
            <w:tcBorders>
              <w:top w:val="nil"/>
              <w:left w:val="nil"/>
              <w:bottom w:val="single" w:sz="4" w:space="0" w:color="auto"/>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3.6%</w:t>
            </w:r>
          </w:p>
        </w:tc>
        <w:tc>
          <w:tcPr>
            <w:tcW w:w="0" w:type="auto"/>
            <w:tcBorders>
              <w:top w:val="nil"/>
              <w:left w:val="nil"/>
              <w:bottom w:val="single" w:sz="4" w:space="0" w:color="auto"/>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2.3%</w:t>
            </w:r>
          </w:p>
        </w:tc>
        <w:tc>
          <w:tcPr>
            <w:tcW w:w="0" w:type="auto"/>
            <w:tcBorders>
              <w:top w:val="nil"/>
              <w:left w:val="nil"/>
              <w:bottom w:val="single" w:sz="4" w:space="0" w:color="auto"/>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2.4%</w:t>
            </w:r>
          </w:p>
        </w:tc>
        <w:tc>
          <w:tcPr>
            <w:tcW w:w="0" w:type="auto"/>
            <w:vMerge/>
            <w:tcBorders>
              <w:top w:val="single" w:sz="4" w:space="0" w:color="auto"/>
              <w:left w:val="single" w:sz="8" w:space="0" w:color="auto"/>
              <w:bottom w:val="single" w:sz="4"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single" w:sz="4" w:space="0" w:color="auto"/>
              <w:left w:val="nil"/>
              <w:bottom w:val="single" w:sz="4"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Secretarías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488.0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466.0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-22.0</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-4.5%</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1.2%</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1.1%</w:t>
            </w:r>
          </w:p>
        </w:tc>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11.0%</w:t>
            </w:r>
          </w:p>
        </w:tc>
        <w:tc>
          <w:tcPr>
            <w:tcW w:w="0" w:type="auto"/>
            <w:vMerge w:val="restart"/>
            <w:tcBorders>
              <w:top w:val="nil"/>
              <w:left w:val="nil"/>
              <w:bottom w:val="single" w:sz="8" w:space="0" w:color="000000"/>
              <w:right w:val="single" w:sz="8" w:space="0" w:color="auto"/>
            </w:tcBorders>
            <w:shd w:val="clear" w:color="auto" w:fill="auto"/>
            <w:vAlign w:val="center"/>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6.1%</w:t>
            </w: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Agricultura</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345.4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456.3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110.9</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32.1%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0.8%</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1.1%</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Desarrollo Social</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2,076.6</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372.4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-1,704.2</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-82.1%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5.0%</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0.9%</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Trabajo</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313.3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326.7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13.4</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0.8%</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0.8%</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Relaciones Exteriores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212.0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236.5</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24.5</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11.6%</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0.5%</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0.6%</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Cultura y Deportes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142.9</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185.3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42.4</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29.7%</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0.3%</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0.4%</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Finanzas</w:t>
            </w:r>
            <w:r w:rsidR="007B4911">
              <w:rPr>
                <w:color w:val="000000"/>
                <w:sz w:val="18"/>
                <w:szCs w:val="20"/>
                <w:lang w:val="es-GT" w:eastAsia="es-GT"/>
              </w:rPr>
              <w:t xml:space="preserve"> Públicas</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133.8</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131.1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-2.7</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0.3%</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0.3%</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Economía</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618.8</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121.1</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-497.7</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-80.4%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1.5%</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0.3%</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93.4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83.3</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-10.1</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-10.9%</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0.2%</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0.2%</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PGN</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59.9</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64.6</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4.7</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7.8%</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0.1%</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0.2%</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00"/>
          <w:jc w:val="center"/>
        </w:trPr>
        <w:tc>
          <w:tcPr>
            <w:tcW w:w="0" w:type="auto"/>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Ambiente</w:t>
            </w:r>
          </w:p>
        </w:tc>
        <w:tc>
          <w:tcPr>
            <w:tcW w:w="0" w:type="auto"/>
            <w:tcBorders>
              <w:top w:val="nil"/>
              <w:left w:val="single" w:sz="4" w:space="0" w:color="auto"/>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46.0</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62.4</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16.4</w:t>
            </w:r>
          </w:p>
        </w:tc>
        <w:tc>
          <w:tcPr>
            <w:tcW w:w="0" w:type="auto"/>
            <w:tcBorders>
              <w:top w:val="nil"/>
              <w:left w:val="single" w:sz="4" w:space="0" w:color="auto"/>
              <w:bottom w:val="nil"/>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35.6%</w:t>
            </w:r>
          </w:p>
        </w:tc>
        <w:tc>
          <w:tcPr>
            <w:tcW w:w="0" w:type="auto"/>
            <w:tcBorders>
              <w:top w:val="nil"/>
              <w:left w:val="nil"/>
              <w:bottom w:val="nil"/>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0.1%</w:t>
            </w:r>
          </w:p>
        </w:tc>
        <w:tc>
          <w:tcPr>
            <w:tcW w:w="0" w:type="auto"/>
            <w:tcBorders>
              <w:top w:val="nil"/>
              <w:left w:val="nil"/>
              <w:bottom w:val="nil"/>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0.2%</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r w:rsidR="00C6012B" w:rsidRPr="00864C0E" w:rsidTr="00C6012B">
        <w:trPr>
          <w:trHeight w:val="315"/>
          <w:jc w:val="center"/>
        </w:trPr>
        <w:tc>
          <w:tcPr>
            <w:tcW w:w="0" w:type="auto"/>
            <w:tcBorders>
              <w:top w:val="nil"/>
              <w:left w:val="single" w:sz="8" w:space="0" w:color="auto"/>
              <w:bottom w:val="single" w:sz="8" w:space="0" w:color="auto"/>
              <w:right w:val="nil"/>
            </w:tcBorders>
            <w:shd w:val="clear" w:color="000000" w:fill="FFFFFF"/>
            <w:noWrap/>
            <w:vAlign w:val="bottom"/>
            <w:hideMark/>
          </w:tcPr>
          <w:p w:rsidR="00C6012B" w:rsidRPr="00864C0E" w:rsidRDefault="00C6012B" w:rsidP="00C6012B">
            <w:pPr>
              <w:rPr>
                <w:color w:val="000000"/>
                <w:sz w:val="18"/>
                <w:szCs w:val="20"/>
                <w:lang w:val="es-GT" w:eastAsia="es-GT"/>
              </w:rPr>
            </w:pPr>
            <w:r w:rsidRPr="00864C0E">
              <w:rPr>
                <w:color w:val="000000"/>
                <w:sz w:val="18"/>
                <w:szCs w:val="20"/>
                <w:lang w:val="es-GT" w:eastAsia="es-GT"/>
              </w:rPr>
              <w:t>Energía y Minas</w:t>
            </w:r>
          </w:p>
        </w:tc>
        <w:tc>
          <w:tcPr>
            <w:tcW w:w="0" w:type="auto"/>
            <w:tcBorders>
              <w:top w:val="nil"/>
              <w:left w:val="single" w:sz="4" w:space="0" w:color="auto"/>
              <w:bottom w:val="single" w:sz="8"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29.3</w:t>
            </w:r>
          </w:p>
        </w:tc>
        <w:tc>
          <w:tcPr>
            <w:tcW w:w="0" w:type="auto"/>
            <w:tcBorders>
              <w:top w:val="nil"/>
              <w:left w:val="nil"/>
              <w:bottom w:val="single" w:sz="8"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31.8</w:t>
            </w:r>
          </w:p>
        </w:tc>
        <w:tc>
          <w:tcPr>
            <w:tcW w:w="0" w:type="auto"/>
            <w:tcBorders>
              <w:top w:val="nil"/>
              <w:left w:val="nil"/>
              <w:bottom w:val="single" w:sz="8" w:space="0" w:color="auto"/>
              <w:right w:val="single" w:sz="4"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2.5</w:t>
            </w:r>
          </w:p>
        </w:tc>
        <w:tc>
          <w:tcPr>
            <w:tcW w:w="0" w:type="auto"/>
            <w:tcBorders>
              <w:top w:val="nil"/>
              <w:left w:val="single" w:sz="4" w:space="0" w:color="auto"/>
              <w:bottom w:val="single" w:sz="8" w:space="0" w:color="auto"/>
              <w:right w:val="single" w:sz="8" w:space="0" w:color="auto"/>
            </w:tcBorders>
            <w:shd w:val="clear" w:color="000000" w:fill="FFFFFF"/>
            <w:noWrap/>
            <w:vAlign w:val="bottom"/>
            <w:hideMark/>
          </w:tcPr>
          <w:p w:rsidR="00C6012B" w:rsidRPr="00864C0E" w:rsidRDefault="00C6012B" w:rsidP="00C6012B">
            <w:pPr>
              <w:jc w:val="right"/>
              <w:rPr>
                <w:color w:val="000000"/>
                <w:sz w:val="18"/>
                <w:szCs w:val="22"/>
                <w:lang w:val="es-GT" w:eastAsia="es-GT"/>
              </w:rPr>
            </w:pPr>
            <w:r w:rsidRPr="00864C0E">
              <w:rPr>
                <w:color w:val="000000"/>
                <w:sz w:val="18"/>
                <w:szCs w:val="22"/>
                <w:lang w:val="es-GT" w:eastAsia="es-GT"/>
              </w:rPr>
              <w:t>8.5%</w:t>
            </w:r>
          </w:p>
        </w:tc>
        <w:tc>
          <w:tcPr>
            <w:tcW w:w="0" w:type="auto"/>
            <w:tcBorders>
              <w:top w:val="nil"/>
              <w:left w:val="single" w:sz="8" w:space="0" w:color="auto"/>
              <w:bottom w:val="single" w:sz="8" w:space="0" w:color="auto"/>
              <w:right w:val="single" w:sz="4"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0.1%</w:t>
            </w:r>
          </w:p>
        </w:tc>
        <w:tc>
          <w:tcPr>
            <w:tcW w:w="0" w:type="auto"/>
            <w:tcBorders>
              <w:top w:val="nil"/>
              <w:left w:val="nil"/>
              <w:bottom w:val="single" w:sz="8" w:space="0" w:color="auto"/>
              <w:right w:val="single" w:sz="8" w:space="0" w:color="auto"/>
            </w:tcBorders>
            <w:shd w:val="clear" w:color="000000" w:fill="FFFFFF"/>
            <w:noWrap/>
            <w:vAlign w:val="bottom"/>
            <w:hideMark/>
          </w:tcPr>
          <w:p w:rsidR="00C6012B" w:rsidRPr="00864C0E" w:rsidRDefault="00C6012B" w:rsidP="00C6012B">
            <w:pPr>
              <w:jc w:val="center"/>
              <w:rPr>
                <w:color w:val="000000"/>
                <w:sz w:val="18"/>
                <w:szCs w:val="22"/>
                <w:lang w:val="es-GT" w:eastAsia="es-GT"/>
              </w:rPr>
            </w:pPr>
            <w:r w:rsidRPr="00864C0E">
              <w:rPr>
                <w:color w:val="000000"/>
                <w:sz w:val="18"/>
                <w:szCs w:val="22"/>
                <w:lang w:val="es-GT" w:eastAsia="es-GT"/>
              </w:rPr>
              <w:t>0.1%</w:t>
            </w:r>
          </w:p>
        </w:tc>
        <w:tc>
          <w:tcPr>
            <w:tcW w:w="0" w:type="auto"/>
            <w:vMerge/>
            <w:tcBorders>
              <w:top w:val="nil"/>
              <w:left w:val="single" w:sz="8" w:space="0" w:color="auto"/>
              <w:bottom w:val="single" w:sz="8" w:space="0" w:color="000000"/>
              <w:right w:val="single" w:sz="4" w:space="0" w:color="auto"/>
            </w:tcBorders>
            <w:vAlign w:val="center"/>
            <w:hideMark/>
          </w:tcPr>
          <w:p w:rsidR="00C6012B" w:rsidRPr="00864C0E" w:rsidRDefault="00C6012B" w:rsidP="00C6012B">
            <w:pPr>
              <w:rPr>
                <w:color w:val="000000"/>
                <w:sz w:val="18"/>
                <w:szCs w:val="22"/>
                <w:lang w:val="es-GT" w:eastAsia="es-GT"/>
              </w:rPr>
            </w:pPr>
          </w:p>
        </w:tc>
        <w:tc>
          <w:tcPr>
            <w:tcW w:w="0" w:type="auto"/>
            <w:vMerge/>
            <w:tcBorders>
              <w:top w:val="nil"/>
              <w:left w:val="nil"/>
              <w:bottom w:val="single" w:sz="8" w:space="0" w:color="000000"/>
              <w:right w:val="single" w:sz="8" w:space="0" w:color="auto"/>
            </w:tcBorders>
            <w:vAlign w:val="center"/>
            <w:hideMark/>
          </w:tcPr>
          <w:p w:rsidR="00C6012B" w:rsidRPr="00864C0E" w:rsidRDefault="00C6012B" w:rsidP="00C6012B">
            <w:pPr>
              <w:rPr>
                <w:color w:val="000000"/>
                <w:sz w:val="18"/>
                <w:szCs w:val="22"/>
                <w:lang w:val="es-GT" w:eastAsia="es-GT"/>
              </w:rPr>
            </w:pPr>
          </w:p>
        </w:tc>
      </w:tr>
    </w:tbl>
    <w:p w:rsidR="00C6012B" w:rsidRDefault="00C6012B" w:rsidP="00C6012B">
      <w:pPr>
        <w:rPr>
          <w:sz w:val="18"/>
          <w:lang w:val="es-MX"/>
        </w:rPr>
      </w:pPr>
      <w:r w:rsidRPr="00B55626">
        <w:rPr>
          <w:sz w:val="18"/>
          <w:lang w:val="es-MX"/>
        </w:rPr>
        <w:t>* Cifras preliminares</w:t>
      </w:r>
    </w:p>
    <w:p w:rsidR="00C6012B" w:rsidRPr="00B55626" w:rsidRDefault="00C6012B" w:rsidP="00C6012B">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C6012B" w:rsidRPr="00FB641E" w:rsidRDefault="00C6012B" w:rsidP="00C6012B">
      <w:pPr>
        <w:jc w:val="both"/>
        <w:rPr>
          <w:lang w:val="es-MX"/>
        </w:rPr>
      </w:pPr>
    </w:p>
    <w:p w:rsidR="00C6012B" w:rsidRPr="005E55DE" w:rsidRDefault="00C6012B" w:rsidP="004C636B">
      <w:pPr>
        <w:pStyle w:val="Ttulo3"/>
        <w:numPr>
          <w:ilvl w:val="0"/>
          <w:numId w:val="7"/>
        </w:numPr>
        <w:ind w:left="426"/>
        <w:rPr>
          <w:rFonts w:ascii="Times New Roman" w:hAnsi="Times New Roman"/>
          <w:color w:val="auto"/>
          <w:lang w:val="es-MX"/>
        </w:rPr>
      </w:pPr>
      <w:bookmarkStart w:id="19" w:name="_Toc83713627"/>
      <w:r w:rsidRPr="005E55DE">
        <w:rPr>
          <w:rFonts w:ascii="Times New Roman" w:hAnsi="Times New Roman"/>
          <w:color w:val="auto"/>
          <w:lang w:val="es-MX"/>
        </w:rPr>
        <w:lastRenderedPageBreak/>
        <w:t>Gasto Público por Fuente de Financiamiento</w:t>
      </w:r>
      <w:bookmarkEnd w:id="19"/>
    </w:p>
    <w:p w:rsidR="00C6012B" w:rsidRPr="00EA08A0" w:rsidRDefault="00C6012B" w:rsidP="00C6012B">
      <w:pPr>
        <w:keepNext/>
        <w:keepLines/>
        <w:ind w:left="720"/>
        <w:jc w:val="both"/>
        <w:outlineLvl w:val="2"/>
        <w:rPr>
          <w:sz w:val="18"/>
          <w:lang w:val="es-MX"/>
        </w:rPr>
      </w:pPr>
    </w:p>
    <w:p w:rsidR="00C6012B" w:rsidRDefault="00C6012B" w:rsidP="00C6012B">
      <w:pPr>
        <w:jc w:val="both"/>
        <w:rPr>
          <w:lang w:val="es-MX"/>
        </w:rPr>
      </w:pPr>
      <w:r w:rsidRPr="00FB641E">
        <w:rPr>
          <w:lang w:val="es-MX"/>
        </w:rPr>
        <w:t>La</w:t>
      </w:r>
      <w:r>
        <w:rPr>
          <w:lang w:val="es-MX"/>
        </w:rPr>
        <w:t xml:space="preserve"> ejecución presupuestaria por fuente de financiamiento se divide en tres partes; aquellas fuentes que se refieren al esfuerzo del país por generar ingresos, las fuentes provenientes de la Deuda Pública y las donaciones</w:t>
      </w:r>
      <w:r w:rsidR="00713492">
        <w:rPr>
          <w:lang w:val="es-MX"/>
        </w:rPr>
        <w:t xml:space="preserve"> externas</w:t>
      </w:r>
      <w:r>
        <w:rPr>
          <w:lang w:val="es-MX"/>
        </w:rPr>
        <w:t>.</w:t>
      </w:r>
    </w:p>
    <w:p w:rsidR="00C6012B" w:rsidRDefault="00C6012B" w:rsidP="00C6012B">
      <w:pPr>
        <w:jc w:val="both"/>
        <w:rPr>
          <w:lang w:val="es-MX"/>
        </w:rPr>
      </w:pPr>
    </w:p>
    <w:p w:rsidR="00C6012B" w:rsidRDefault="00C6012B" w:rsidP="00C6012B">
      <w:pPr>
        <w:jc w:val="both"/>
        <w:rPr>
          <w:lang w:val="es-MX"/>
        </w:rPr>
      </w:pPr>
      <w:r>
        <w:rPr>
          <w:lang w:val="es-MX"/>
        </w:rPr>
        <w:t>Los recursos de soporte para la ejecución presupuestaria con mayor peso son las fuentes internas que para 2021 significaron el 77.8%, según la estructura respecto al total del gasto presupuestario, mientras que para junio de 2020 fueron de 73.1%, los recursos provenientes de la Deuda Pública significaron para 2021 el 22.1% y para 2020 fueron del 26.8%, mientras que las donaciones representan la mínima parte, en el orden del 0.1% para ambos años.</w:t>
      </w:r>
    </w:p>
    <w:p w:rsidR="00C6012B" w:rsidRDefault="00C6012B" w:rsidP="00C6012B">
      <w:pPr>
        <w:jc w:val="both"/>
        <w:rPr>
          <w:lang w:val="es-MX"/>
        </w:rPr>
      </w:pPr>
    </w:p>
    <w:p w:rsidR="008B5E5C" w:rsidRDefault="008B5E5C" w:rsidP="008B5E5C">
      <w:pPr>
        <w:jc w:val="center"/>
        <w:rPr>
          <w:lang w:val="es-MX"/>
        </w:rPr>
      </w:pPr>
      <w:r w:rsidRPr="00451BC5">
        <w:rPr>
          <w:b/>
          <w:szCs w:val="22"/>
          <w:lang w:val="es-MX"/>
        </w:rPr>
        <w:t xml:space="preserve">Cuadro </w:t>
      </w:r>
      <w:r>
        <w:rPr>
          <w:b/>
          <w:szCs w:val="22"/>
          <w:lang w:val="es-MX"/>
        </w:rPr>
        <w:t>6</w:t>
      </w:r>
    </w:p>
    <w:p w:rsidR="00C6012B" w:rsidRPr="00C628D3" w:rsidRDefault="00C6012B" w:rsidP="00C6012B">
      <w:pPr>
        <w:jc w:val="center"/>
        <w:rPr>
          <w:b/>
          <w:lang w:val="es-MX"/>
        </w:rPr>
      </w:pPr>
      <w:r w:rsidRPr="00C628D3">
        <w:rPr>
          <w:b/>
          <w:lang w:val="es-MX"/>
        </w:rPr>
        <w:t>Estructura del Gasto por Fuente de Financiamiento</w:t>
      </w:r>
    </w:p>
    <w:p w:rsidR="00C6012B" w:rsidRPr="00C628D3" w:rsidRDefault="00C6012B" w:rsidP="00C6012B">
      <w:pPr>
        <w:jc w:val="center"/>
        <w:rPr>
          <w:b/>
          <w:lang w:val="es-MX"/>
        </w:rPr>
      </w:pPr>
      <w:r w:rsidRPr="00C628D3">
        <w:rPr>
          <w:b/>
          <w:lang w:val="es-MX"/>
        </w:rPr>
        <w:t>Junio 2020 – 2021</w:t>
      </w:r>
    </w:p>
    <w:p w:rsidR="00C6012B" w:rsidRPr="00C628D3" w:rsidRDefault="00C6012B" w:rsidP="00C6012B">
      <w:pPr>
        <w:jc w:val="center"/>
        <w:rPr>
          <w:b/>
          <w:lang w:val="es-MX"/>
        </w:rPr>
      </w:pPr>
      <w:r w:rsidRPr="00C628D3">
        <w:rPr>
          <w:b/>
          <w:lang w:val="es-MX"/>
        </w:rPr>
        <w:t>Millones de Quetzales y Porcentajes</w:t>
      </w:r>
    </w:p>
    <w:tbl>
      <w:tblPr>
        <w:tblW w:w="8786" w:type="dxa"/>
        <w:jc w:val="center"/>
        <w:tblCellMar>
          <w:left w:w="70" w:type="dxa"/>
          <w:right w:w="70" w:type="dxa"/>
        </w:tblCellMar>
        <w:tblLook w:val="04A0" w:firstRow="1" w:lastRow="0" w:firstColumn="1" w:lastColumn="0" w:noHBand="0" w:noVBand="1"/>
      </w:tblPr>
      <w:tblGrid>
        <w:gridCol w:w="3360"/>
        <w:gridCol w:w="1200"/>
        <w:gridCol w:w="1676"/>
        <w:gridCol w:w="1190"/>
        <w:gridCol w:w="1515"/>
      </w:tblGrid>
      <w:tr w:rsidR="00C6012B" w:rsidRPr="00A812AF" w:rsidTr="00713492">
        <w:trPr>
          <w:trHeight w:val="300"/>
          <w:jc w:val="center"/>
        </w:trPr>
        <w:tc>
          <w:tcPr>
            <w:tcW w:w="3360" w:type="dxa"/>
            <w:vMerge w:val="restart"/>
            <w:tcBorders>
              <w:top w:val="single" w:sz="8" w:space="0" w:color="auto"/>
              <w:left w:val="single" w:sz="8" w:space="0" w:color="auto"/>
              <w:bottom w:val="single" w:sz="4" w:space="0" w:color="000000"/>
              <w:right w:val="nil"/>
            </w:tcBorders>
            <w:shd w:val="clear" w:color="auto" w:fill="00B0F0"/>
            <w:vAlign w:val="center"/>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Recursos</w:t>
            </w:r>
          </w:p>
        </w:tc>
        <w:tc>
          <w:tcPr>
            <w:tcW w:w="1200" w:type="dxa"/>
            <w:vMerge w:val="restart"/>
            <w:tcBorders>
              <w:top w:val="single" w:sz="8" w:space="0" w:color="auto"/>
              <w:left w:val="single" w:sz="4" w:space="0" w:color="auto"/>
              <w:bottom w:val="single" w:sz="4" w:space="0" w:color="000000"/>
              <w:right w:val="nil"/>
            </w:tcBorders>
            <w:shd w:val="clear" w:color="auto" w:fill="00B0F0"/>
            <w:vAlign w:val="center"/>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2020</w:t>
            </w:r>
          </w:p>
        </w:tc>
        <w:tc>
          <w:tcPr>
            <w:tcW w:w="1676" w:type="dxa"/>
            <w:vMerge w:val="restart"/>
            <w:tcBorders>
              <w:top w:val="single" w:sz="8" w:space="0" w:color="auto"/>
              <w:left w:val="nil"/>
              <w:bottom w:val="single" w:sz="4" w:space="0" w:color="000000"/>
              <w:right w:val="single" w:sz="4" w:space="0" w:color="auto"/>
            </w:tcBorders>
            <w:shd w:val="clear" w:color="auto" w:fill="00B0F0"/>
            <w:vAlign w:val="center"/>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2021</w:t>
            </w:r>
          </w:p>
        </w:tc>
        <w:tc>
          <w:tcPr>
            <w:tcW w:w="2550" w:type="dxa"/>
            <w:gridSpan w:val="2"/>
            <w:tcBorders>
              <w:top w:val="single" w:sz="8" w:space="0" w:color="auto"/>
              <w:left w:val="nil"/>
              <w:bottom w:val="nil"/>
              <w:right w:val="single" w:sz="8" w:space="0" w:color="000000"/>
            </w:tcBorders>
            <w:shd w:val="clear" w:color="auto" w:fill="00B0F0"/>
            <w:noWrap/>
            <w:vAlign w:val="bottom"/>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Estructura</w:t>
            </w:r>
          </w:p>
        </w:tc>
      </w:tr>
      <w:tr w:rsidR="00C6012B" w:rsidRPr="00A812AF" w:rsidTr="00713492">
        <w:trPr>
          <w:trHeight w:val="300"/>
          <w:jc w:val="center"/>
        </w:trPr>
        <w:tc>
          <w:tcPr>
            <w:tcW w:w="3360" w:type="dxa"/>
            <w:vMerge/>
            <w:tcBorders>
              <w:top w:val="single" w:sz="8" w:space="0" w:color="auto"/>
              <w:left w:val="single" w:sz="8" w:space="0" w:color="auto"/>
              <w:bottom w:val="single" w:sz="4" w:space="0" w:color="000000"/>
              <w:right w:val="nil"/>
            </w:tcBorders>
            <w:vAlign w:val="center"/>
            <w:hideMark/>
          </w:tcPr>
          <w:p w:rsidR="00C6012B" w:rsidRPr="00A812AF" w:rsidRDefault="00C6012B" w:rsidP="00C6012B">
            <w:pPr>
              <w:rPr>
                <w:b/>
                <w:bCs/>
                <w:color w:val="000000"/>
                <w:sz w:val="20"/>
                <w:szCs w:val="22"/>
                <w:lang w:val="es-GT" w:eastAsia="es-GT"/>
              </w:rPr>
            </w:pPr>
          </w:p>
        </w:tc>
        <w:tc>
          <w:tcPr>
            <w:tcW w:w="1200" w:type="dxa"/>
            <w:vMerge/>
            <w:tcBorders>
              <w:top w:val="single" w:sz="8" w:space="0" w:color="auto"/>
              <w:left w:val="single" w:sz="4" w:space="0" w:color="auto"/>
              <w:bottom w:val="single" w:sz="4" w:space="0" w:color="000000"/>
              <w:right w:val="nil"/>
            </w:tcBorders>
            <w:vAlign w:val="center"/>
            <w:hideMark/>
          </w:tcPr>
          <w:p w:rsidR="00C6012B" w:rsidRPr="00A812AF" w:rsidRDefault="00C6012B" w:rsidP="00C6012B">
            <w:pPr>
              <w:rPr>
                <w:b/>
                <w:bCs/>
                <w:color w:val="000000"/>
                <w:sz w:val="20"/>
                <w:szCs w:val="22"/>
                <w:lang w:val="es-GT" w:eastAsia="es-GT"/>
              </w:rPr>
            </w:pPr>
          </w:p>
        </w:tc>
        <w:tc>
          <w:tcPr>
            <w:tcW w:w="1676" w:type="dxa"/>
            <w:vMerge/>
            <w:tcBorders>
              <w:top w:val="single" w:sz="8" w:space="0" w:color="auto"/>
              <w:left w:val="nil"/>
              <w:bottom w:val="single" w:sz="4" w:space="0" w:color="000000"/>
              <w:right w:val="single" w:sz="4" w:space="0" w:color="auto"/>
            </w:tcBorders>
            <w:vAlign w:val="center"/>
            <w:hideMark/>
          </w:tcPr>
          <w:p w:rsidR="00C6012B" w:rsidRPr="00A812AF" w:rsidRDefault="00C6012B" w:rsidP="00C6012B">
            <w:pPr>
              <w:rPr>
                <w:b/>
                <w:bCs/>
                <w:color w:val="000000"/>
                <w:sz w:val="20"/>
                <w:szCs w:val="22"/>
                <w:lang w:val="es-GT" w:eastAsia="es-GT"/>
              </w:rPr>
            </w:pPr>
          </w:p>
        </w:tc>
        <w:tc>
          <w:tcPr>
            <w:tcW w:w="1035" w:type="dxa"/>
            <w:tcBorders>
              <w:top w:val="nil"/>
              <w:left w:val="nil"/>
              <w:bottom w:val="single" w:sz="4" w:space="0" w:color="auto"/>
              <w:right w:val="nil"/>
            </w:tcBorders>
            <w:shd w:val="clear" w:color="auto" w:fill="00B0F0"/>
            <w:noWrap/>
            <w:vAlign w:val="bottom"/>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2020</w:t>
            </w:r>
          </w:p>
        </w:tc>
        <w:tc>
          <w:tcPr>
            <w:tcW w:w="1515" w:type="dxa"/>
            <w:tcBorders>
              <w:top w:val="nil"/>
              <w:left w:val="nil"/>
              <w:bottom w:val="single" w:sz="4" w:space="0" w:color="auto"/>
              <w:right w:val="single" w:sz="8" w:space="0" w:color="auto"/>
            </w:tcBorders>
            <w:shd w:val="clear" w:color="auto" w:fill="00B0F0"/>
            <w:noWrap/>
            <w:vAlign w:val="bottom"/>
            <w:hideMark/>
          </w:tcPr>
          <w:p w:rsidR="00C6012B" w:rsidRPr="00A812AF" w:rsidRDefault="00C6012B" w:rsidP="00C6012B">
            <w:pPr>
              <w:jc w:val="center"/>
              <w:rPr>
                <w:b/>
                <w:bCs/>
                <w:color w:val="000000"/>
                <w:sz w:val="20"/>
                <w:szCs w:val="22"/>
                <w:lang w:val="es-GT" w:eastAsia="es-GT"/>
              </w:rPr>
            </w:pPr>
            <w:r w:rsidRPr="00A812AF">
              <w:rPr>
                <w:b/>
                <w:bCs/>
                <w:color w:val="000000"/>
                <w:sz w:val="20"/>
                <w:szCs w:val="22"/>
                <w:lang w:val="es-GT" w:eastAsia="es-GT"/>
              </w:rPr>
              <w:t>2021</w:t>
            </w:r>
          </w:p>
        </w:tc>
      </w:tr>
      <w:tr w:rsidR="00C6012B" w:rsidRPr="00A812AF" w:rsidTr="00713492">
        <w:trPr>
          <w:trHeight w:val="300"/>
          <w:jc w:val="center"/>
        </w:trPr>
        <w:tc>
          <w:tcPr>
            <w:tcW w:w="3360" w:type="dxa"/>
            <w:tcBorders>
              <w:top w:val="nil"/>
              <w:left w:val="single" w:sz="8" w:space="0" w:color="auto"/>
              <w:bottom w:val="nil"/>
              <w:right w:val="single" w:sz="4" w:space="0" w:color="auto"/>
            </w:tcBorders>
            <w:shd w:val="clear" w:color="000000" w:fill="FFFFFF"/>
            <w:noWrap/>
            <w:vAlign w:val="bottom"/>
            <w:hideMark/>
          </w:tcPr>
          <w:p w:rsidR="00C6012B" w:rsidRPr="00A812AF" w:rsidRDefault="00C6012B" w:rsidP="00713492">
            <w:pPr>
              <w:jc w:val="center"/>
              <w:rPr>
                <w:b/>
                <w:bCs/>
                <w:color w:val="000000"/>
                <w:sz w:val="20"/>
                <w:szCs w:val="22"/>
                <w:lang w:val="es-GT" w:eastAsia="es-GT"/>
              </w:rPr>
            </w:pPr>
            <w:r w:rsidRPr="00A812AF">
              <w:rPr>
                <w:b/>
                <w:bCs/>
                <w:color w:val="000000"/>
                <w:sz w:val="20"/>
                <w:szCs w:val="22"/>
                <w:lang w:val="es-GT" w:eastAsia="es-GT"/>
              </w:rPr>
              <w:t>Total</w:t>
            </w:r>
          </w:p>
        </w:tc>
        <w:tc>
          <w:tcPr>
            <w:tcW w:w="1200" w:type="dxa"/>
            <w:tcBorders>
              <w:top w:val="nil"/>
              <w:left w:val="nil"/>
              <w:bottom w:val="nil"/>
              <w:right w:val="nil"/>
            </w:tcBorders>
            <w:shd w:val="clear" w:color="000000" w:fill="FFFFFF"/>
            <w:noWrap/>
            <w:vAlign w:val="bottom"/>
            <w:hideMark/>
          </w:tcPr>
          <w:p w:rsidR="00C6012B" w:rsidRPr="00A812AF" w:rsidRDefault="00C6012B" w:rsidP="00C6012B">
            <w:pPr>
              <w:jc w:val="right"/>
              <w:rPr>
                <w:b/>
                <w:bCs/>
                <w:color w:val="000000"/>
                <w:sz w:val="20"/>
                <w:szCs w:val="22"/>
                <w:lang w:val="es-GT" w:eastAsia="es-GT"/>
              </w:rPr>
            </w:pPr>
            <w:r w:rsidRPr="00A812AF">
              <w:rPr>
                <w:b/>
                <w:bCs/>
                <w:color w:val="000000"/>
                <w:sz w:val="20"/>
                <w:szCs w:val="22"/>
                <w:lang w:val="es-GT" w:eastAsia="es-GT"/>
              </w:rPr>
              <w:t>41,296.2</w:t>
            </w:r>
          </w:p>
        </w:tc>
        <w:tc>
          <w:tcPr>
            <w:tcW w:w="1676" w:type="dxa"/>
            <w:tcBorders>
              <w:top w:val="nil"/>
              <w:left w:val="nil"/>
              <w:bottom w:val="nil"/>
              <w:right w:val="single" w:sz="4" w:space="0" w:color="auto"/>
            </w:tcBorders>
            <w:shd w:val="clear" w:color="000000" w:fill="FFFFFF"/>
            <w:noWrap/>
            <w:vAlign w:val="bottom"/>
            <w:hideMark/>
          </w:tcPr>
          <w:p w:rsidR="00C6012B" w:rsidRPr="00A812AF" w:rsidRDefault="00C6012B" w:rsidP="00C6012B">
            <w:pPr>
              <w:jc w:val="right"/>
              <w:rPr>
                <w:b/>
                <w:bCs/>
                <w:color w:val="000000"/>
                <w:sz w:val="20"/>
                <w:szCs w:val="22"/>
                <w:lang w:val="es-GT" w:eastAsia="es-GT"/>
              </w:rPr>
            </w:pPr>
            <w:r w:rsidRPr="00A812AF">
              <w:rPr>
                <w:b/>
                <w:bCs/>
                <w:color w:val="000000"/>
                <w:sz w:val="20"/>
                <w:szCs w:val="22"/>
                <w:lang w:val="es-GT" w:eastAsia="es-GT"/>
              </w:rPr>
              <w:t>41,408.5</w:t>
            </w:r>
          </w:p>
        </w:tc>
        <w:tc>
          <w:tcPr>
            <w:tcW w:w="1035" w:type="dxa"/>
            <w:tcBorders>
              <w:top w:val="nil"/>
              <w:left w:val="nil"/>
              <w:bottom w:val="nil"/>
              <w:right w:val="nil"/>
            </w:tcBorders>
            <w:shd w:val="clear" w:color="000000" w:fill="FFFFFF"/>
            <w:noWrap/>
            <w:vAlign w:val="bottom"/>
            <w:hideMark/>
          </w:tcPr>
          <w:p w:rsidR="00C6012B" w:rsidRPr="00C000D4" w:rsidRDefault="00C6012B" w:rsidP="00C6012B">
            <w:pPr>
              <w:rPr>
                <w:b/>
                <w:color w:val="000000"/>
                <w:sz w:val="20"/>
                <w:szCs w:val="22"/>
                <w:lang w:val="es-GT" w:eastAsia="es-GT"/>
              </w:rPr>
            </w:pPr>
            <w:r w:rsidRPr="00C000D4">
              <w:rPr>
                <w:b/>
                <w:color w:val="000000"/>
                <w:sz w:val="20"/>
                <w:szCs w:val="22"/>
                <w:lang w:val="es-GT" w:eastAsia="es-GT"/>
              </w:rPr>
              <w:t>        100.0%</w:t>
            </w:r>
          </w:p>
        </w:tc>
        <w:tc>
          <w:tcPr>
            <w:tcW w:w="1515" w:type="dxa"/>
            <w:tcBorders>
              <w:top w:val="nil"/>
              <w:left w:val="nil"/>
              <w:bottom w:val="nil"/>
              <w:right w:val="single" w:sz="8" w:space="0" w:color="auto"/>
            </w:tcBorders>
            <w:shd w:val="clear" w:color="000000" w:fill="FFFFFF"/>
            <w:noWrap/>
            <w:vAlign w:val="bottom"/>
            <w:hideMark/>
          </w:tcPr>
          <w:p w:rsidR="00C6012B" w:rsidRPr="00C000D4" w:rsidRDefault="00C6012B" w:rsidP="00C6012B">
            <w:pPr>
              <w:rPr>
                <w:b/>
                <w:color w:val="000000"/>
                <w:sz w:val="20"/>
                <w:szCs w:val="22"/>
                <w:lang w:val="es-GT" w:eastAsia="es-GT"/>
              </w:rPr>
            </w:pPr>
            <w:r w:rsidRPr="00C000D4">
              <w:rPr>
                <w:b/>
                <w:color w:val="000000"/>
                <w:sz w:val="20"/>
                <w:szCs w:val="22"/>
                <w:lang w:val="es-GT" w:eastAsia="es-GT"/>
              </w:rPr>
              <w:t xml:space="preserve">     </w:t>
            </w:r>
            <w:r w:rsidR="00713492">
              <w:rPr>
                <w:b/>
                <w:color w:val="000000"/>
                <w:sz w:val="20"/>
                <w:szCs w:val="22"/>
                <w:lang w:val="es-GT" w:eastAsia="es-GT"/>
              </w:rPr>
              <w:t xml:space="preserve">      </w:t>
            </w:r>
            <w:r w:rsidRPr="00C000D4">
              <w:rPr>
                <w:b/>
                <w:color w:val="000000"/>
                <w:sz w:val="20"/>
                <w:szCs w:val="22"/>
                <w:lang w:val="es-GT" w:eastAsia="es-GT"/>
              </w:rPr>
              <w:t xml:space="preserve">  100.0% </w:t>
            </w:r>
          </w:p>
        </w:tc>
      </w:tr>
      <w:tr w:rsidR="00C6012B" w:rsidRPr="00A812AF" w:rsidTr="00713492">
        <w:trPr>
          <w:trHeight w:val="300"/>
          <w:jc w:val="center"/>
        </w:trPr>
        <w:tc>
          <w:tcPr>
            <w:tcW w:w="3360" w:type="dxa"/>
            <w:tcBorders>
              <w:top w:val="nil"/>
              <w:left w:val="single" w:sz="8" w:space="0" w:color="auto"/>
              <w:bottom w:val="nil"/>
              <w:right w:val="single" w:sz="4" w:space="0" w:color="auto"/>
            </w:tcBorders>
            <w:shd w:val="clear" w:color="000000" w:fill="FFFFFF"/>
            <w:noWrap/>
            <w:vAlign w:val="bottom"/>
            <w:hideMark/>
          </w:tcPr>
          <w:p w:rsidR="00C6012B" w:rsidRPr="00A812AF" w:rsidRDefault="00C6012B" w:rsidP="00C6012B">
            <w:pPr>
              <w:ind w:firstLineChars="200" w:firstLine="400"/>
              <w:rPr>
                <w:color w:val="000000"/>
                <w:sz w:val="20"/>
                <w:szCs w:val="22"/>
                <w:lang w:val="es-GT" w:eastAsia="es-GT"/>
              </w:rPr>
            </w:pPr>
            <w:r w:rsidRPr="00A812AF">
              <w:rPr>
                <w:color w:val="000000"/>
                <w:sz w:val="20"/>
                <w:szCs w:val="22"/>
                <w:lang w:val="es-GT" w:eastAsia="es-GT"/>
              </w:rPr>
              <w:t>Fuentes Internas</w:t>
            </w:r>
          </w:p>
        </w:tc>
        <w:tc>
          <w:tcPr>
            <w:tcW w:w="1200" w:type="dxa"/>
            <w:tcBorders>
              <w:top w:val="nil"/>
              <w:left w:val="nil"/>
              <w:bottom w:val="nil"/>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30,201.4</w:t>
            </w:r>
          </w:p>
        </w:tc>
        <w:tc>
          <w:tcPr>
            <w:tcW w:w="1676" w:type="dxa"/>
            <w:tcBorders>
              <w:top w:val="nil"/>
              <w:left w:val="nil"/>
              <w:bottom w:val="nil"/>
              <w:right w:val="single" w:sz="4"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32,200.6</w:t>
            </w:r>
          </w:p>
        </w:tc>
        <w:tc>
          <w:tcPr>
            <w:tcW w:w="1035" w:type="dxa"/>
            <w:tcBorders>
              <w:top w:val="nil"/>
              <w:left w:val="nil"/>
              <w:bottom w:val="nil"/>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73.1%</w:t>
            </w:r>
          </w:p>
        </w:tc>
        <w:tc>
          <w:tcPr>
            <w:tcW w:w="1515" w:type="dxa"/>
            <w:tcBorders>
              <w:top w:val="nil"/>
              <w:left w:val="nil"/>
              <w:bottom w:val="nil"/>
              <w:right w:val="single" w:sz="8"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77.8%</w:t>
            </w:r>
          </w:p>
        </w:tc>
      </w:tr>
      <w:tr w:rsidR="00C6012B" w:rsidRPr="00A812AF" w:rsidTr="00713492">
        <w:trPr>
          <w:trHeight w:val="300"/>
          <w:jc w:val="center"/>
        </w:trPr>
        <w:tc>
          <w:tcPr>
            <w:tcW w:w="3360" w:type="dxa"/>
            <w:tcBorders>
              <w:top w:val="nil"/>
              <w:left w:val="single" w:sz="8" w:space="0" w:color="auto"/>
              <w:bottom w:val="nil"/>
              <w:right w:val="single" w:sz="4" w:space="0" w:color="auto"/>
            </w:tcBorders>
            <w:shd w:val="clear" w:color="000000" w:fill="FFFFFF"/>
            <w:noWrap/>
            <w:vAlign w:val="bottom"/>
            <w:hideMark/>
          </w:tcPr>
          <w:p w:rsidR="00C6012B" w:rsidRPr="00A812AF" w:rsidRDefault="00C6012B" w:rsidP="00C6012B">
            <w:pPr>
              <w:ind w:firstLineChars="200" w:firstLine="400"/>
              <w:rPr>
                <w:color w:val="000000"/>
                <w:sz w:val="20"/>
                <w:szCs w:val="22"/>
                <w:lang w:val="es-GT" w:eastAsia="es-GT"/>
              </w:rPr>
            </w:pPr>
            <w:r w:rsidRPr="00A812AF">
              <w:rPr>
                <w:color w:val="000000"/>
                <w:sz w:val="20"/>
                <w:szCs w:val="22"/>
                <w:lang w:val="es-GT" w:eastAsia="es-GT"/>
              </w:rPr>
              <w:t>Deuda Pública</w:t>
            </w:r>
          </w:p>
        </w:tc>
        <w:tc>
          <w:tcPr>
            <w:tcW w:w="1200" w:type="dxa"/>
            <w:tcBorders>
              <w:top w:val="nil"/>
              <w:left w:val="nil"/>
              <w:bottom w:val="nil"/>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11,069.8</w:t>
            </w:r>
          </w:p>
        </w:tc>
        <w:tc>
          <w:tcPr>
            <w:tcW w:w="1676" w:type="dxa"/>
            <w:tcBorders>
              <w:top w:val="nil"/>
              <w:left w:val="nil"/>
              <w:bottom w:val="nil"/>
              <w:right w:val="single" w:sz="4"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9,149.2</w:t>
            </w:r>
          </w:p>
        </w:tc>
        <w:tc>
          <w:tcPr>
            <w:tcW w:w="1035" w:type="dxa"/>
            <w:tcBorders>
              <w:top w:val="nil"/>
              <w:left w:val="nil"/>
              <w:bottom w:val="nil"/>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26.8%</w:t>
            </w:r>
          </w:p>
        </w:tc>
        <w:tc>
          <w:tcPr>
            <w:tcW w:w="1515" w:type="dxa"/>
            <w:tcBorders>
              <w:top w:val="nil"/>
              <w:left w:val="nil"/>
              <w:bottom w:val="nil"/>
              <w:right w:val="single" w:sz="8"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22.1%</w:t>
            </w:r>
          </w:p>
        </w:tc>
      </w:tr>
      <w:tr w:rsidR="00C6012B" w:rsidRPr="00A812AF" w:rsidTr="00713492">
        <w:trPr>
          <w:trHeight w:val="315"/>
          <w:jc w:val="center"/>
        </w:trPr>
        <w:tc>
          <w:tcPr>
            <w:tcW w:w="3360" w:type="dxa"/>
            <w:tcBorders>
              <w:top w:val="nil"/>
              <w:left w:val="single" w:sz="8" w:space="0" w:color="auto"/>
              <w:bottom w:val="single" w:sz="8" w:space="0" w:color="auto"/>
              <w:right w:val="single" w:sz="4" w:space="0" w:color="auto"/>
            </w:tcBorders>
            <w:shd w:val="clear" w:color="000000" w:fill="FFFFFF"/>
            <w:noWrap/>
            <w:vAlign w:val="bottom"/>
            <w:hideMark/>
          </w:tcPr>
          <w:p w:rsidR="00C6012B" w:rsidRPr="00A812AF" w:rsidRDefault="00C6012B" w:rsidP="00C6012B">
            <w:pPr>
              <w:ind w:firstLineChars="200" w:firstLine="400"/>
              <w:rPr>
                <w:color w:val="000000"/>
                <w:sz w:val="20"/>
                <w:szCs w:val="22"/>
                <w:lang w:val="es-GT" w:eastAsia="es-GT"/>
              </w:rPr>
            </w:pPr>
            <w:r w:rsidRPr="00A812AF">
              <w:rPr>
                <w:color w:val="000000"/>
                <w:sz w:val="20"/>
                <w:szCs w:val="22"/>
                <w:lang w:val="es-GT" w:eastAsia="es-GT"/>
              </w:rPr>
              <w:t>Donaciones</w:t>
            </w:r>
            <w:r w:rsidR="00713492">
              <w:rPr>
                <w:color w:val="000000"/>
                <w:sz w:val="20"/>
                <w:szCs w:val="22"/>
                <w:lang w:val="es-GT" w:eastAsia="es-GT"/>
              </w:rPr>
              <w:t xml:space="preserve"> Externas</w:t>
            </w:r>
          </w:p>
        </w:tc>
        <w:tc>
          <w:tcPr>
            <w:tcW w:w="1200" w:type="dxa"/>
            <w:tcBorders>
              <w:top w:val="nil"/>
              <w:left w:val="nil"/>
              <w:bottom w:val="single" w:sz="8" w:space="0" w:color="auto"/>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25.0</w:t>
            </w:r>
          </w:p>
        </w:tc>
        <w:tc>
          <w:tcPr>
            <w:tcW w:w="1676" w:type="dxa"/>
            <w:tcBorders>
              <w:top w:val="nil"/>
              <w:left w:val="nil"/>
              <w:bottom w:val="single" w:sz="8" w:space="0" w:color="auto"/>
              <w:right w:val="single" w:sz="4"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58.8</w:t>
            </w:r>
          </w:p>
        </w:tc>
        <w:tc>
          <w:tcPr>
            <w:tcW w:w="1035" w:type="dxa"/>
            <w:tcBorders>
              <w:top w:val="nil"/>
              <w:left w:val="nil"/>
              <w:bottom w:val="single" w:sz="8" w:space="0" w:color="auto"/>
              <w:right w:val="nil"/>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0.1%</w:t>
            </w:r>
          </w:p>
        </w:tc>
        <w:tc>
          <w:tcPr>
            <w:tcW w:w="1515" w:type="dxa"/>
            <w:tcBorders>
              <w:top w:val="nil"/>
              <w:left w:val="nil"/>
              <w:bottom w:val="single" w:sz="8" w:space="0" w:color="auto"/>
              <w:right w:val="single" w:sz="8" w:space="0" w:color="auto"/>
            </w:tcBorders>
            <w:shd w:val="clear" w:color="000000" w:fill="FFFFFF"/>
            <w:noWrap/>
            <w:vAlign w:val="bottom"/>
            <w:hideMark/>
          </w:tcPr>
          <w:p w:rsidR="00C6012B" w:rsidRPr="00A812AF" w:rsidRDefault="00C6012B" w:rsidP="00C6012B">
            <w:pPr>
              <w:jc w:val="right"/>
              <w:rPr>
                <w:color w:val="000000"/>
                <w:sz w:val="20"/>
                <w:szCs w:val="22"/>
                <w:lang w:val="es-GT" w:eastAsia="es-GT"/>
              </w:rPr>
            </w:pPr>
            <w:r w:rsidRPr="00A812AF">
              <w:rPr>
                <w:color w:val="000000"/>
                <w:sz w:val="20"/>
                <w:szCs w:val="22"/>
                <w:lang w:val="es-GT" w:eastAsia="es-GT"/>
              </w:rPr>
              <w:t>0.1%</w:t>
            </w:r>
          </w:p>
        </w:tc>
      </w:tr>
    </w:tbl>
    <w:p w:rsidR="00C6012B" w:rsidRDefault="00C6012B" w:rsidP="00C6012B">
      <w:pPr>
        <w:rPr>
          <w:sz w:val="18"/>
          <w:lang w:val="es-MX"/>
        </w:rPr>
      </w:pPr>
      <w:r w:rsidRPr="00B55626">
        <w:rPr>
          <w:sz w:val="18"/>
          <w:lang w:val="es-MX"/>
        </w:rPr>
        <w:t>* Cifras preliminares</w:t>
      </w:r>
    </w:p>
    <w:p w:rsidR="00C6012B" w:rsidRPr="00B55626" w:rsidRDefault="00C6012B" w:rsidP="00C6012B">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C6012B" w:rsidRDefault="00C6012B" w:rsidP="00C6012B">
      <w:pPr>
        <w:jc w:val="both"/>
        <w:rPr>
          <w:lang w:val="es-MX"/>
        </w:rPr>
      </w:pPr>
    </w:p>
    <w:p w:rsidR="00C6012B" w:rsidRDefault="00C6012B" w:rsidP="00C6012B">
      <w:pPr>
        <w:jc w:val="both"/>
        <w:rPr>
          <w:lang w:val="es-MX"/>
        </w:rPr>
      </w:pPr>
      <w:r>
        <w:rPr>
          <w:lang w:val="es-MX"/>
        </w:rPr>
        <w:t>Las fuentes internas se refieren a los I</w:t>
      </w:r>
      <w:r w:rsidR="00D133C8">
        <w:rPr>
          <w:lang w:val="es-MX"/>
        </w:rPr>
        <w:t>ngresos</w:t>
      </w:r>
      <w:r>
        <w:rPr>
          <w:lang w:val="es-MX"/>
        </w:rPr>
        <w:t xml:space="preserve"> Tributarios y a los No Tributarios e </w:t>
      </w:r>
      <w:r w:rsidR="00D133C8">
        <w:rPr>
          <w:lang w:val="es-MX"/>
        </w:rPr>
        <w:t>I</w:t>
      </w:r>
      <w:r>
        <w:rPr>
          <w:lang w:val="es-MX"/>
        </w:rPr>
        <w:t xml:space="preserve">ngresos de </w:t>
      </w:r>
      <w:r w:rsidR="00D133C8">
        <w:rPr>
          <w:lang w:val="es-MX"/>
        </w:rPr>
        <w:t>C</w:t>
      </w:r>
      <w:r>
        <w:rPr>
          <w:lang w:val="es-MX"/>
        </w:rPr>
        <w:t>apital, sin incluir las donaciones</w:t>
      </w:r>
      <w:r w:rsidR="00D133C8">
        <w:rPr>
          <w:lang w:val="es-MX"/>
        </w:rPr>
        <w:t>;</w:t>
      </w:r>
      <w:r>
        <w:rPr>
          <w:lang w:val="es-MX"/>
        </w:rPr>
        <w:t xml:space="preserve"> el aumento neto de las fuentes internas fue de Q</w:t>
      </w:r>
      <w:r w:rsidR="00D133C8">
        <w:rPr>
          <w:lang w:val="es-MX"/>
        </w:rPr>
        <w:t>.</w:t>
      </w:r>
      <w:r>
        <w:rPr>
          <w:lang w:val="es-MX"/>
        </w:rPr>
        <w:t>1,999.2 millones, dentro de los cuales, los ingresos corrientes fueron la fuente que más representación tuvo, en el orden de los Q</w:t>
      </w:r>
      <w:r w:rsidR="00D133C8">
        <w:rPr>
          <w:lang w:val="es-MX"/>
        </w:rPr>
        <w:t>.</w:t>
      </w:r>
      <w:r>
        <w:rPr>
          <w:lang w:val="es-MX"/>
        </w:rPr>
        <w:t>2,003.8 millones de aumento, as</w:t>
      </w:r>
      <w:r w:rsidR="00D133C8">
        <w:rPr>
          <w:lang w:val="es-MX"/>
        </w:rPr>
        <w:t>i</w:t>
      </w:r>
      <w:r>
        <w:rPr>
          <w:lang w:val="es-MX"/>
        </w:rPr>
        <w:t xml:space="preserve">mismo, la fuente </w:t>
      </w:r>
      <w:r w:rsidR="00D133C8">
        <w:rPr>
          <w:lang w:val="es-MX"/>
        </w:rPr>
        <w:t xml:space="preserve">de </w:t>
      </w:r>
      <w:r>
        <w:rPr>
          <w:lang w:val="es-MX"/>
        </w:rPr>
        <w:t>ingresos propios de años anteriores se incrementó en Q</w:t>
      </w:r>
      <w:r w:rsidR="00D133C8">
        <w:rPr>
          <w:lang w:val="es-MX"/>
        </w:rPr>
        <w:t>.</w:t>
      </w:r>
      <w:r>
        <w:rPr>
          <w:lang w:val="es-MX"/>
        </w:rPr>
        <w:t>248.7 millones, mientras que el resto de las fuentes de este grupo fueron menores a lo observado a junio de 2020.</w:t>
      </w:r>
    </w:p>
    <w:p w:rsidR="00C6012B" w:rsidRDefault="00C6012B" w:rsidP="00C6012B">
      <w:pPr>
        <w:jc w:val="both"/>
        <w:rPr>
          <w:lang w:val="es-MX"/>
        </w:rPr>
      </w:pPr>
    </w:p>
    <w:p w:rsidR="00C6012B" w:rsidRDefault="00C6012B" w:rsidP="00C6012B">
      <w:pPr>
        <w:jc w:val="both"/>
        <w:rPr>
          <w:lang w:val="es-MX"/>
        </w:rPr>
      </w:pPr>
      <w:r>
        <w:rPr>
          <w:lang w:val="es-MX"/>
        </w:rPr>
        <w:t>En lo referente a los recursos provenientes de la Deuda Pública, estos experimentaron una disminución neta de Q</w:t>
      </w:r>
      <w:r w:rsidR="00062ADB">
        <w:rPr>
          <w:lang w:val="es-MX"/>
        </w:rPr>
        <w:t>.</w:t>
      </w:r>
      <w:r>
        <w:rPr>
          <w:lang w:val="es-MX"/>
        </w:rPr>
        <w:t>1,920.6 millones, en virtud que el nivel de colocaciones en el extranjero a junio de 2021 no fue el mismo, mientras que las colocaciones en el mercado doméstico aumentaron en Q</w:t>
      </w:r>
      <w:r w:rsidR="00062ADB">
        <w:rPr>
          <w:lang w:val="es-MX"/>
        </w:rPr>
        <w:t>.</w:t>
      </w:r>
      <w:r>
        <w:rPr>
          <w:lang w:val="es-MX"/>
        </w:rPr>
        <w:t>300.4 millones, as</w:t>
      </w:r>
      <w:r w:rsidR="00062ADB">
        <w:rPr>
          <w:lang w:val="es-MX"/>
        </w:rPr>
        <w:t>i</w:t>
      </w:r>
      <w:r>
        <w:rPr>
          <w:lang w:val="es-MX"/>
        </w:rPr>
        <w:t>mismo, se hizo utilización de recursos de las colocaciones en el mercado doméstico de años anteriores en mayor medida a lo observado en 2020 por valor de Q</w:t>
      </w:r>
      <w:r w:rsidR="00062ADB">
        <w:rPr>
          <w:lang w:val="es-MX"/>
        </w:rPr>
        <w:t>.</w:t>
      </w:r>
      <w:r>
        <w:rPr>
          <w:lang w:val="es-MX"/>
        </w:rPr>
        <w:t>820.7 millones. En lo referente a los préstamos y el uso de recursos de colocaciones en el extranjero de años anteriores fueron menores en Q</w:t>
      </w:r>
      <w:r w:rsidR="00062ADB">
        <w:rPr>
          <w:lang w:val="es-MX"/>
        </w:rPr>
        <w:t>.</w:t>
      </w:r>
      <w:r>
        <w:rPr>
          <w:lang w:val="es-MX"/>
        </w:rPr>
        <w:t>304.7 millones y Q</w:t>
      </w:r>
      <w:r w:rsidR="00062ADB">
        <w:rPr>
          <w:lang w:val="es-MX"/>
        </w:rPr>
        <w:t>.</w:t>
      </w:r>
      <w:r>
        <w:rPr>
          <w:lang w:val="es-MX"/>
        </w:rPr>
        <w:t>122.3 millones, respectivamente.</w:t>
      </w:r>
    </w:p>
    <w:p w:rsidR="00C6012B" w:rsidRDefault="00C6012B" w:rsidP="00C6012B">
      <w:pPr>
        <w:jc w:val="both"/>
        <w:rPr>
          <w:lang w:val="es-MX"/>
        </w:rPr>
      </w:pPr>
    </w:p>
    <w:p w:rsidR="00C6012B" w:rsidRDefault="00C6012B" w:rsidP="00C6012B">
      <w:pPr>
        <w:jc w:val="both"/>
        <w:rPr>
          <w:lang w:val="es-MX"/>
        </w:rPr>
      </w:pPr>
      <w:r>
        <w:rPr>
          <w:lang w:val="es-MX"/>
        </w:rPr>
        <w:t>El uso de recursos provenientes de las donaciones</w:t>
      </w:r>
      <w:r w:rsidR="00062ADB">
        <w:rPr>
          <w:lang w:val="es-MX"/>
        </w:rPr>
        <w:t xml:space="preserve"> externas </w:t>
      </w:r>
      <w:r>
        <w:rPr>
          <w:lang w:val="es-MX"/>
        </w:rPr>
        <w:t>tuvo un aumento neto de Q</w:t>
      </w:r>
      <w:r w:rsidR="00062ADB">
        <w:rPr>
          <w:lang w:val="es-MX"/>
        </w:rPr>
        <w:t>.</w:t>
      </w:r>
      <w:r>
        <w:rPr>
          <w:lang w:val="es-MX"/>
        </w:rPr>
        <w:t>33.7 millones al pasar de Q</w:t>
      </w:r>
      <w:r w:rsidR="00062ADB">
        <w:rPr>
          <w:lang w:val="es-MX"/>
        </w:rPr>
        <w:t>.</w:t>
      </w:r>
      <w:r>
        <w:rPr>
          <w:lang w:val="es-MX"/>
        </w:rPr>
        <w:t>25.0 millones en 2020 a Q</w:t>
      </w:r>
      <w:r w:rsidR="00062ADB">
        <w:rPr>
          <w:lang w:val="es-MX"/>
        </w:rPr>
        <w:t>.</w:t>
      </w:r>
      <w:r>
        <w:rPr>
          <w:lang w:val="es-MX"/>
        </w:rPr>
        <w:t>58.8 millones a junio de 2021, teniendo el mayor impacto en las donaciones externas.</w:t>
      </w:r>
    </w:p>
    <w:p w:rsidR="00C6012B" w:rsidRDefault="00C6012B" w:rsidP="00C6012B">
      <w:pPr>
        <w:jc w:val="both"/>
        <w:rPr>
          <w:lang w:val="es-MX"/>
        </w:rPr>
      </w:pPr>
    </w:p>
    <w:p w:rsidR="0004318A" w:rsidRDefault="0004318A" w:rsidP="00C6012B">
      <w:pPr>
        <w:jc w:val="both"/>
        <w:rPr>
          <w:lang w:val="es-MX"/>
        </w:rPr>
      </w:pPr>
    </w:p>
    <w:p w:rsidR="0004318A" w:rsidRDefault="0004318A" w:rsidP="00C6012B">
      <w:pPr>
        <w:jc w:val="both"/>
        <w:rPr>
          <w:lang w:val="es-MX"/>
        </w:rPr>
      </w:pPr>
    </w:p>
    <w:p w:rsidR="0004318A" w:rsidRDefault="0004318A" w:rsidP="00C6012B">
      <w:pPr>
        <w:jc w:val="both"/>
        <w:rPr>
          <w:lang w:val="es-MX"/>
        </w:rPr>
      </w:pPr>
    </w:p>
    <w:p w:rsidR="00C6012B" w:rsidRPr="00451BC5" w:rsidRDefault="00C6012B" w:rsidP="00C6012B">
      <w:pPr>
        <w:jc w:val="center"/>
        <w:rPr>
          <w:lang w:val="es-MX"/>
        </w:rPr>
      </w:pPr>
      <w:r w:rsidRPr="00451BC5">
        <w:rPr>
          <w:b/>
          <w:lang w:val="es-MX"/>
        </w:rPr>
        <w:t>Cuadro 7</w:t>
      </w:r>
    </w:p>
    <w:p w:rsidR="00C6012B" w:rsidRPr="00451BC5" w:rsidRDefault="00C6012B" w:rsidP="00C6012B">
      <w:pPr>
        <w:jc w:val="center"/>
        <w:rPr>
          <w:b/>
          <w:bCs/>
          <w:lang w:val="es-MX"/>
        </w:rPr>
      </w:pPr>
      <w:r w:rsidRPr="00451BC5">
        <w:rPr>
          <w:b/>
          <w:bCs/>
          <w:lang w:val="es-MX"/>
        </w:rPr>
        <w:t xml:space="preserve">Diferencias de </w:t>
      </w:r>
      <w:r>
        <w:rPr>
          <w:b/>
          <w:bCs/>
          <w:lang w:val="es-MX"/>
        </w:rPr>
        <w:t>E</w:t>
      </w:r>
      <w:r w:rsidRPr="00451BC5">
        <w:rPr>
          <w:b/>
          <w:bCs/>
          <w:lang w:val="es-MX"/>
        </w:rPr>
        <w:t xml:space="preserve">jecución </w:t>
      </w:r>
      <w:r>
        <w:rPr>
          <w:b/>
          <w:bCs/>
          <w:lang w:val="es-MX"/>
        </w:rPr>
        <w:t>P</w:t>
      </w:r>
      <w:r w:rsidRPr="00451BC5">
        <w:rPr>
          <w:b/>
          <w:bCs/>
          <w:lang w:val="es-MX"/>
        </w:rPr>
        <w:t>resupuestaria por Fuente de Financiamiento</w:t>
      </w:r>
    </w:p>
    <w:p w:rsidR="00C6012B" w:rsidRPr="00451BC5" w:rsidRDefault="00C6012B" w:rsidP="00C6012B">
      <w:pPr>
        <w:jc w:val="center"/>
        <w:rPr>
          <w:b/>
          <w:bCs/>
          <w:lang w:val="es-MX"/>
        </w:rPr>
      </w:pPr>
      <w:r w:rsidRPr="00451BC5">
        <w:rPr>
          <w:b/>
          <w:bCs/>
          <w:lang w:val="es-MX"/>
        </w:rPr>
        <w:t xml:space="preserve">Junio </w:t>
      </w:r>
      <w:r>
        <w:rPr>
          <w:b/>
          <w:bCs/>
          <w:lang w:val="es-MX"/>
        </w:rPr>
        <w:t xml:space="preserve">de </w:t>
      </w:r>
      <w:r w:rsidRPr="00451BC5">
        <w:rPr>
          <w:b/>
          <w:bCs/>
          <w:lang w:val="es-MX"/>
        </w:rPr>
        <w:t>202</w:t>
      </w:r>
      <w:r>
        <w:rPr>
          <w:b/>
          <w:bCs/>
          <w:lang w:val="es-MX"/>
        </w:rPr>
        <w:t>1*</w:t>
      </w:r>
      <w:r w:rsidRPr="00451BC5">
        <w:rPr>
          <w:b/>
          <w:bCs/>
          <w:lang w:val="es-MX"/>
        </w:rPr>
        <w:t xml:space="preserve"> menos junio </w:t>
      </w:r>
      <w:r>
        <w:rPr>
          <w:b/>
          <w:bCs/>
          <w:lang w:val="es-MX"/>
        </w:rPr>
        <w:t xml:space="preserve">de </w:t>
      </w:r>
      <w:r w:rsidRPr="00451BC5">
        <w:rPr>
          <w:b/>
          <w:bCs/>
          <w:lang w:val="es-MX"/>
        </w:rPr>
        <w:t>20</w:t>
      </w:r>
      <w:r>
        <w:rPr>
          <w:b/>
          <w:bCs/>
          <w:lang w:val="es-MX"/>
        </w:rPr>
        <w:t>20</w:t>
      </w:r>
    </w:p>
    <w:p w:rsidR="00C6012B" w:rsidRPr="00451BC5" w:rsidRDefault="00C6012B" w:rsidP="00C6012B">
      <w:pPr>
        <w:jc w:val="center"/>
        <w:rPr>
          <w:lang w:val="es-MX"/>
        </w:rPr>
      </w:pPr>
      <w:r>
        <w:rPr>
          <w:b/>
          <w:bCs/>
          <w:lang w:val="es-MX"/>
        </w:rPr>
        <w:t xml:space="preserve">(En </w:t>
      </w:r>
      <w:r w:rsidRPr="00451BC5">
        <w:rPr>
          <w:b/>
          <w:bCs/>
          <w:lang w:val="es-MX"/>
        </w:rPr>
        <w:t>Millones de Quetzales</w:t>
      </w:r>
      <w:r>
        <w:rPr>
          <w:b/>
          <w:bCs/>
          <w:lang w:val="es-MX"/>
        </w:rPr>
        <w:t xml:space="preserve"> y porcentajes)</w:t>
      </w:r>
    </w:p>
    <w:tbl>
      <w:tblPr>
        <w:tblW w:w="0" w:type="auto"/>
        <w:jc w:val="center"/>
        <w:tblLayout w:type="fixed"/>
        <w:tblCellMar>
          <w:left w:w="70" w:type="dxa"/>
          <w:right w:w="70" w:type="dxa"/>
        </w:tblCellMar>
        <w:tblLook w:val="04A0" w:firstRow="1" w:lastRow="0" w:firstColumn="1" w:lastColumn="0" w:noHBand="0" w:noVBand="1"/>
      </w:tblPr>
      <w:tblGrid>
        <w:gridCol w:w="2789"/>
        <w:gridCol w:w="1216"/>
        <w:gridCol w:w="1276"/>
        <w:gridCol w:w="1134"/>
        <w:gridCol w:w="1276"/>
        <w:gridCol w:w="1452"/>
      </w:tblGrid>
      <w:tr w:rsidR="00C6012B" w:rsidRPr="00FD25E1" w:rsidTr="00831667">
        <w:trPr>
          <w:trHeight w:val="300"/>
          <w:jc w:val="center"/>
        </w:trPr>
        <w:tc>
          <w:tcPr>
            <w:tcW w:w="2789" w:type="dxa"/>
            <w:vMerge w:val="restart"/>
            <w:tcBorders>
              <w:top w:val="single" w:sz="8" w:space="0" w:color="auto"/>
              <w:left w:val="single" w:sz="8" w:space="0" w:color="auto"/>
              <w:bottom w:val="single" w:sz="4" w:space="0" w:color="000000"/>
              <w:right w:val="single" w:sz="4" w:space="0" w:color="auto"/>
            </w:tcBorders>
            <w:shd w:val="clear" w:color="auto" w:fill="00B0F0"/>
            <w:vAlign w:val="center"/>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Fuente de Financiamiento</w:t>
            </w:r>
          </w:p>
        </w:tc>
        <w:tc>
          <w:tcPr>
            <w:tcW w:w="1216" w:type="dxa"/>
            <w:vMerge w:val="restart"/>
            <w:tcBorders>
              <w:top w:val="single" w:sz="8" w:space="0" w:color="auto"/>
              <w:left w:val="single" w:sz="4" w:space="0" w:color="auto"/>
              <w:bottom w:val="single" w:sz="4" w:space="0" w:color="000000"/>
              <w:right w:val="nil"/>
            </w:tcBorders>
            <w:shd w:val="clear" w:color="auto" w:fill="00B0F0"/>
            <w:vAlign w:val="center"/>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2020</w:t>
            </w:r>
          </w:p>
        </w:tc>
        <w:tc>
          <w:tcPr>
            <w:tcW w:w="1276" w:type="dxa"/>
            <w:vMerge w:val="restart"/>
            <w:tcBorders>
              <w:top w:val="single" w:sz="8" w:space="0" w:color="auto"/>
              <w:left w:val="nil"/>
              <w:bottom w:val="single" w:sz="4" w:space="0" w:color="000000"/>
              <w:right w:val="single" w:sz="4" w:space="0" w:color="auto"/>
            </w:tcBorders>
            <w:shd w:val="clear" w:color="auto" w:fill="00B0F0"/>
            <w:vAlign w:val="center"/>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2021</w:t>
            </w:r>
          </w:p>
        </w:tc>
        <w:tc>
          <w:tcPr>
            <w:tcW w:w="2410" w:type="dxa"/>
            <w:gridSpan w:val="2"/>
            <w:tcBorders>
              <w:top w:val="single" w:sz="8" w:space="0" w:color="auto"/>
              <w:left w:val="nil"/>
              <w:bottom w:val="nil"/>
              <w:right w:val="single" w:sz="8" w:space="0" w:color="000000"/>
            </w:tcBorders>
            <w:shd w:val="clear" w:color="auto" w:fill="00B0F0"/>
            <w:noWrap/>
            <w:vAlign w:val="bottom"/>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Diferencias</w:t>
            </w:r>
          </w:p>
        </w:tc>
        <w:tc>
          <w:tcPr>
            <w:tcW w:w="1452" w:type="dxa"/>
            <w:vMerge w:val="restart"/>
            <w:tcBorders>
              <w:top w:val="single" w:sz="8" w:space="0" w:color="auto"/>
              <w:left w:val="single" w:sz="8" w:space="0" w:color="auto"/>
              <w:bottom w:val="single" w:sz="4" w:space="0" w:color="000000"/>
              <w:right w:val="single" w:sz="8" w:space="0" w:color="auto"/>
            </w:tcBorders>
            <w:shd w:val="clear" w:color="auto" w:fill="00B0F0"/>
            <w:vAlign w:val="center"/>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Estructura 2021</w:t>
            </w:r>
          </w:p>
        </w:tc>
      </w:tr>
      <w:tr w:rsidR="00C6012B" w:rsidRPr="00FD25E1" w:rsidTr="00831667">
        <w:trPr>
          <w:trHeight w:val="300"/>
          <w:jc w:val="center"/>
        </w:trPr>
        <w:tc>
          <w:tcPr>
            <w:tcW w:w="2789" w:type="dxa"/>
            <w:vMerge/>
            <w:tcBorders>
              <w:top w:val="single" w:sz="8" w:space="0" w:color="auto"/>
              <w:left w:val="single" w:sz="8" w:space="0" w:color="auto"/>
              <w:bottom w:val="single" w:sz="4" w:space="0" w:color="000000"/>
              <w:right w:val="single" w:sz="4" w:space="0" w:color="auto"/>
            </w:tcBorders>
            <w:vAlign w:val="center"/>
            <w:hideMark/>
          </w:tcPr>
          <w:p w:rsidR="00C6012B" w:rsidRPr="00FD25E1" w:rsidRDefault="00C6012B" w:rsidP="00C6012B">
            <w:pPr>
              <w:rPr>
                <w:b/>
                <w:bCs/>
                <w:color w:val="000000"/>
                <w:sz w:val="18"/>
                <w:szCs w:val="22"/>
                <w:lang w:val="es-GT" w:eastAsia="es-GT"/>
              </w:rPr>
            </w:pPr>
          </w:p>
        </w:tc>
        <w:tc>
          <w:tcPr>
            <w:tcW w:w="1216" w:type="dxa"/>
            <w:vMerge/>
            <w:tcBorders>
              <w:top w:val="single" w:sz="8" w:space="0" w:color="auto"/>
              <w:left w:val="single" w:sz="4" w:space="0" w:color="auto"/>
              <w:bottom w:val="single" w:sz="4" w:space="0" w:color="000000"/>
              <w:right w:val="nil"/>
            </w:tcBorders>
            <w:vAlign w:val="center"/>
            <w:hideMark/>
          </w:tcPr>
          <w:p w:rsidR="00C6012B" w:rsidRPr="00FD25E1" w:rsidRDefault="00C6012B" w:rsidP="00C6012B">
            <w:pPr>
              <w:rPr>
                <w:b/>
                <w:bCs/>
                <w:color w:val="000000"/>
                <w:sz w:val="18"/>
                <w:szCs w:val="22"/>
                <w:lang w:val="es-GT" w:eastAsia="es-GT"/>
              </w:rPr>
            </w:pPr>
          </w:p>
        </w:tc>
        <w:tc>
          <w:tcPr>
            <w:tcW w:w="1276" w:type="dxa"/>
            <w:vMerge/>
            <w:tcBorders>
              <w:top w:val="single" w:sz="8" w:space="0" w:color="auto"/>
              <w:left w:val="nil"/>
              <w:bottom w:val="single" w:sz="4" w:space="0" w:color="000000"/>
              <w:right w:val="single" w:sz="4" w:space="0" w:color="auto"/>
            </w:tcBorders>
            <w:vAlign w:val="center"/>
            <w:hideMark/>
          </w:tcPr>
          <w:p w:rsidR="00C6012B" w:rsidRPr="00FD25E1" w:rsidRDefault="00C6012B" w:rsidP="00C6012B">
            <w:pPr>
              <w:rPr>
                <w:b/>
                <w:bCs/>
                <w:color w:val="000000"/>
                <w:sz w:val="18"/>
                <w:szCs w:val="22"/>
                <w:lang w:val="es-GT" w:eastAsia="es-GT"/>
              </w:rPr>
            </w:pPr>
          </w:p>
        </w:tc>
        <w:tc>
          <w:tcPr>
            <w:tcW w:w="1134" w:type="dxa"/>
            <w:tcBorders>
              <w:top w:val="nil"/>
              <w:left w:val="nil"/>
              <w:bottom w:val="single" w:sz="4" w:space="0" w:color="auto"/>
              <w:right w:val="nil"/>
            </w:tcBorders>
            <w:shd w:val="clear" w:color="auto" w:fill="00B0F0"/>
            <w:noWrap/>
            <w:vAlign w:val="bottom"/>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Absoluta</w:t>
            </w:r>
          </w:p>
        </w:tc>
        <w:tc>
          <w:tcPr>
            <w:tcW w:w="1276" w:type="dxa"/>
            <w:tcBorders>
              <w:top w:val="nil"/>
              <w:left w:val="nil"/>
              <w:bottom w:val="single" w:sz="4" w:space="0" w:color="auto"/>
              <w:right w:val="single" w:sz="8" w:space="0" w:color="auto"/>
            </w:tcBorders>
            <w:shd w:val="clear" w:color="auto" w:fill="00B0F0"/>
            <w:noWrap/>
            <w:vAlign w:val="bottom"/>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Relativa</w:t>
            </w:r>
          </w:p>
        </w:tc>
        <w:tc>
          <w:tcPr>
            <w:tcW w:w="1452" w:type="dxa"/>
            <w:vMerge/>
            <w:tcBorders>
              <w:top w:val="single" w:sz="8" w:space="0" w:color="auto"/>
              <w:left w:val="single" w:sz="8" w:space="0" w:color="auto"/>
              <w:bottom w:val="single" w:sz="4" w:space="0" w:color="000000"/>
              <w:right w:val="single" w:sz="8" w:space="0" w:color="auto"/>
            </w:tcBorders>
            <w:vAlign w:val="center"/>
            <w:hideMark/>
          </w:tcPr>
          <w:p w:rsidR="00C6012B" w:rsidRPr="00FD25E1" w:rsidRDefault="00C6012B" w:rsidP="00C6012B">
            <w:pPr>
              <w:rPr>
                <w:b/>
                <w:bCs/>
                <w:color w:val="000000"/>
                <w:sz w:val="18"/>
                <w:szCs w:val="22"/>
                <w:lang w:val="es-GT" w:eastAsia="es-GT"/>
              </w:rPr>
            </w:pPr>
          </w:p>
        </w:tc>
      </w:tr>
      <w:tr w:rsidR="00C6012B" w:rsidRPr="00FD25E1" w:rsidTr="00831667">
        <w:trPr>
          <w:trHeight w:val="300"/>
          <w:jc w:val="center"/>
        </w:trPr>
        <w:tc>
          <w:tcPr>
            <w:tcW w:w="2789" w:type="dxa"/>
            <w:tcBorders>
              <w:top w:val="nil"/>
              <w:left w:val="single" w:sz="8" w:space="0" w:color="auto"/>
              <w:bottom w:val="single" w:sz="4" w:space="0" w:color="auto"/>
              <w:right w:val="single" w:sz="4" w:space="0" w:color="auto"/>
            </w:tcBorders>
            <w:shd w:val="clear" w:color="000000" w:fill="FFFFFF"/>
            <w:noWrap/>
            <w:vAlign w:val="bottom"/>
            <w:hideMark/>
          </w:tcPr>
          <w:p w:rsidR="00C6012B" w:rsidRPr="00FD25E1" w:rsidRDefault="00C6012B" w:rsidP="00C6012B">
            <w:pPr>
              <w:jc w:val="center"/>
              <w:rPr>
                <w:b/>
                <w:bCs/>
                <w:color w:val="000000"/>
                <w:sz w:val="18"/>
                <w:szCs w:val="22"/>
                <w:lang w:val="es-GT" w:eastAsia="es-GT"/>
              </w:rPr>
            </w:pPr>
            <w:r w:rsidRPr="00FD25E1">
              <w:rPr>
                <w:b/>
                <w:bCs/>
                <w:color w:val="000000"/>
                <w:sz w:val="18"/>
                <w:szCs w:val="22"/>
                <w:lang w:val="es-GT" w:eastAsia="es-GT"/>
              </w:rPr>
              <w:t>Total de la Ejecución</w:t>
            </w:r>
          </w:p>
        </w:tc>
        <w:tc>
          <w:tcPr>
            <w:tcW w:w="1216" w:type="dxa"/>
            <w:tcBorders>
              <w:top w:val="nil"/>
              <w:left w:val="single" w:sz="4" w:space="0" w:color="auto"/>
              <w:bottom w:val="single" w:sz="4" w:space="0" w:color="auto"/>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41,296.2 </w:t>
            </w:r>
          </w:p>
        </w:tc>
        <w:tc>
          <w:tcPr>
            <w:tcW w:w="1276" w:type="dxa"/>
            <w:tcBorders>
              <w:top w:val="nil"/>
              <w:left w:val="nil"/>
              <w:bottom w:val="single" w:sz="4" w:space="0" w:color="auto"/>
              <w:right w:val="single" w:sz="4"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41,408.5 </w:t>
            </w:r>
          </w:p>
        </w:tc>
        <w:tc>
          <w:tcPr>
            <w:tcW w:w="1134" w:type="dxa"/>
            <w:tcBorders>
              <w:top w:val="nil"/>
              <w:left w:val="nil"/>
              <w:bottom w:val="single" w:sz="4" w:space="0" w:color="auto"/>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112.3 </w:t>
            </w:r>
          </w:p>
        </w:tc>
        <w:tc>
          <w:tcPr>
            <w:tcW w:w="1276" w:type="dxa"/>
            <w:tcBorders>
              <w:top w:val="nil"/>
              <w:left w:val="nil"/>
              <w:bottom w:val="single" w:sz="4" w:space="0" w:color="auto"/>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0.3%</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100.0%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BC6DA8">
            <w:pPr>
              <w:rPr>
                <w:b/>
                <w:bCs/>
                <w:color w:val="000000"/>
                <w:sz w:val="18"/>
                <w:szCs w:val="22"/>
                <w:lang w:val="es-GT" w:eastAsia="es-GT"/>
              </w:rPr>
            </w:pPr>
            <w:r w:rsidRPr="00FD25E1">
              <w:rPr>
                <w:b/>
                <w:bCs/>
                <w:color w:val="000000"/>
                <w:sz w:val="18"/>
                <w:szCs w:val="22"/>
                <w:lang w:val="es-GT" w:eastAsia="es-GT"/>
              </w:rPr>
              <w:t xml:space="preserve">Total </w:t>
            </w:r>
            <w:r w:rsidR="00BC6DA8">
              <w:rPr>
                <w:b/>
                <w:bCs/>
                <w:color w:val="000000"/>
                <w:sz w:val="18"/>
                <w:szCs w:val="22"/>
                <w:lang w:val="es-GT" w:eastAsia="es-GT"/>
              </w:rPr>
              <w:t>F</w:t>
            </w:r>
            <w:r w:rsidRPr="00FD25E1">
              <w:rPr>
                <w:b/>
                <w:bCs/>
                <w:color w:val="000000"/>
                <w:sz w:val="18"/>
                <w:szCs w:val="22"/>
                <w:lang w:val="es-GT" w:eastAsia="es-GT"/>
              </w:rPr>
              <w:t xml:space="preserve">uentes </w:t>
            </w:r>
            <w:r w:rsidR="00BC6DA8">
              <w:rPr>
                <w:b/>
                <w:bCs/>
                <w:color w:val="000000"/>
                <w:sz w:val="18"/>
                <w:szCs w:val="22"/>
                <w:lang w:val="es-GT" w:eastAsia="es-GT"/>
              </w:rPr>
              <w:t>I</w:t>
            </w:r>
            <w:r w:rsidRPr="00FD25E1">
              <w:rPr>
                <w:b/>
                <w:bCs/>
                <w:color w:val="000000"/>
                <w:sz w:val="18"/>
                <w:szCs w:val="22"/>
                <w:lang w:val="es-GT" w:eastAsia="es-GT"/>
              </w:rPr>
              <w:t>nternas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30,201.4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32,200.6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1,999.2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6.6%</w:t>
            </w:r>
          </w:p>
        </w:tc>
        <w:tc>
          <w:tcPr>
            <w:tcW w:w="1452" w:type="dxa"/>
            <w:tcBorders>
              <w:top w:val="single" w:sz="4" w:space="0" w:color="auto"/>
              <w:left w:val="single" w:sz="8" w:space="0" w:color="auto"/>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77.8%</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Ingresos Corrientes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20,578.9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22,582.7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2,003.8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9.7%</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70.1%</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Caja Recursos del Tesoro</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0.2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0.1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-0.2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-69.6%</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Extinción de Dominio</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0.4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rPr>
                <w:color w:val="000000"/>
                <w:sz w:val="18"/>
                <w:szCs w:val="22"/>
                <w:lang w:val="es-GT" w:eastAsia="es-GT"/>
              </w:rPr>
            </w:pPr>
            <w:r w:rsidRPr="00FD25E1">
              <w:rPr>
                <w:color w:val="000000"/>
                <w:sz w:val="18"/>
                <w:szCs w:val="22"/>
                <w:lang w:val="es-GT" w:eastAsia="es-GT"/>
              </w:rPr>
              <w:t>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-0.4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-100.0%</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 xml:space="preserve">Caja </w:t>
            </w:r>
            <w:r w:rsidR="00E04AE3" w:rsidRPr="00FD25E1">
              <w:rPr>
                <w:color w:val="000000"/>
                <w:sz w:val="18"/>
                <w:szCs w:val="22"/>
                <w:lang w:val="es-GT" w:eastAsia="es-GT"/>
              </w:rPr>
              <w:t>Extinción</w:t>
            </w:r>
            <w:r w:rsidRPr="00FD25E1">
              <w:rPr>
                <w:color w:val="000000"/>
                <w:sz w:val="18"/>
                <w:szCs w:val="22"/>
                <w:lang w:val="es-GT" w:eastAsia="es-GT"/>
              </w:rPr>
              <w:t xml:space="preserve"> de Dominio</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rPr>
                <w:color w:val="000000"/>
                <w:sz w:val="18"/>
                <w:szCs w:val="22"/>
                <w:lang w:val="es-GT" w:eastAsia="es-GT"/>
              </w:rPr>
            </w:pPr>
            <w:r w:rsidRPr="00FD25E1">
              <w:rPr>
                <w:color w:val="000000"/>
                <w:sz w:val="18"/>
                <w:szCs w:val="22"/>
                <w:lang w:val="es-GT" w:eastAsia="es-GT"/>
              </w:rPr>
              <w:t>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0.5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0.5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rPr>
                <w:color w:val="000000"/>
                <w:sz w:val="18"/>
                <w:szCs w:val="22"/>
                <w:lang w:val="es-GT" w:eastAsia="es-GT"/>
              </w:rPr>
            </w:pPr>
            <w:r w:rsidRPr="00FD25E1">
              <w:rPr>
                <w:color w:val="000000"/>
                <w:sz w:val="18"/>
                <w:szCs w:val="22"/>
                <w:lang w:val="es-GT" w:eastAsia="es-GT"/>
              </w:rPr>
              <w:t> </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Canje de Deuda</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0.0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0.8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0.8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Ingresos IVA-Paz</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4,874.9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4,841.2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-33.6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-0.7%</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15.0%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Aportes Constitucional</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3,279.8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3,225.4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-54.3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-1.7%</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Recursos Afectación Específica</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1,185.7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1,049.8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-135.9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-11.5%</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3.3%</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Ingresos Propios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254.2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224.0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-30.2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-11.9%</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0.7%</w:t>
            </w:r>
          </w:p>
        </w:tc>
      </w:tr>
      <w:tr w:rsidR="00C6012B" w:rsidRPr="00FD25E1" w:rsidTr="00831667">
        <w:trPr>
          <w:trHeight w:val="300"/>
          <w:jc w:val="center"/>
        </w:trPr>
        <w:tc>
          <w:tcPr>
            <w:tcW w:w="2789" w:type="dxa"/>
            <w:tcBorders>
              <w:top w:val="nil"/>
              <w:left w:val="single" w:sz="8" w:space="0" w:color="auto"/>
              <w:bottom w:val="single" w:sz="4" w:space="0" w:color="auto"/>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Caja Ingresos Propios</w:t>
            </w:r>
          </w:p>
        </w:tc>
        <w:tc>
          <w:tcPr>
            <w:tcW w:w="1216" w:type="dxa"/>
            <w:tcBorders>
              <w:top w:val="nil"/>
              <w:left w:val="single" w:sz="4" w:space="0" w:color="auto"/>
              <w:bottom w:val="single" w:sz="4" w:space="0" w:color="auto"/>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27.3 </w:t>
            </w:r>
          </w:p>
        </w:tc>
        <w:tc>
          <w:tcPr>
            <w:tcW w:w="1276" w:type="dxa"/>
            <w:tcBorders>
              <w:top w:val="nil"/>
              <w:left w:val="nil"/>
              <w:bottom w:val="single" w:sz="4" w:space="0" w:color="auto"/>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276.1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248.7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910.8%</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0.9%</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BC6DA8">
            <w:pPr>
              <w:rPr>
                <w:b/>
                <w:bCs/>
                <w:color w:val="000000"/>
                <w:sz w:val="18"/>
                <w:szCs w:val="22"/>
                <w:lang w:val="es-GT" w:eastAsia="es-GT"/>
              </w:rPr>
            </w:pPr>
            <w:r w:rsidRPr="00FD25E1">
              <w:rPr>
                <w:b/>
                <w:bCs/>
                <w:color w:val="000000"/>
                <w:sz w:val="18"/>
                <w:szCs w:val="22"/>
                <w:lang w:val="es-GT" w:eastAsia="es-GT"/>
              </w:rPr>
              <w:t xml:space="preserve">Total </w:t>
            </w:r>
            <w:r w:rsidR="00BC6DA8">
              <w:rPr>
                <w:b/>
                <w:bCs/>
                <w:color w:val="000000"/>
                <w:sz w:val="18"/>
                <w:szCs w:val="22"/>
                <w:lang w:val="es-GT" w:eastAsia="es-GT"/>
              </w:rPr>
              <w:t>F</w:t>
            </w:r>
            <w:r w:rsidRPr="00FD25E1">
              <w:rPr>
                <w:b/>
                <w:bCs/>
                <w:color w:val="000000"/>
                <w:sz w:val="18"/>
                <w:szCs w:val="22"/>
                <w:lang w:val="es-GT" w:eastAsia="es-GT"/>
              </w:rPr>
              <w:t xml:space="preserve">uentes de </w:t>
            </w:r>
            <w:r w:rsidR="00BC6DA8">
              <w:rPr>
                <w:b/>
                <w:bCs/>
                <w:color w:val="000000"/>
                <w:sz w:val="18"/>
                <w:szCs w:val="22"/>
                <w:lang w:val="es-GT" w:eastAsia="es-GT"/>
              </w:rPr>
              <w:t>D</w:t>
            </w:r>
            <w:r w:rsidRPr="00FD25E1">
              <w:rPr>
                <w:b/>
                <w:bCs/>
                <w:color w:val="000000"/>
                <w:sz w:val="18"/>
                <w:szCs w:val="22"/>
                <w:lang w:val="es-GT" w:eastAsia="es-GT"/>
              </w:rPr>
              <w:t>euda</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11,069.8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9,149.2 </w:t>
            </w:r>
          </w:p>
        </w:tc>
        <w:tc>
          <w:tcPr>
            <w:tcW w:w="1134" w:type="dxa"/>
            <w:tcBorders>
              <w:top w:val="single" w:sz="4" w:space="0" w:color="auto"/>
              <w:left w:val="nil"/>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-1,920.6 </w:t>
            </w:r>
          </w:p>
        </w:tc>
        <w:tc>
          <w:tcPr>
            <w:tcW w:w="1276" w:type="dxa"/>
            <w:tcBorders>
              <w:top w:val="single" w:sz="4" w:space="0" w:color="auto"/>
              <w:left w:val="nil"/>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-17.3%</w:t>
            </w:r>
          </w:p>
        </w:tc>
        <w:tc>
          <w:tcPr>
            <w:tcW w:w="1452" w:type="dxa"/>
            <w:tcBorders>
              <w:top w:val="single" w:sz="4" w:space="0" w:color="auto"/>
              <w:left w:val="single" w:sz="8" w:space="0" w:color="auto"/>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22.1%</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Colocaciones Internas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7,644.3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7,944.7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300.4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3.9%</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86.8%</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Caja Colocaciones Internas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20.0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840.7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820.7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4098.2%</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9.2%</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Colocaciones Externas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2,614.7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rPr>
                <w:color w:val="000000"/>
                <w:sz w:val="18"/>
                <w:szCs w:val="22"/>
                <w:lang w:val="es-GT" w:eastAsia="es-GT"/>
              </w:rPr>
            </w:pPr>
            <w:r w:rsidRPr="00FD25E1">
              <w:rPr>
                <w:color w:val="000000"/>
                <w:sz w:val="18"/>
                <w:szCs w:val="22"/>
                <w:lang w:val="es-GT" w:eastAsia="es-GT"/>
              </w:rPr>
              <w:t>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-2,614.7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-100.0%</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Préstamos Externos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624.0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319.3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-304.7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-48.8%</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3.5%</w:t>
            </w:r>
          </w:p>
        </w:tc>
      </w:tr>
      <w:tr w:rsidR="00C6012B" w:rsidRPr="00FD25E1" w:rsidTr="00831667">
        <w:trPr>
          <w:trHeight w:val="300"/>
          <w:jc w:val="center"/>
        </w:trPr>
        <w:tc>
          <w:tcPr>
            <w:tcW w:w="2789" w:type="dxa"/>
            <w:tcBorders>
              <w:top w:val="nil"/>
              <w:left w:val="single" w:sz="8" w:space="0" w:color="auto"/>
              <w:bottom w:val="single" w:sz="4" w:space="0" w:color="auto"/>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Caja Colocaciones Externas</w:t>
            </w:r>
          </w:p>
        </w:tc>
        <w:tc>
          <w:tcPr>
            <w:tcW w:w="1216" w:type="dxa"/>
            <w:tcBorders>
              <w:top w:val="nil"/>
              <w:left w:val="single" w:sz="4" w:space="0" w:color="auto"/>
              <w:bottom w:val="single" w:sz="4" w:space="0" w:color="auto"/>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166.8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44.5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-122.3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-73.3%</w:t>
            </w:r>
          </w:p>
        </w:tc>
        <w:tc>
          <w:tcPr>
            <w:tcW w:w="1452" w:type="dxa"/>
            <w:tcBorders>
              <w:top w:val="nil"/>
              <w:left w:val="nil"/>
              <w:bottom w:val="single" w:sz="4" w:space="0" w:color="auto"/>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0.5%</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BC6DA8">
            <w:pPr>
              <w:rPr>
                <w:b/>
                <w:bCs/>
                <w:color w:val="000000"/>
                <w:sz w:val="18"/>
                <w:szCs w:val="22"/>
                <w:lang w:val="es-GT" w:eastAsia="es-GT"/>
              </w:rPr>
            </w:pPr>
            <w:r w:rsidRPr="00FD25E1">
              <w:rPr>
                <w:b/>
                <w:bCs/>
                <w:color w:val="000000"/>
                <w:sz w:val="18"/>
                <w:szCs w:val="22"/>
                <w:lang w:val="es-GT" w:eastAsia="es-GT"/>
              </w:rPr>
              <w:t xml:space="preserve">Total </w:t>
            </w:r>
            <w:r w:rsidR="00BC6DA8">
              <w:rPr>
                <w:b/>
                <w:bCs/>
                <w:color w:val="000000"/>
                <w:sz w:val="18"/>
                <w:szCs w:val="22"/>
                <w:lang w:val="es-GT" w:eastAsia="es-GT"/>
              </w:rPr>
              <w:t>D</w:t>
            </w:r>
            <w:r w:rsidRPr="00FD25E1">
              <w:rPr>
                <w:b/>
                <w:bCs/>
                <w:color w:val="000000"/>
                <w:sz w:val="18"/>
                <w:szCs w:val="22"/>
                <w:lang w:val="es-GT" w:eastAsia="es-GT"/>
              </w:rPr>
              <w:t>onaciones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25.0 </w:t>
            </w:r>
          </w:p>
        </w:tc>
        <w:tc>
          <w:tcPr>
            <w:tcW w:w="1276" w:type="dxa"/>
            <w:tcBorders>
              <w:top w:val="single" w:sz="4" w:space="0" w:color="auto"/>
              <w:left w:val="nil"/>
              <w:bottom w:val="nil"/>
              <w:right w:val="single" w:sz="4"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58.8 </w:t>
            </w:r>
          </w:p>
        </w:tc>
        <w:tc>
          <w:tcPr>
            <w:tcW w:w="1134" w:type="dxa"/>
            <w:tcBorders>
              <w:top w:val="single" w:sz="4" w:space="0" w:color="auto"/>
              <w:left w:val="nil"/>
              <w:bottom w:val="nil"/>
              <w:right w:val="nil"/>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 xml:space="preserve">33.7 </w:t>
            </w:r>
          </w:p>
        </w:tc>
        <w:tc>
          <w:tcPr>
            <w:tcW w:w="1276" w:type="dxa"/>
            <w:tcBorders>
              <w:top w:val="single" w:sz="4" w:space="0" w:color="auto"/>
              <w:left w:val="nil"/>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134.7%</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b/>
                <w:bCs/>
                <w:color w:val="000000"/>
                <w:sz w:val="18"/>
                <w:szCs w:val="22"/>
                <w:lang w:val="es-GT" w:eastAsia="es-GT"/>
              </w:rPr>
            </w:pPr>
            <w:r w:rsidRPr="00FD25E1">
              <w:rPr>
                <w:b/>
                <w:bCs/>
                <w:color w:val="000000"/>
                <w:sz w:val="18"/>
                <w:szCs w:val="22"/>
                <w:lang w:val="es-GT" w:eastAsia="es-GT"/>
              </w:rPr>
              <w:t>0.14%</w:t>
            </w:r>
          </w:p>
        </w:tc>
      </w:tr>
      <w:tr w:rsidR="00C6012B" w:rsidRPr="00FD25E1" w:rsidTr="00831667">
        <w:trPr>
          <w:trHeight w:val="300"/>
          <w:jc w:val="center"/>
        </w:trPr>
        <w:tc>
          <w:tcPr>
            <w:tcW w:w="2789" w:type="dxa"/>
            <w:tcBorders>
              <w:top w:val="nil"/>
              <w:left w:val="single" w:sz="8" w:space="0" w:color="auto"/>
              <w:bottom w:val="nil"/>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Donaciones Externas</w:t>
            </w:r>
          </w:p>
        </w:tc>
        <w:tc>
          <w:tcPr>
            <w:tcW w:w="1216" w:type="dxa"/>
            <w:tcBorders>
              <w:top w:val="nil"/>
              <w:left w:val="single" w:sz="4" w:space="0" w:color="auto"/>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19.3 </w:t>
            </w:r>
          </w:p>
        </w:tc>
        <w:tc>
          <w:tcPr>
            <w:tcW w:w="1276" w:type="dxa"/>
            <w:tcBorders>
              <w:top w:val="nil"/>
              <w:left w:val="nil"/>
              <w:bottom w:val="nil"/>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54.4 </w:t>
            </w:r>
          </w:p>
        </w:tc>
        <w:tc>
          <w:tcPr>
            <w:tcW w:w="1134" w:type="dxa"/>
            <w:tcBorders>
              <w:top w:val="nil"/>
              <w:left w:val="nil"/>
              <w:bottom w:val="nil"/>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35.0 </w:t>
            </w:r>
          </w:p>
        </w:tc>
        <w:tc>
          <w:tcPr>
            <w:tcW w:w="1276"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181.1%</w:t>
            </w:r>
          </w:p>
        </w:tc>
        <w:tc>
          <w:tcPr>
            <w:tcW w:w="1452" w:type="dxa"/>
            <w:tcBorders>
              <w:top w:val="nil"/>
              <w:left w:val="nil"/>
              <w:bottom w:val="nil"/>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0.1%</w:t>
            </w:r>
          </w:p>
        </w:tc>
      </w:tr>
      <w:tr w:rsidR="00C6012B" w:rsidRPr="00FD25E1" w:rsidTr="00831667">
        <w:trPr>
          <w:trHeight w:val="315"/>
          <w:jc w:val="center"/>
        </w:trPr>
        <w:tc>
          <w:tcPr>
            <w:tcW w:w="2789" w:type="dxa"/>
            <w:tcBorders>
              <w:top w:val="nil"/>
              <w:left w:val="single" w:sz="8" w:space="0" w:color="auto"/>
              <w:bottom w:val="single" w:sz="8" w:space="0" w:color="auto"/>
              <w:right w:val="single" w:sz="4" w:space="0" w:color="auto"/>
            </w:tcBorders>
            <w:shd w:val="clear" w:color="000000" w:fill="FFFFFF"/>
            <w:noWrap/>
            <w:vAlign w:val="bottom"/>
            <w:hideMark/>
          </w:tcPr>
          <w:p w:rsidR="00C6012B" w:rsidRPr="00FD25E1" w:rsidRDefault="00C6012B" w:rsidP="00C6012B">
            <w:pPr>
              <w:ind w:firstLineChars="200" w:firstLine="360"/>
              <w:rPr>
                <w:color w:val="000000"/>
                <w:sz w:val="18"/>
                <w:szCs w:val="22"/>
                <w:lang w:val="es-GT" w:eastAsia="es-GT"/>
              </w:rPr>
            </w:pPr>
            <w:r w:rsidRPr="00FD25E1">
              <w:rPr>
                <w:color w:val="000000"/>
                <w:sz w:val="18"/>
                <w:szCs w:val="22"/>
                <w:lang w:val="es-GT" w:eastAsia="es-GT"/>
              </w:rPr>
              <w:t>Donaciones Internas</w:t>
            </w:r>
          </w:p>
        </w:tc>
        <w:tc>
          <w:tcPr>
            <w:tcW w:w="1216" w:type="dxa"/>
            <w:tcBorders>
              <w:top w:val="nil"/>
              <w:left w:val="single" w:sz="4" w:space="0" w:color="auto"/>
              <w:bottom w:val="single" w:sz="8" w:space="0" w:color="auto"/>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5.7 </w:t>
            </w:r>
          </w:p>
        </w:tc>
        <w:tc>
          <w:tcPr>
            <w:tcW w:w="1276" w:type="dxa"/>
            <w:tcBorders>
              <w:top w:val="nil"/>
              <w:left w:val="nil"/>
              <w:bottom w:val="single" w:sz="8" w:space="0" w:color="auto"/>
              <w:right w:val="single" w:sz="4"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4.4 </w:t>
            </w:r>
          </w:p>
        </w:tc>
        <w:tc>
          <w:tcPr>
            <w:tcW w:w="1134" w:type="dxa"/>
            <w:tcBorders>
              <w:top w:val="nil"/>
              <w:left w:val="nil"/>
              <w:bottom w:val="single" w:sz="8" w:space="0" w:color="auto"/>
              <w:right w:val="nil"/>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 xml:space="preserve">-1.3 </w:t>
            </w:r>
          </w:p>
        </w:tc>
        <w:tc>
          <w:tcPr>
            <w:tcW w:w="1276" w:type="dxa"/>
            <w:tcBorders>
              <w:top w:val="nil"/>
              <w:left w:val="nil"/>
              <w:bottom w:val="single" w:sz="8" w:space="0" w:color="auto"/>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-22.8%</w:t>
            </w:r>
          </w:p>
        </w:tc>
        <w:tc>
          <w:tcPr>
            <w:tcW w:w="1452" w:type="dxa"/>
            <w:tcBorders>
              <w:top w:val="nil"/>
              <w:left w:val="nil"/>
              <w:bottom w:val="single" w:sz="8" w:space="0" w:color="auto"/>
              <w:right w:val="single" w:sz="8" w:space="0" w:color="auto"/>
            </w:tcBorders>
            <w:shd w:val="clear" w:color="000000" w:fill="FFFFFF"/>
            <w:noWrap/>
            <w:vAlign w:val="bottom"/>
            <w:hideMark/>
          </w:tcPr>
          <w:p w:rsidR="00C6012B" w:rsidRPr="00FD25E1" w:rsidRDefault="00C6012B" w:rsidP="00C6012B">
            <w:pPr>
              <w:jc w:val="right"/>
              <w:rPr>
                <w:color w:val="000000"/>
                <w:sz w:val="18"/>
                <w:szCs w:val="22"/>
                <w:lang w:val="es-GT" w:eastAsia="es-GT"/>
              </w:rPr>
            </w:pPr>
            <w:r w:rsidRPr="00FD25E1">
              <w:rPr>
                <w:color w:val="000000"/>
                <w:sz w:val="18"/>
                <w:szCs w:val="22"/>
                <w:lang w:val="es-GT" w:eastAsia="es-GT"/>
              </w:rPr>
              <w:t>0.0%</w:t>
            </w:r>
          </w:p>
        </w:tc>
      </w:tr>
    </w:tbl>
    <w:p w:rsidR="00C6012B" w:rsidRDefault="00C6012B" w:rsidP="00C6012B">
      <w:pPr>
        <w:rPr>
          <w:sz w:val="18"/>
          <w:lang w:val="es-MX"/>
        </w:rPr>
      </w:pPr>
      <w:r w:rsidRPr="00B55626">
        <w:rPr>
          <w:sz w:val="18"/>
          <w:lang w:val="es-MX"/>
        </w:rPr>
        <w:t>* Cifras preliminares</w:t>
      </w:r>
    </w:p>
    <w:p w:rsidR="00C6012B" w:rsidRPr="00B55626" w:rsidRDefault="00C6012B" w:rsidP="00C6012B">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C6012B" w:rsidRPr="0004318A" w:rsidRDefault="00C6012B" w:rsidP="00C6012B">
      <w:pPr>
        <w:jc w:val="both"/>
        <w:rPr>
          <w:sz w:val="32"/>
          <w:lang w:val="es-MX"/>
        </w:rPr>
      </w:pPr>
    </w:p>
    <w:p w:rsidR="00C6012B" w:rsidRDefault="00C6012B" w:rsidP="00C6012B">
      <w:pPr>
        <w:jc w:val="both"/>
        <w:rPr>
          <w:lang w:val="es-MX"/>
        </w:rPr>
      </w:pPr>
      <w:r>
        <w:rPr>
          <w:lang w:val="es-MX"/>
        </w:rPr>
        <w:t>Al observar las variaciones netas de la ejecución presupuestaria por entidad y fuente de financiamiento, las diferencias más importantes, se ubican en el Ministerio de Salud Pública y Asistencia Social con un monto de aumento de Q</w:t>
      </w:r>
      <w:r w:rsidR="00E04AE3">
        <w:rPr>
          <w:lang w:val="es-MX"/>
        </w:rPr>
        <w:t>.</w:t>
      </w:r>
      <w:r>
        <w:rPr>
          <w:lang w:val="es-MX"/>
        </w:rPr>
        <w:t>968.9 millones más a lo observado a junio de 2020</w:t>
      </w:r>
      <w:r w:rsidR="00E04AE3">
        <w:rPr>
          <w:lang w:val="es-MX"/>
        </w:rPr>
        <w:t>;</w:t>
      </w:r>
      <w:r>
        <w:rPr>
          <w:lang w:val="es-MX"/>
        </w:rPr>
        <w:t xml:space="preserve"> la</w:t>
      </w:r>
      <w:r w:rsidR="00E04AE3">
        <w:rPr>
          <w:lang w:val="es-MX"/>
        </w:rPr>
        <w:t>s</w:t>
      </w:r>
      <w:r>
        <w:rPr>
          <w:lang w:val="es-MX"/>
        </w:rPr>
        <w:t xml:space="preserve"> Obligaciones del Estado a Cargo del Tesoro reportan un aumento de Q</w:t>
      </w:r>
      <w:r w:rsidR="00E04AE3">
        <w:rPr>
          <w:lang w:val="es-MX"/>
        </w:rPr>
        <w:t>.</w:t>
      </w:r>
      <w:r>
        <w:rPr>
          <w:lang w:val="es-MX"/>
        </w:rPr>
        <w:t>422.3 millones, el Ministerio de Gobernación con Q</w:t>
      </w:r>
      <w:r w:rsidR="00E04AE3">
        <w:rPr>
          <w:lang w:val="es-MX"/>
        </w:rPr>
        <w:t>.</w:t>
      </w:r>
      <w:r>
        <w:rPr>
          <w:lang w:val="es-MX"/>
        </w:rPr>
        <w:t>229.8 millones, la Deuda Pública aumento en su ejecución con la fuente de recursos internos en Q</w:t>
      </w:r>
      <w:r w:rsidR="00E04AE3">
        <w:rPr>
          <w:lang w:val="es-MX"/>
        </w:rPr>
        <w:t>.</w:t>
      </w:r>
      <w:r>
        <w:rPr>
          <w:lang w:val="es-MX"/>
        </w:rPr>
        <w:t>206.9 millones y el Ministerio de Comunicaciones, Infraestructura y Vivienda con Q</w:t>
      </w:r>
      <w:r w:rsidR="00E04AE3">
        <w:rPr>
          <w:lang w:val="es-MX"/>
        </w:rPr>
        <w:t>.</w:t>
      </w:r>
      <w:r>
        <w:rPr>
          <w:lang w:val="es-MX"/>
        </w:rPr>
        <w:t>68.4 millones, entre los mayores montos, posteriormente aparece el Ministerio de Agricultura, Ganadería y Alimentación con un monto de Q</w:t>
      </w:r>
      <w:r w:rsidR="00E04AE3">
        <w:rPr>
          <w:lang w:val="es-MX"/>
        </w:rPr>
        <w:t>.</w:t>
      </w:r>
      <w:r>
        <w:rPr>
          <w:lang w:val="es-MX"/>
        </w:rPr>
        <w:t>37.4 millones, mientras el resto de diferencias se ubican por debajo.</w:t>
      </w:r>
    </w:p>
    <w:p w:rsidR="00C6012B" w:rsidRDefault="00C6012B" w:rsidP="00C6012B">
      <w:pPr>
        <w:jc w:val="both"/>
        <w:rPr>
          <w:sz w:val="32"/>
          <w:lang w:val="es-MX"/>
        </w:rPr>
      </w:pPr>
    </w:p>
    <w:p w:rsidR="0004318A" w:rsidRDefault="0004318A" w:rsidP="00C6012B">
      <w:pPr>
        <w:jc w:val="both"/>
        <w:rPr>
          <w:sz w:val="32"/>
          <w:lang w:val="es-MX"/>
        </w:rPr>
      </w:pPr>
    </w:p>
    <w:p w:rsidR="0004318A" w:rsidRPr="0004318A" w:rsidRDefault="0004318A" w:rsidP="00C6012B">
      <w:pPr>
        <w:jc w:val="both"/>
        <w:rPr>
          <w:sz w:val="32"/>
          <w:lang w:val="es-MX"/>
        </w:rPr>
      </w:pPr>
    </w:p>
    <w:p w:rsidR="00C6012B" w:rsidRDefault="00C6012B" w:rsidP="00C6012B">
      <w:pPr>
        <w:jc w:val="both"/>
        <w:rPr>
          <w:lang w:val="es-MX"/>
        </w:rPr>
      </w:pPr>
      <w:r>
        <w:rPr>
          <w:lang w:val="es-MX"/>
        </w:rPr>
        <w:lastRenderedPageBreak/>
        <w:t>Dentro de la ejecución presupuestaria con fuentes provenientes de la Deuda Pública, se ubica en primer lugar, los recursos destinados al pago de la Deuda Pública, que en ambos años se observa que la mayor cantidad de la ejecución se destin</w:t>
      </w:r>
      <w:r w:rsidR="00E04AE3">
        <w:rPr>
          <w:lang w:val="es-MX"/>
        </w:rPr>
        <w:t>ó</w:t>
      </w:r>
      <w:r>
        <w:rPr>
          <w:lang w:val="es-MX"/>
        </w:rPr>
        <w:t xml:space="preserve"> al pago de la deuda con un amento de Q</w:t>
      </w:r>
      <w:r w:rsidR="00E04AE3">
        <w:rPr>
          <w:lang w:val="es-MX"/>
        </w:rPr>
        <w:t>.</w:t>
      </w:r>
      <w:r>
        <w:rPr>
          <w:lang w:val="es-MX"/>
        </w:rPr>
        <w:t>506.0 millones, al pasar de Q</w:t>
      </w:r>
      <w:r w:rsidR="00E04AE3">
        <w:rPr>
          <w:lang w:val="es-MX"/>
        </w:rPr>
        <w:t>.</w:t>
      </w:r>
      <w:r>
        <w:rPr>
          <w:lang w:val="es-MX"/>
        </w:rPr>
        <w:t>4,805.0 millones en 2020 a Q</w:t>
      </w:r>
      <w:r w:rsidR="00E04AE3">
        <w:rPr>
          <w:lang w:val="es-MX"/>
        </w:rPr>
        <w:t>.</w:t>
      </w:r>
      <w:r>
        <w:rPr>
          <w:lang w:val="es-MX"/>
        </w:rPr>
        <w:t>5,311.0 millones a junio de 2021</w:t>
      </w:r>
      <w:r w:rsidR="00E04AE3">
        <w:rPr>
          <w:lang w:val="es-MX"/>
        </w:rPr>
        <w:t>;</w:t>
      </w:r>
      <w:r>
        <w:rPr>
          <w:lang w:val="es-MX"/>
        </w:rPr>
        <w:t xml:space="preserve"> para 2020 se destinó el 43.4% del total ejecutado y para el 2021 a junio significa el 58.0%. El Ministerio de Comunicaciones</w:t>
      </w:r>
      <w:r w:rsidR="00E04AE3">
        <w:rPr>
          <w:lang w:val="es-MX"/>
        </w:rPr>
        <w:t>, Infraestructura y Vivienda</w:t>
      </w:r>
      <w:r>
        <w:rPr>
          <w:lang w:val="es-MX"/>
        </w:rPr>
        <w:t xml:space="preserve"> aumentó su ejecución con recursos de deuda pública en Q</w:t>
      </w:r>
      <w:r w:rsidR="00E04AE3">
        <w:rPr>
          <w:lang w:val="es-MX"/>
        </w:rPr>
        <w:t>.</w:t>
      </w:r>
      <w:r>
        <w:rPr>
          <w:lang w:val="es-MX"/>
        </w:rPr>
        <w:t>448.6 millones, el Ministerio de Salud</w:t>
      </w:r>
      <w:r w:rsidR="00E04AE3">
        <w:rPr>
          <w:lang w:val="es-MX"/>
        </w:rPr>
        <w:t xml:space="preserve"> Pública y Asistencia Social</w:t>
      </w:r>
      <w:r>
        <w:rPr>
          <w:lang w:val="es-MX"/>
        </w:rPr>
        <w:t xml:space="preserve"> con Q</w:t>
      </w:r>
      <w:r w:rsidR="00E04AE3">
        <w:rPr>
          <w:lang w:val="es-MX"/>
        </w:rPr>
        <w:t>.</w:t>
      </w:r>
      <w:r>
        <w:rPr>
          <w:lang w:val="es-MX"/>
        </w:rPr>
        <w:t>589.6 millones más a lo observado en 2020.</w:t>
      </w:r>
    </w:p>
    <w:p w:rsidR="00C6012B" w:rsidRPr="0004318A" w:rsidRDefault="00C6012B" w:rsidP="00C6012B">
      <w:pPr>
        <w:jc w:val="both"/>
        <w:rPr>
          <w:sz w:val="32"/>
          <w:lang w:val="es-MX"/>
        </w:rPr>
      </w:pPr>
    </w:p>
    <w:p w:rsidR="00C6012B" w:rsidRPr="00451BC5" w:rsidRDefault="00C6012B" w:rsidP="00C6012B">
      <w:pPr>
        <w:jc w:val="center"/>
        <w:rPr>
          <w:b/>
          <w:szCs w:val="22"/>
          <w:lang w:val="es-MX"/>
        </w:rPr>
      </w:pPr>
      <w:r w:rsidRPr="00451BC5">
        <w:rPr>
          <w:b/>
          <w:szCs w:val="22"/>
          <w:lang w:val="es-MX"/>
        </w:rPr>
        <w:t xml:space="preserve">Cuadro </w:t>
      </w:r>
      <w:r w:rsidR="008B5E5C">
        <w:rPr>
          <w:b/>
          <w:szCs w:val="22"/>
          <w:lang w:val="es-MX"/>
        </w:rPr>
        <w:t>8</w:t>
      </w:r>
    </w:p>
    <w:p w:rsidR="00C6012B" w:rsidRPr="00451BC5" w:rsidRDefault="00C6012B" w:rsidP="00C6012B">
      <w:pPr>
        <w:jc w:val="center"/>
        <w:rPr>
          <w:b/>
          <w:szCs w:val="22"/>
          <w:lang w:val="es-MX"/>
        </w:rPr>
      </w:pPr>
      <w:r w:rsidRPr="00451BC5">
        <w:rPr>
          <w:b/>
          <w:szCs w:val="22"/>
          <w:lang w:val="es-MX"/>
        </w:rPr>
        <w:t>Ejecución Presupuestaria por Fuente de Financiamiento</w:t>
      </w:r>
    </w:p>
    <w:p w:rsidR="00C6012B" w:rsidRPr="00451BC5" w:rsidRDefault="00C6012B" w:rsidP="00C6012B">
      <w:pPr>
        <w:jc w:val="center"/>
        <w:rPr>
          <w:b/>
          <w:szCs w:val="22"/>
          <w:lang w:val="es-MX"/>
        </w:rPr>
      </w:pPr>
      <w:r w:rsidRPr="00451BC5">
        <w:rPr>
          <w:b/>
          <w:szCs w:val="22"/>
          <w:lang w:val="es-MX"/>
        </w:rPr>
        <w:t>Al 30 de junio de 20</w:t>
      </w:r>
      <w:r>
        <w:rPr>
          <w:b/>
          <w:szCs w:val="22"/>
          <w:lang w:val="es-MX"/>
        </w:rPr>
        <w:t>20</w:t>
      </w:r>
      <w:r w:rsidRPr="00451BC5">
        <w:rPr>
          <w:b/>
          <w:szCs w:val="22"/>
          <w:lang w:val="es-MX"/>
        </w:rPr>
        <w:t xml:space="preserve"> - 202</w:t>
      </w:r>
      <w:r>
        <w:rPr>
          <w:b/>
          <w:szCs w:val="22"/>
          <w:lang w:val="es-MX"/>
        </w:rPr>
        <w:t>1</w:t>
      </w:r>
      <w:r w:rsidRPr="00451BC5">
        <w:rPr>
          <w:b/>
          <w:szCs w:val="22"/>
          <w:lang w:val="es-MX"/>
        </w:rPr>
        <w:t>*</w:t>
      </w:r>
    </w:p>
    <w:p w:rsidR="00C6012B" w:rsidRPr="00451BC5" w:rsidRDefault="00C6012B" w:rsidP="00C6012B">
      <w:pPr>
        <w:jc w:val="center"/>
        <w:rPr>
          <w:b/>
          <w:szCs w:val="22"/>
          <w:lang w:val="es-MX"/>
        </w:rPr>
      </w:pPr>
      <w:r w:rsidRPr="00451BC5">
        <w:rPr>
          <w:b/>
          <w:szCs w:val="22"/>
          <w:lang w:val="es-MX"/>
        </w:rPr>
        <w:t>(</w:t>
      </w:r>
      <w:r>
        <w:rPr>
          <w:b/>
          <w:szCs w:val="22"/>
          <w:lang w:val="es-MX"/>
        </w:rPr>
        <w:t xml:space="preserve">En </w:t>
      </w:r>
      <w:r w:rsidRPr="00451BC5">
        <w:rPr>
          <w:b/>
          <w:szCs w:val="22"/>
          <w:lang w:val="es-MX"/>
        </w:rPr>
        <w:t>Millones de Quetzales)</w:t>
      </w:r>
    </w:p>
    <w:tbl>
      <w:tblPr>
        <w:tblW w:w="0" w:type="auto"/>
        <w:jc w:val="center"/>
        <w:tblCellMar>
          <w:left w:w="70" w:type="dxa"/>
          <w:right w:w="70" w:type="dxa"/>
        </w:tblCellMar>
        <w:tblLook w:val="04A0" w:firstRow="1" w:lastRow="0" w:firstColumn="1" w:lastColumn="0" w:noHBand="0" w:noVBand="1"/>
      </w:tblPr>
      <w:tblGrid>
        <w:gridCol w:w="1434"/>
        <w:gridCol w:w="843"/>
        <w:gridCol w:w="844"/>
        <w:gridCol w:w="983"/>
        <w:gridCol w:w="983"/>
        <w:gridCol w:w="984"/>
        <w:gridCol w:w="702"/>
        <w:gridCol w:w="844"/>
        <w:gridCol w:w="703"/>
        <w:gridCol w:w="732"/>
      </w:tblGrid>
      <w:tr w:rsidR="00C6012B" w:rsidRPr="00864C0E" w:rsidTr="004370DA">
        <w:trPr>
          <w:trHeight w:val="278"/>
          <w:jc w:val="center"/>
        </w:trPr>
        <w:tc>
          <w:tcPr>
            <w:tcW w:w="1449" w:type="dxa"/>
            <w:vMerge w:val="restart"/>
            <w:tcBorders>
              <w:top w:val="single" w:sz="8" w:space="0" w:color="auto"/>
              <w:left w:val="single" w:sz="8" w:space="0" w:color="auto"/>
              <w:bottom w:val="single" w:sz="4" w:space="0" w:color="000000"/>
              <w:right w:val="single" w:sz="4" w:space="0" w:color="auto"/>
            </w:tcBorders>
            <w:shd w:val="clear" w:color="auto" w:fill="00B0F0"/>
            <w:vAlign w:val="center"/>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Entidad</w:t>
            </w:r>
          </w:p>
        </w:tc>
        <w:tc>
          <w:tcPr>
            <w:tcW w:w="2693" w:type="dxa"/>
            <w:gridSpan w:val="3"/>
            <w:tcBorders>
              <w:top w:val="single" w:sz="8" w:space="0" w:color="auto"/>
              <w:left w:val="single" w:sz="4" w:space="0" w:color="auto"/>
              <w:bottom w:val="single" w:sz="4" w:space="0" w:color="auto"/>
              <w:right w:val="single" w:sz="4" w:space="0" w:color="000000"/>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Fuentes Internas</w:t>
            </w:r>
          </w:p>
        </w:tc>
        <w:tc>
          <w:tcPr>
            <w:tcW w:w="2693" w:type="dxa"/>
            <w:gridSpan w:val="3"/>
            <w:tcBorders>
              <w:top w:val="single" w:sz="8" w:space="0" w:color="auto"/>
              <w:left w:val="nil"/>
              <w:bottom w:val="single" w:sz="4" w:space="0" w:color="auto"/>
              <w:right w:val="nil"/>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Deuda Pública</w:t>
            </w:r>
          </w:p>
        </w:tc>
        <w:tc>
          <w:tcPr>
            <w:tcW w:w="2298" w:type="dxa"/>
            <w:gridSpan w:val="3"/>
            <w:tcBorders>
              <w:top w:val="single" w:sz="8" w:space="0" w:color="auto"/>
              <w:left w:val="single" w:sz="4" w:space="0" w:color="auto"/>
              <w:bottom w:val="single" w:sz="4" w:space="0" w:color="auto"/>
              <w:right w:val="single" w:sz="8" w:space="0" w:color="000000"/>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Donaciones</w:t>
            </w:r>
          </w:p>
        </w:tc>
      </w:tr>
      <w:tr w:rsidR="00E04AE3" w:rsidRPr="00864C0E" w:rsidTr="004370DA">
        <w:trPr>
          <w:trHeight w:val="278"/>
          <w:jc w:val="center"/>
        </w:trPr>
        <w:tc>
          <w:tcPr>
            <w:tcW w:w="1449" w:type="dxa"/>
            <w:vMerge/>
            <w:tcBorders>
              <w:top w:val="single" w:sz="8" w:space="0" w:color="auto"/>
              <w:left w:val="single" w:sz="8" w:space="0" w:color="auto"/>
              <w:bottom w:val="single" w:sz="4" w:space="0" w:color="000000"/>
              <w:right w:val="single" w:sz="4" w:space="0" w:color="auto"/>
            </w:tcBorders>
            <w:shd w:val="clear" w:color="auto" w:fill="00B0F0"/>
            <w:vAlign w:val="center"/>
            <w:hideMark/>
          </w:tcPr>
          <w:p w:rsidR="00C6012B" w:rsidRPr="00864C0E" w:rsidRDefault="00C6012B" w:rsidP="00C6012B">
            <w:pPr>
              <w:rPr>
                <w:b/>
                <w:bCs/>
                <w:color w:val="000000"/>
                <w:sz w:val="16"/>
                <w:szCs w:val="18"/>
                <w:lang w:val="es-GT" w:eastAsia="es-GT"/>
              </w:rPr>
            </w:pPr>
          </w:p>
        </w:tc>
        <w:tc>
          <w:tcPr>
            <w:tcW w:w="850" w:type="dxa"/>
            <w:tcBorders>
              <w:top w:val="nil"/>
              <w:left w:val="single" w:sz="4" w:space="0" w:color="auto"/>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w:t>
            </w:r>
            <w:r w:rsidR="00E04AE3">
              <w:rPr>
                <w:b/>
                <w:bCs/>
                <w:color w:val="000000"/>
                <w:sz w:val="16"/>
                <w:szCs w:val="18"/>
                <w:lang w:val="es-GT" w:eastAsia="es-GT"/>
              </w:rPr>
              <w:t>20</w:t>
            </w:r>
          </w:p>
        </w:tc>
        <w:tc>
          <w:tcPr>
            <w:tcW w:w="851" w:type="dxa"/>
            <w:tcBorders>
              <w:top w:val="nil"/>
              <w:left w:val="nil"/>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202</w:t>
            </w:r>
            <w:r w:rsidR="00E04AE3">
              <w:rPr>
                <w:b/>
                <w:bCs/>
                <w:color w:val="000000"/>
                <w:sz w:val="16"/>
                <w:szCs w:val="18"/>
                <w:lang w:val="es-GT" w:eastAsia="es-GT"/>
              </w:rPr>
              <w:t>1</w:t>
            </w:r>
          </w:p>
        </w:tc>
        <w:tc>
          <w:tcPr>
            <w:tcW w:w="992" w:type="dxa"/>
            <w:tcBorders>
              <w:top w:val="nil"/>
              <w:left w:val="nil"/>
              <w:bottom w:val="single" w:sz="4" w:space="0" w:color="auto"/>
              <w:right w:val="single" w:sz="4" w:space="0" w:color="auto"/>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Difer</w:t>
            </w:r>
          </w:p>
        </w:tc>
        <w:tc>
          <w:tcPr>
            <w:tcW w:w="992" w:type="dxa"/>
            <w:tcBorders>
              <w:top w:val="nil"/>
              <w:left w:val="nil"/>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w:t>
            </w:r>
            <w:r w:rsidR="00E04AE3">
              <w:rPr>
                <w:b/>
                <w:bCs/>
                <w:color w:val="000000"/>
                <w:sz w:val="16"/>
                <w:szCs w:val="18"/>
                <w:lang w:val="es-GT" w:eastAsia="es-GT"/>
              </w:rPr>
              <w:t>20</w:t>
            </w:r>
          </w:p>
        </w:tc>
        <w:tc>
          <w:tcPr>
            <w:tcW w:w="993" w:type="dxa"/>
            <w:tcBorders>
              <w:top w:val="nil"/>
              <w:left w:val="nil"/>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202</w:t>
            </w:r>
            <w:r w:rsidR="00E04AE3">
              <w:rPr>
                <w:b/>
                <w:bCs/>
                <w:color w:val="000000"/>
                <w:sz w:val="16"/>
                <w:szCs w:val="18"/>
                <w:lang w:val="es-GT" w:eastAsia="es-GT"/>
              </w:rPr>
              <w:t>1</w:t>
            </w:r>
          </w:p>
        </w:tc>
        <w:tc>
          <w:tcPr>
            <w:tcW w:w="708" w:type="dxa"/>
            <w:tcBorders>
              <w:top w:val="nil"/>
              <w:left w:val="nil"/>
              <w:bottom w:val="single" w:sz="4" w:space="0" w:color="auto"/>
              <w:right w:val="nil"/>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Difer</w:t>
            </w:r>
          </w:p>
        </w:tc>
        <w:tc>
          <w:tcPr>
            <w:tcW w:w="851" w:type="dxa"/>
            <w:tcBorders>
              <w:top w:val="nil"/>
              <w:left w:val="single" w:sz="4" w:space="0" w:color="auto"/>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w:t>
            </w:r>
            <w:r w:rsidR="00E04AE3">
              <w:rPr>
                <w:b/>
                <w:bCs/>
                <w:color w:val="000000"/>
                <w:sz w:val="16"/>
                <w:szCs w:val="18"/>
                <w:lang w:val="es-GT" w:eastAsia="es-GT"/>
              </w:rPr>
              <w:t>20</w:t>
            </w:r>
          </w:p>
        </w:tc>
        <w:tc>
          <w:tcPr>
            <w:tcW w:w="709" w:type="dxa"/>
            <w:tcBorders>
              <w:top w:val="nil"/>
              <w:left w:val="nil"/>
              <w:bottom w:val="single" w:sz="4" w:space="0" w:color="auto"/>
              <w:right w:val="nil"/>
            </w:tcBorders>
            <w:shd w:val="clear" w:color="auto" w:fill="00B0F0"/>
            <w:noWrap/>
            <w:vAlign w:val="bottom"/>
            <w:hideMark/>
          </w:tcPr>
          <w:p w:rsidR="00C6012B" w:rsidRPr="00864C0E" w:rsidRDefault="00C6012B" w:rsidP="00E04AE3">
            <w:pPr>
              <w:jc w:val="center"/>
              <w:rPr>
                <w:b/>
                <w:bCs/>
                <w:color w:val="000000"/>
                <w:sz w:val="16"/>
                <w:szCs w:val="18"/>
                <w:lang w:val="es-GT" w:eastAsia="es-GT"/>
              </w:rPr>
            </w:pPr>
            <w:r w:rsidRPr="00864C0E">
              <w:rPr>
                <w:b/>
                <w:bCs/>
                <w:color w:val="000000"/>
                <w:sz w:val="16"/>
                <w:szCs w:val="18"/>
                <w:lang w:val="es-GT" w:eastAsia="es-GT"/>
              </w:rPr>
              <w:t>202</w:t>
            </w:r>
            <w:r w:rsidR="00E04AE3">
              <w:rPr>
                <w:b/>
                <w:bCs/>
                <w:color w:val="000000"/>
                <w:sz w:val="16"/>
                <w:szCs w:val="18"/>
                <w:lang w:val="es-GT" w:eastAsia="es-GT"/>
              </w:rPr>
              <w:t>1</w:t>
            </w:r>
          </w:p>
        </w:tc>
        <w:tc>
          <w:tcPr>
            <w:tcW w:w="738" w:type="dxa"/>
            <w:tcBorders>
              <w:top w:val="nil"/>
              <w:left w:val="nil"/>
              <w:bottom w:val="single" w:sz="4" w:space="0" w:color="auto"/>
              <w:right w:val="single" w:sz="8" w:space="0" w:color="auto"/>
            </w:tcBorders>
            <w:shd w:val="clear" w:color="auto" w:fill="00B0F0"/>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Difer</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jc w:val="center"/>
              <w:rPr>
                <w:b/>
                <w:bCs/>
                <w:color w:val="000000"/>
                <w:sz w:val="16"/>
                <w:szCs w:val="18"/>
                <w:lang w:val="es-GT" w:eastAsia="es-GT"/>
              </w:rPr>
            </w:pPr>
            <w:r w:rsidRPr="00864C0E">
              <w:rPr>
                <w:b/>
                <w:bCs/>
                <w:color w:val="000000"/>
                <w:sz w:val="16"/>
                <w:szCs w:val="18"/>
                <w:lang w:val="es-GT" w:eastAsia="es-GT"/>
              </w:rPr>
              <w:t>Totales</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30,201.4</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32,200.6</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1,999.2</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11,069.8</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9,149.2</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-1,920.6</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25.0</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58.8</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b/>
                <w:bCs/>
                <w:color w:val="000000"/>
                <w:sz w:val="16"/>
                <w:szCs w:val="18"/>
                <w:lang w:val="es-GT" w:eastAsia="es-GT"/>
              </w:rPr>
            </w:pPr>
            <w:r w:rsidRPr="00864C0E">
              <w:rPr>
                <w:b/>
                <w:bCs/>
                <w:color w:val="000000"/>
                <w:sz w:val="16"/>
                <w:szCs w:val="18"/>
                <w:lang w:val="es-GT" w:eastAsia="es-GT"/>
              </w:rPr>
              <w:t>33.7</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Presidencia</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93.4</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83.3</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-10.1</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Ex</w:t>
            </w:r>
            <w:r w:rsidR="00E04AE3">
              <w:rPr>
                <w:color w:val="000000"/>
                <w:sz w:val="16"/>
                <w:szCs w:val="18"/>
                <w:lang w:val="es-GT" w:eastAsia="es-GT"/>
              </w:rPr>
              <w:t>teriores</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212.0</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236.5</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24.5</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Gobernación</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2,244.6</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2,474.4</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229.8</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5.5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23.3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17.8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Defensa</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955.6</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987.4</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31.9</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10.4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13.3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2.9</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3.2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3.2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0.0</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Finanzas</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133.2</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131.1</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-2.0</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0.6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-0.6</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Educación</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7,940.6</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7,969.7</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29.1</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85.8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36.5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-49.3</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0.5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0.3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-0.1</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Salud</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3,242.8</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4,211.8</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968.9</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147.6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737.2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589.6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7.3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2.8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-4.5</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Trabajo</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58.9</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63.5</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4.6</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253.9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262.7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8.8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0.5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0.6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0.1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Economía</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109.3</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117.6</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8.3</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506.5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-506.5</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3.0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3.5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0.5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MAGA</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342.1</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379.5</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37.4</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3.0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76.4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73.4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0.3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0.4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0.2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CIV</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952.6</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1,021.0</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68.4</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1,168.6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1,617.1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448.6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0.9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1.6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0.7</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Energía y M</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29.3</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31.8</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2.5</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0.0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0.0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Cultura y D</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142.7</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181.3</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38.6</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0.2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3.9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3.8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Secretarías</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482.2</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462.2</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-20.1</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3.1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-3.1</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2.6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3.8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1.2</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Ambiente</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43.9</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57.5</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13.6</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2.1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4.9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2.8</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Obligaciones</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11,267.6</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11,689.9</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422.3</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2,329.3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961.0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-1,368.3</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4.0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37.6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33.6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Deuda</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1,564.9</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1,771.8</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206.9</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4,805.0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5,311.0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506.0</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78"/>
          <w:jc w:val="center"/>
        </w:trPr>
        <w:tc>
          <w:tcPr>
            <w:tcW w:w="1449" w:type="dxa"/>
            <w:tcBorders>
              <w:top w:val="nil"/>
              <w:left w:val="single" w:sz="8"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Desarrollo</w:t>
            </w:r>
          </w:p>
        </w:tc>
        <w:tc>
          <w:tcPr>
            <w:tcW w:w="850" w:type="dxa"/>
            <w:tcBorders>
              <w:top w:val="nil"/>
              <w:left w:val="single" w:sz="4" w:space="0" w:color="auto"/>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325.7</w:t>
            </w:r>
          </w:p>
        </w:tc>
        <w:tc>
          <w:tcPr>
            <w:tcW w:w="851"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265.7</w:t>
            </w:r>
          </w:p>
        </w:tc>
        <w:tc>
          <w:tcPr>
            <w:tcW w:w="992" w:type="dxa"/>
            <w:tcBorders>
              <w:top w:val="nil"/>
              <w:left w:val="nil"/>
              <w:bottom w:val="nil"/>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-60.0</w:t>
            </w:r>
          </w:p>
        </w:tc>
        <w:tc>
          <w:tcPr>
            <w:tcW w:w="992"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1,750.9 </w:t>
            </w:r>
          </w:p>
        </w:tc>
        <w:tc>
          <w:tcPr>
            <w:tcW w:w="993"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106.7 </w:t>
            </w:r>
          </w:p>
        </w:tc>
        <w:tc>
          <w:tcPr>
            <w:tcW w:w="708" w:type="dxa"/>
            <w:tcBorders>
              <w:top w:val="nil"/>
              <w:left w:val="nil"/>
              <w:bottom w:val="nil"/>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-1,644.2</w:t>
            </w:r>
          </w:p>
        </w:tc>
        <w:tc>
          <w:tcPr>
            <w:tcW w:w="851" w:type="dxa"/>
            <w:tcBorders>
              <w:top w:val="nil"/>
              <w:left w:val="single" w:sz="4" w:space="0" w:color="auto"/>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nil"/>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nil"/>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r w:rsidR="00E04AE3" w:rsidRPr="00864C0E" w:rsidTr="004370DA">
        <w:trPr>
          <w:trHeight w:val="292"/>
          <w:jc w:val="center"/>
        </w:trPr>
        <w:tc>
          <w:tcPr>
            <w:tcW w:w="1449" w:type="dxa"/>
            <w:tcBorders>
              <w:top w:val="nil"/>
              <w:left w:val="single" w:sz="8" w:space="0" w:color="auto"/>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PGN</w:t>
            </w:r>
          </w:p>
        </w:tc>
        <w:tc>
          <w:tcPr>
            <w:tcW w:w="850" w:type="dxa"/>
            <w:tcBorders>
              <w:top w:val="nil"/>
              <w:left w:val="single" w:sz="4" w:space="0" w:color="auto"/>
              <w:bottom w:val="single" w:sz="8" w:space="0" w:color="auto"/>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59.9</w:t>
            </w:r>
          </w:p>
        </w:tc>
        <w:tc>
          <w:tcPr>
            <w:tcW w:w="851" w:type="dxa"/>
            <w:tcBorders>
              <w:top w:val="nil"/>
              <w:left w:val="nil"/>
              <w:bottom w:val="single" w:sz="8" w:space="0" w:color="auto"/>
              <w:right w:val="nil"/>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64.6</w:t>
            </w:r>
          </w:p>
        </w:tc>
        <w:tc>
          <w:tcPr>
            <w:tcW w:w="992" w:type="dxa"/>
            <w:tcBorders>
              <w:top w:val="nil"/>
              <w:left w:val="nil"/>
              <w:bottom w:val="single" w:sz="8" w:space="0" w:color="auto"/>
              <w:right w:val="single" w:sz="4" w:space="0" w:color="auto"/>
            </w:tcBorders>
            <w:shd w:val="clear" w:color="000000" w:fill="FFFFFF"/>
            <w:noWrap/>
            <w:vAlign w:val="bottom"/>
            <w:hideMark/>
          </w:tcPr>
          <w:p w:rsidR="00C6012B" w:rsidRPr="00864C0E" w:rsidRDefault="00C6012B" w:rsidP="00C6012B">
            <w:pPr>
              <w:jc w:val="right"/>
              <w:rPr>
                <w:color w:val="000000"/>
                <w:sz w:val="16"/>
                <w:szCs w:val="18"/>
                <w:lang w:val="es-GT" w:eastAsia="es-GT"/>
              </w:rPr>
            </w:pPr>
            <w:r w:rsidRPr="00864C0E">
              <w:rPr>
                <w:color w:val="000000"/>
                <w:sz w:val="16"/>
                <w:szCs w:val="18"/>
                <w:lang w:val="es-GT" w:eastAsia="es-GT"/>
              </w:rPr>
              <w:t>4.7</w:t>
            </w:r>
          </w:p>
        </w:tc>
        <w:tc>
          <w:tcPr>
            <w:tcW w:w="992" w:type="dxa"/>
            <w:tcBorders>
              <w:top w:val="nil"/>
              <w:left w:val="nil"/>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993" w:type="dxa"/>
            <w:tcBorders>
              <w:top w:val="nil"/>
              <w:left w:val="nil"/>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8" w:type="dxa"/>
            <w:tcBorders>
              <w:top w:val="nil"/>
              <w:left w:val="nil"/>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851" w:type="dxa"/>
            <w:tcBorders>
              <w:top w:val="nil"/>
              <w:left w:val="single" w:sz="4" w:space="0" w:color="auto"/>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09" w:type="dxa"/>
            <w:tcBorders>
              <w:top w:val="nil"/>
              <w:left w:val="nil"/>
              <w:bottom w:val="single" w:sz="8" w:space="0" w:color="auto"/>
              <w:right w:val="nil"/>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c>
          <w:tcPr>
            <w:tcW w:w="738" w:type="dxa"/>
            <w:tcBorders>
              <w:top w:val="nil"/>
              <w:left w:val="nil"/>
              <w:bottom w:val="single" w:sz="8" w:space="0" w:color="auto"/>
              <w:right w:val="single" w:sz="8" w:space="0" w:color="auto"/>
            </w:tcBorders>
            <w:shd w:val="clear" w:color="000000" w:fill="FFFFFF"/>
            <w:noWrap/>
            <w:vAlign w:val="bottom"/>
            <w:hideMark/>
          </w:tcPr>
          <w:p w:rsidR="00C6012B" w:rsidRPr="00864C0E" w:rsidRDefault="00C6012B" w:rsidP="00C6012B">
            <w:pPr>
              <w:rPr>
                <w:color w:val="000000"/>
                <w:sz w:val="16"/>
                <w:szCs w:val="18"/>
                <w:lang w:val="es-GT" w:eastAsia="es-GT"/>
              </w:rPr>
            </w:pPr>
            <w:r w:rsidRPr="00864C0E">
              <w:rPr>
                <w:color w:val="000000"/>
                <w:sz w:val="16"/>
                <w:szCs w:val="18"/>
                <w:lang w:val="es-GT" w:eastAsia="es-GT"/>
              </w:rPr>
              <w:t xml:space="preserve">            -   </w:t>
            </w:r>
          </w:p>
        </w:tc>
      </w:tr>
    </w:tbl>
    <w:p w:rsidR="00C6012B" w:rsidRDefault="00C6012B" w:rsidP="00C6012B">
      <w:pPr>
        <w:rPr>
          <w:sz w:val="18"/>
          <w:lang w:val="es-MX"/>
        </w:rPr>
      </w:pPr>
      <w:r w:rsidRPr="00B55626">
        <w:rPr>
          <w:sz w:val="18"/>
          <w:lang w:val="es-MX"/>
        </w:rPr>
        <w:t>* Cifras preliminares</w:t>
      </w:r>
    </w:p>
    <w:p w:rsidR="00C6012B" w:rsidRPr="00B55626" w:rsidRDefault="00C6012B" w:rsidP="00C6012B">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C6012B" w:rsidRDefault="00C6012B" w:rsidP="00C6012B">
      <w:pPr>
        <w:rPr>
          <w:sz w:val="22"/>
          <w:lang w:val="es-MX"/>
        </w:rPr>
      </w:pPr>
    </w:p>
    <w:p w:rsidR="0004318A" w:rsidRDefault="0004318A" w:rsidP="00C6012B">
      <w:pPr>
        <w:rPr>
          <w:sz w:val="22"/>
          <w:lang w:val="es-MX"/>
        </w:rPr>
      </w:pPr>
    </w:p>
    <w:p w:rsidR="0004318A" w:rsidRDefault="0004318A" w:rsidP="00C6012B">
      <w:pPr>
        <w:rPr>
          <w:sz w:val="22"/>
          <w:lang w:val="es-MX"/>
        </w:rPr>
      </w:pPr>
    </w:p>
    <w:p w:rsidR="00AD535C" w:rsidRPr="005E55DE" w:rsidRDefault="00AD535C" w:rsidP="004C636B">
      <w:pPr>
        <w:pStyle w:val="Ttulo3"/>
        <w:numPr>
          <w:ilvl w:val="0"/>
          <w:numId w:val="7"/>
        </w:numPr>
        <w:ind w:left="426"/>
        <w:rPr>
          <w:rFonts w:ascii="Times New Roman" w:hAnsi="Times New Roman"/>
          <w:color w:val="auto"/>
          <w:lang w:val="es-MX"/>
        </w:rPr>
      </w:pPr>
      <w:bookmarkStart w:id="20" w:name="_Toc83713628"/>
      <w:r w:rsidRPr="005E55DE">
        <w:rPr>
          <w:rFonts w:ascii="Times New Roman" w:hAnsi="Times New Roman"/>
          <w:color w:val="auto"/>
          <w:lang w:val="es-MX"/>
        </w:rPr>
        <w:lastRenderedPageBreak/>
        <w:t>Gasto Social y Acuerdos de Paz</w:t>
      </w:r>
      <w:bookmarkEnd w:id="20"/>
    </w:p>
    <w:p w:rsidR="00AD535C" w:rsidRPr="0004318A" w:rsidRDefault="00AD535C" w:rsidP="00AD535C">
      <w:pPr>
        <w:jc w:val="both"/>
        <w:rPr>
          <w:sz w:val="22"/>
          <w:lang w:val="es-MX"/>
        </w:rPr>
      </w:pPr>
    </w:p>
    <w:p w:rsidR="0050393B" w:rsidRDefault="0050393B" w:rsidP="0050393B">
      <w:pPr>
        <w:jc w:val="both"/>
      </w:pPr>
      <w:r>
        <w:t>Para cumplir con el fin supremo del Estado que es la realización del bien común,</w:t>
      </w:r>
      <w:r w:rsidRPr="009E05CC">
        <w:t xml:space="preserve"> la actual administración </w:t>
      </w:r>
      <w:r>
        <w:t xml:space="preserve">de gobierno </w:t>
      </w:r>
      <w:r w:rsidRPr="009E05CC">
        <w:t>contin</w:t>
      </w:r>
      <w:r w:rsidR="00B10158">
        <w:t>ú</w:t>
      </w:r>
      <w:r w:rsidRPr="009E05CC">
        <w:t>a apoyando el Gasto Social</w:t>
      </w:r>
      <w:r w:rsidRPr="006C78B0">
        <w:rPr>
          <w:vertAlign w:val="superscript"/>
        </w:rPr>
        <w:footnoteReference w:id="1"/>
      </w:r>
      <w:r w:rsidRPr="009E05CC">
        <w:t xml:space="preserve"> </w:t>
      </w:r>
      <w:r>
        <w:t>en</w:t>
      </w:r>
      <w:r w:rsidRPr="009E05CC">
        <w:t xml:space="preserve"> cumplimiento </w:t>
      </w:r>
      <w:r>
        <w:t>de</w:t>
      </w:r>
      <w:r w:rsidRPr="009E05CC">
        <w:t xml:space="preserve"> lo establecido </w:t>
      </w:r>
      <w:r>
        <w:t>en</w:t>
      </w:r>
      <w:r w:rsidRPr="009E05CC">
        <w:t xml:space="preserve"> los Acuerdos de Paz</w:t>
      </w:r>
      <w:r>
        <w:t>;</w:t>
      </w:r>
      <w:r w:rsidRPr="009E05CC">
        <w:t xml:space="preserve"> en el Plan Nacional de Desarrollo K’atun, Nuestra Guatemala 2032</w:t>
      </w:r>
      <w:r>
        <w:t>;</w:t>
      </w:r>
      <w:r w:rsidRPr="009E05CC">
        <w:t xml:space="preserve"> y en la Política General de Gobierno 20</w:t>
      </w:r>
      <w:r>
        <w:t>20</w:t>
      </w:r>
      <w:r w:rsidRPr="009E05CC">
        <w:t>-202</w:t>
      </w:r>
      <w:r>
        <w:t xml:space="preserve">4, especialmente en lo que establece el pilar </w:t>
      </w:r>
      <w:r w:rsidR="00B10158">
        <w:t xml:space="preserve">de </w:t>
      </w:r>
      <w:r w:rsidRPr="0075004D">
        <w:rPr>
          <w:bCs/>
        </w:rPr>
        <w:t>Desarrollo Social</w:t>
      </w:r>
      <w:r>
        <w:rPr>
          <w:bCs/>
        </w:rPr>
        <w:t>, que busca a</w:t>
      </w:r>
      <w:r w:rsidRPr="0075004D">
        <w:t>lcanzar el objetivo de atender de manera directa y efectiva a los más pobres, impulsando compensadores sociales efectivos y focalizados</w:t>
      </w:r>
      <w:r>
        <w:t>.</w:t>
      </w:r>
    </w:p>
    <w:p w:rsidR="0050393B" w:rsidRPr="0004318A" w:rsidRDefault="0050393B" w:rsidP="0050393B">
      <w:pPr>
        <w:jc w:val="both"/>
      </w:pPr>
    </w:p>
    <w:p w:rsidR="0050393B" w:rsidRPr="009E05CC" w:rsidRDefault="0050393B" w:rsidP="0050393B">
      <w:pPr>
        <w:jc w:val="both"/>
      </w:pPr>
      <w:r>
        <w:t>De esa cuenta,</w:t>
      </w:r>
      <w:r w:rsidRPr="009E05CC">
        <w:t xml:space="preserve"> el monto de ejecución presupuestaria del Gasto Social pasó de Q</w:t>
      </w:r>
      <w:r>
        <w:t>.</w:t>
      </w:r>
      <w:r w:rsidRPr="009E05CC">
        <w:t>1</w:t>
      </w:r>
      <w:r>
        <w:t>6</w:t>
      </w:r>
      <w:r w:rsidRPr="009E05CC">
        <w:t>,</w:t>
      </w:r>
      <w:r>
        <w:t>982.4</w:t>
      </w:r>
      <w:r w:rsidRPr="009E05CC">
        <w:t xml:space="preserve"> millones en 20</w:t>
      </w:r>
      <w:r>
        <w:t>20</w:t>
      </w:r>
      <w:r w:rsidRPr="009E05CC">
        <w:t xml:space="preserve"> a Q</w:t>
      </w:r>
      <w:r>
        <w:t>.</w:t>
      </w:r>
      <w:r w:rsidRPr="009E05CC">
        <w:t>1</w:t>
      </w:r>
      <w:r>
        <w:t>8</w:t>
      </w:r>
      <w:r w:rsidRPr="009E05CC">
        <w:t>,</w:t>
      </w:r>
      <w:r>
        <w:t>435.8</w:t>
      </w:r>
      <w:r w:rsidRPr="009E05CC">
        <w:t xml:space="preserve"> millones en 20</w:t>
      </w:r>
      <w:r>
        <w:t>21;</w:t>
      </w:r>
      <w:r w:rsidRPr="009E05CC">
        <w:t xml:space="preserve"> tuvo un aumento de Q</w:t>
      </w:r>
      <w:r>
        <w:t>.1,453.3</w:t>
      </w:r>
      <w:r w:rsidRPr="009E05CC">
        <w:t xml:space="preserve"> millones </w:t>
      </w:r>
      <w:r>
        <w:t>(8.6</w:t>
      </w:r>
      <w:r w:rsidRPr="009E05CC">
        <w:t>% mayor a lo observado en 20</w:t>
      </w:r>
      <w:r>
        <w:t>20)</w:t>
      </w:r>
      <w:r w:rsidRPr="009E05CC">
        <w:t xml:space="preserve">, </w:t>
      </w:r>
      <w:r>
        <w:t>que</w:t>
      </w:r>
      <w:r w:rsidRPr="009E05CC">
        <w:t xml:space="preserve"> favoreció principalmente </w:t>
      </w:r>
      <w:r>
        <w:t>los</w:t>
      </w:r>
      <w:r w:rsidRPr="009E05CC">
        <w:t xml:space="preserve"> gasto</w:t>
      </w:r>
      <w:r>
        <w:t>s</w:t>
      </w:r>
      <w:r w:rsidRPr="009E05CC">
        <w:t xml:space="preserve"> en </w:t>
      </w:r>
      <w:r>
        <w:t>salud y asistencia social.</w:t>
      </w:r>
    </w:p>
    <w:p w:rsidR="0050393B" w:rsidRPr="0004318A" w:rsidRDefault="0050393B" w:rsidP="0050393B">
      <w:pPr>
        <w:jc w:val="both"/>
        <w:rPr>
          <w:sz w:val="22"/>
        </w:rPr>
      </w:pPr>
    </w:p>
    <w:p w:rsidR="0050393B" w:rsidRDefault="0050393B" w:rsidP="0050393B">
      <w:pPr>
        <w:jc w:val="both"/>
      </w:pPr>
      <w:r>
        <w:t>L</w:t>
      </w:r>
      <w:r w:rsidRPr="009E05CC">
        <w:t>os Acuerdos de Paz incluyen el gasto destinado al Sector Justicia</w:t>
      </w:r>
      <w:r>
        <w:t xml:space="preserve"> que </w:t>
      </w:r>
      <w:r w:rsidRPr="009E05CC">
        <w:t xml:space="preserve">para </w:t>
      </w:r>
      <w:r>
        <w:t xml:space="preserve">el primer semestre de </w:t>
      </w:r>
      <w:r w:rsidRPr="009E05CC">
        <w:t>20</w:t>
      </w:r>
      <w:r>
        <w:t>21</w:t>
      </w:r>
      <w:r w:rsidRPr="009E05CC">
        <w:t xml:space="preserve"> </w:t>
      </w:r>
      <w:r>
        <w:t xml:space="preserve">aumentó en términos netos </w:t>
      </w:r>
      <w:r w:rsidRPr="009E05CC">
        <w:t>Q</w:t>
      </w:r>
      <w:r>
        <w:t>.170.9</w:t>
      </w:r>
      <w:r w:rsidRPr="009E05CC">
        <w:t xml:space="preserve"> millones,</w:t>
      </w:r>
      <w:r>
        <w:t xml:space="preserve"> </w:t>
      </w:r>
      <w:r w:rsidRPr="009E05CC">
        <w:t>pas</w:t>
      </w:r>
      <w:r>
        <w:t>ó</w:t>
      </w:r>
      <w:r w:rsidRPr="009E05CC">
        <w:t xml:space="preserve"> de Q</w:t>
      </w:r>
      <w:r>
        <w:t>.4</w:t>
      </w:r>
      <w:r w:rsidRPr="009E05CC">
        <w:t>,</w:t>
      </w:r>
      <w:r>
        <w:t>352.8</w:t>
      </w:r>
      <w:r w:rsidRPr="009E05CC">
        <w:t xml:space="preserve"> millones en 20</w:t>
      </w:r>
      <w:r>
        <w:t>20</w:t>
      </w:r>
      <w:r w:rsidRPr="009E05CC">
        <w:t xml:space="preserve"> a Q</w:t>
      </w:r>
      <w:r>
        <w:t>.4</w:t>
      </w:r>
      <w:r w:rsidRPr="009E05CC">
        <w:t>,</w:t>
      </w:r>
      <w:r>
        <w:t>523.7</w:t>
      </w:r>
      <w:r w:rsidRPr="009E05CC">
        <w:t xml:space="preserve"> millones</w:t>
      </w:r>
      <w:r>
        <w:t xml:space="preserve"> en 2021. Los subsectores que tuvieron incrementos fueron Seguridad Interna con Q.220.9 millones, el Ministerio Público con Q.24.1 millones y el Organismo Judicial que tuvo una disminución de</w:t>
      </w:r>
      <w:r w:rsidRPr="009E05CC">
        <w:t xml:space="preserve"> Q</w:t>
      </w:r>
      <w:r>
        <w:t>.74.2 millones.</w:t>
      </w:r>
    </w:p>
    <w:p w:rsidR="0050393B" w:rsidRPr="0004318A" w:rsidRDefault="0050393B" w:rsidP="0050393B">
      <w:pPr>
        <w:jc w:val="both"/>
      </w:pPr>
    </w:p>
    <w:p w:rsidR="0050393B" w:rsidRPr="009E05CC" w:rsidRDefault="0050393B" w:rsidP="0050393B">
      <w:pPr>
        <w:jc w:val="both"/>
      </w:pPr>
      <w:r>
        <w:t xml:space="preserve">Los dos sectores que conforman el gasto derivado de los Acuerdos de Paz (Gasto Social y Sector Justicia) </w:t>
      </w:r>
      <w:r w:rsidRPr="009E05CC">
        <w:t>tuvieron un aumento de Q</w:t>
      </w:r>
      <w:r>
        <w:t>.1,624.2</w:t>
      </w:r>
      <w:r w:rsidRPr="009E05CC">
        <w:t xml:space="preserve"> millones </w:t>
      </w:r>
      <w:r>
        <w:t xml:space="preserve">respecto de lo observado en </w:t>
      </w:r>
      <w:r w:rsidRPr="009E05CC">
        <w:t>20</w:t>
      </w:r>
      <w:r>
        <w:t>20.</w:t>
      </w:r>
    </w:p>
    <w:p w:rsidR="0050393B" w:rsidRPr="0004318A" w:rsidRDefault="0050393B" w:rsidP="0050393B">
      <w:pPr>
        <w:rPr>
          <w:b/>
          <w:szCs w:val="22"/>
          <w:lang w:val="es-MX"/>
        </w:rPr>
      </w:pPr>
    </w:p>
    <w:p w:rsidR="0050393B" w:rsidRPr="00A7534C" w:rsidRDefault="0050393B" w:rsidP="0050393B">
      <w:pPr>
        <w:jc w:val="center"/>
        <w:rPr>
          <w:b/>
          <w:szCs w:val="22"/>
          <w:lang w:val="es-MX"/>
        </w:rPr>
      </w:pPr>
      <w:r w:rsidRPr="00A7534C">
        <w:rPr>
          <w:b/>
          <w:szCs w:val="22"/>
          <w:lang w:val="es-MX"/>
        </w:rPr>
        <w:t xml:space="preserve">Cuadro </w:t>
      </w:r>
      <w:r w:rsidR="008B5E5C">
        <w:rPr>
          <w:b/>
          <w:szCs w:val="22"/>
          <w:lang w:val="es-MX"/>
        </w:rPr>
        <w:t>9</w:t>
      </w:r>
    </w:p>
    <w:p w:rsidR="0050393B" w:rsidRPr="00A7534C" w:rsidRDefault="0050393B" w:rsidP="0050393B">
      <w:pPr>
        <w:jc w:val="center"/>
        <w:rPr>
          <w:b/>
          <w:szCs w:val="22"/>
          <w:lang w:val="es-MX"/>
        </w:rPr>
      </w:pPr>
      <w:r w:rsidRPr="00A7534C">
        <w:rPr>
          <w:b/>
          <w:szCs w:val="22"/>
          <w:lang w:val="es-MX"/>
        </w:rPr>
        <w:t>Ejecución Presupuestaria del Gasto Social y Acuerdos de Paz</w:t>
      </w:r>
    </w:p>
    <w:p w:rsidR="0050393B" w:rsidRPr="00A7534C" w:rsidRDefault="0050393B" w:rsidP="0050393B">
      <w:pPr>
        <w:jc w:val="center"/>
        <w:rPr>
          <w:b/>
          <w:szCs w:val="22"/>
          <w:lang w:val="es-MX"/>
        </w:rPr>
      </w:pPr>
      <w:r w:rsidRPr="00A7534C">
        <w:rPr>
          <w:b/>
          <w:szCs w:val="22"/>
          <w:lang w:val="es-MX"/>
        </w:rPr>
        <w:t>Al 30 de junio de cada año</w:t>
      </w:r>
    </w:p>
    <w:p w:rsidR="0050393B" w:rsidRDefault="0050393B" w:rsidP="0050393B">
      <w:pPr>
        <w:jc w:val="center"/>
        <w:rPr>
          <w:rFonts w:ascii="Calibri" w:eastAsia="Calibri" w:hAnsi="Calibri"/>
          <w:sz w:val="20"/>
          <w:szCs w:val="20"/>
          <w:lang w:val="es-MX" w:eastAsia="es-MX"/>
        </w:rPr>
      </w:pPr>
      <w:r w:rsidRPr="00A7534C">
        <w:rPr>
          <w:b/>
          <w:szCs w:val="22"/>
          <w:lang w:val="es-MX"/>
        </w:rPr>
        <w:t>(Cifras en Millones de Quetzales)</w:t>
      </w:r>
      <w:r>
        <w:rPr>
          <w:lang w:val="es-MX"/>
        </w:rPr>
        <w:fldChar w:fldCharType="begin"/>
      </w:r>
      <w:r>
        <w:rPr>
          <w:lang w:val="es-MX"/>
        </w:rPr>
        <w:instrText xml:space="preserve"> LINK Excel.Sheet.12 "C:\\Users\\deefoper19\\Desktop\\BACKUP EMATUL\\Archivos Compartidos\\2020\\Excel\\Cuadros para Informe\\Cuadros junio 2020 Informe de medio año.xlsx" "Gasto Social!F6C3:F16C7" \a \f 4 \h  \* MERGEFORMAT </w:instrText>
      </w:r>
      <w:r>
        <w:rPr>
          <w:lang w:val="es-MX"/>
        </w:rPr>
        <w:fldChar w:fldCharType="separate"/>
      </w:r>
    </w:p>
    <w:p w:rsidR="0050393B" w:rsidRPr="00240C29" w:rsidRDefault="0050393B" w:rsidP="0050393B">
      <w:pPr>
        <w:jc w:val="both"/>
        <w:rPr>
          <w:sz w:val="18"/>
          <w:lang w:val="es-MX"/>
        </w:rPr>
      </w:pPr>
      <w:r>
        <w:rPr>
          <w:sz w:val="18"/>
          <w:lang w:val="es-MX"/>
        </w:rPr>
        <w:fldChar w:fldCharType="end"/>
      </w:r>
    </w:p>
    <w:tbl>
      <w:tblPr>
        <w:tblW w:w="9294" w:type="dxa"/>
        <w:tblInd w:w="-10" w:type="dxa"/>
        <w:tblCellMar>
          <w:left w:w="70" w:type="dxa"/>
          <w:right w:w="70" w:type="dxa"/>
        </w:tblCellMar>
        <w:tblLook w:val="04A0" w:firstRow="1" w:lastRow="0" w:firstColumn="1" w:lastColumn="0" w:noHBand="0" w:noVBand="1"/>
      </w:tblPr>
      <w:tblGrid>
        <w:gridCol w:w="3482"/>
        <w:gridCol w:w="1418"/>
        <w:gridCol w:w="1276"/>
        <w:gridCol w:w="1559"/>
        <w:gridCol w:w="1559"/>
      </w:tblGrid>
      <w:tr w:rsidR="00692735" w:rsidRPr="006F47DA" w:rsidTr="001B29D7">
        <w:trPr>
          <w:trHeight w:val="310"/>
        </w:trPr>
        <w:tc>
          <w:tcPr>
            <w:tcW w:w="3482" w:type="dxa"/>
            <w:vMerge w:val="restart"/>
            <w:tcBorders>
              <w:top w:val="single" w:sz="8" w:space="0" w:color="auto"/>
              <w:left w:val="single" w:sz="8" w:space="0" w:color="auto"/>
              <w:bottom w:val="single" w:sz="4" w:space="0" w:color="auto"/>
              <w:right w:val="nil"/>
            </w:tcBorders>
            <w:shd w:val="clear" w:color="000000" w:fill="8DB4E2"/>
            <w:vAlign w:val="center"/>
            <w:hideMark/>
          </w:tcPr>
          <w:p w:rsidR="00692735" w:rsidRPr="006F47DA" w:rsidRDefault="00692735" w:rsidP="0050393B">
            <w:pPr>
              <w:jc w:val="center"/>
              <w:rPr>
                <w:b/>
                <w:bCs/>
                <w:color w:val="000000"/>
                <w:lang w:val="es-GT" w:eastAsia="es-GT"/>
              </w:rPr>
            </w:pPr>
            <w:r w:rsidRPr="006F47DA">
              <w:rPr>
                <w:b/>
                <w:bCs/>
                <w:color w:val="000000"/>
                <w:lang w:val="es-GT" w:eastAsia="es-GT"/>
              </w:rPr>
              <w:t>Sector</w:t>
            </w:r>
          </w:p>
        </w:tc>
        <w:tc>
          <w:tcPr>
            <w:tcW w:w="1418"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692735" w:rsidRPr="006F47DA" w:rsidRDefault="00692735" w:rsidP="008B5E5C">
            <w:pPr>
              <w:jc w:val="center"/>
              <w:rPr>
                <w:b/>
                <w:bCs/>
                <w:color w:val="000000"/>
                <w:lang w:val="es-GT" w:eastAsia="es-GT"/>
              </w:rPr>
            </w:pPr>
            <w:r w:rsidRPr="006F47DA">
              <w:rPr>
                <w:b/>
                <w:bCs/>
                <w:color w:val="000000"/>
                <w:lang w:val="es-GT" w:eastAsia="es-GT"/>
              </w:rPr>
              <w:t>2020</w:t>
            </w:r>
          </w:p>
        </w:tc>
        <w:tc>
          <w:tcPr>
            <w:tcW w:w="1276" w:type="dxa"/>
            <w:vMerge w:val="restart"/>
            <w:tcBorders>
              <w:top w:val="single" w:sz="8" w:space="0" w:color="auto"/>
              <w:left w:val="single" w:sz="4" w:space="0" w:color="auto"/>
              <w:bottom w:val="single" w:sz="4" w:space="0" w:color="auto"/>
              <w:right w:val="single" w:sz="4" w:space="0" w:color="auto"/>
            </w:tcBorders>
            <w:shd w:val="clear" w:color="000000" w:fill="8DB4E2"/>
            <w:vAlign w:val="center"/>
            <w:hideMark/>
          </w:tcPr>
          <w:p w:rsidR="00692735" w:rsidRPr="006F47DA" w:rsidRDefault="00692735" w:rsidP="008B5E5C">
            <w:pPr>
              <w:jc w:val="center"/>
              <w:rPr>
                <w:b/>
                <w:bCs/>
                <w:color w:val="000000"/>
                <w:lang w:val="es-GT" w:eastAsia="es-GT"/>
              </w:rPr>
            </w:pPr>
            <w:r w:rsidRPr="006F47DA">
              <w:rPr>
                <w:b/>
                <w:bCs/>
                <w:color w:val="000000"/>
                <w:lang w:val="es-GT" w:eastAsia="es-GT"/>
              </w:rPr>
              <w:t>2021</w:t>
            </w:r>
          </w:p>
        </w:tc>
        <w:tc>
          <w:tcPr>
            <w:tcW w:w="3118" w:type="dxa"/>
            <w:gridSpan w:val="2"/>
            <w:tcBorders>
              <w:top w:val="single" w:sz="8" w:space="0" w:color="auto"/>
              <w:left w:val="nil"/>
              <w:bottom w:val="single" w:sz="4" w:space="0" w:color="auto"/>
              <w:right w:val="single" w:sz="8" w:space="0" w:color="auto"/>
            </w:tcBorders>
            <w:shd w:val="clear" w:color="000000" w:fill="8DB4E2"/>
            <w:noWrap/>
            <w:vAlign w:val="bottom"/>
            <w:hideMark/>
          </w:tcPr>
          <w:p w:rsidR="00692735" w:rsidRPr="006F47DA" w:rsidRDefault="00692735" w:rsidP="00692735">
            <w:pPr>
              <w:jc w:val="center"/>
              <w:rPr>
                <w:b/>
                <w:bCs/>
                <w:color w:val="000000"/>
                <w:lang w:val="es-GT" w:eastAsia="es-GT"/>
              </w:rPr>
            </w:pPr>
            <w:r w:rsidRPr="006F47DA">
              <w:rPr>
                <w:b/>
                <w:bCs/>
                <w:color w:val="000000"/>
                <w:lang w:val="es-GT" w:eastAsia="es-GT"/>
              </w:rPr>
              <w:t>Diferencias </w:t>
            </w:r>
          </w:p>
        </w:tc>
      </w:tr>
      <w:tr w:rsidR="0050393B" w:rsidRPr="006F47DA" w:rsidTr="00B10158">
        <w:trPr>
          <w:trHeight w:val="310"/>
        </w:trPr>
        <w:tc>
          <w:tcPr>
            <w:tcW w:w="3482" w:type="dxa"/>
            <w:vMerge/>
            <w:tcBorders>
              <w:top w:val="single" w:sz="8" w:space="0" w:color="auto"/>
              <w:left w:val="single" w:sz="8" w:space="0" w:color="auto"/>
              <w:bottom w:val="single" w:sz="4" w:space="0" w:color="auto"/>
              <w:right w:val="nil"/>
            </w:tcBorders>
            <w:vAlign w:val="center"/>
            <w:hideMark/>
          </w:tcPr>
          <w:p w:rsidR="0050393B" w:rsidRPr="006F47DA" w:rsidRDefault="0050393B" w:rsidP="0050393B">
            <w:pPr>
              <w:rPr>
                <w:b/>
                <w:bCs/>
                <w:color w:val="000000"/>
                <w:lang w:val="es-GT" w:eastAsia="es-GT"/>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50393B" w:rsidRPr="006F47DA" w:rsidRDefault="0050393B" w:rsidP="0050393B">
            <w:pPr>
              <w:rPr>
                <w:b/>
                <w:bCs/>
                <w:color w:val="000000"/>
                <w:lang w:val="es-GT" w:eastAsia="es-GT"/>
              </w:rPr>
            </w:pPr>
          </w:p>
        </w:tc>
        <w:tc>
          <w:tcPr>
            <w:tcW w:w="1276" w:type="dxa"/>
            <w:vMerge/>
            <w:tcBorders>
              <w:top w:val="single" w:sz="8" w:space="0" w:color="auto"/>
              <w:left w:val="single" w:sz="4" w:space="0" w:color="auto"/>
              <w:bottom w:val="single" w:sz="4" w:space="0" w:color="auto"/>
              <w:right w:val="single" w:sz="4" w:space="0" w:color="auto"/>
            </w:tcBorders>
            <w:vAlign w:val="center"/>
            <w:hideMark/>
          </w:tcPr>
          <w:p w:rsidR="0050393B" w:rsidRPr="006F47DA" w:rsidRDefault="0050393B" w:rsidP="0050393B">
            <w:pPr>
              <w:rPr>
                <w:b/>
                <w:bCs/>
                <w:color w:val="000000"/>
                <w:lang w:val="es-GT" w:eastAsia="es-GT"/>
              </w:rPr>
            </w:pPr>
          </w:p>
        </w:tc>
        <w:tc>
          <w:tcPr>
            <w:tcW w:w="1559" w:type="dxa"/>
            <w:tcBorders>
              <w:top w:val="single" w:sz="4" w:space="0" w:color="auto"/>
              <w:left w:val="nil"/>
              <w:bottom w:val="single" w:sz="4" w:space="0" w:color="auto"/>
              <w:right w:val="single" w:sz="4" w:space="0" w:color="auto"/>
            </w:tcBorders>
            <w:shd w:val="clear" w:color="000000" w:fill="8DB4E2"/>
            <w:noWrap/>
            <w:vAlign w:val="bottom"/>
            <w:hideMark/>
          </w:tcPr>
          <w:p w:rsidR="0050393B" w:rsidRPr="006F47DA" w:rsidRDefault="0050393B" w:rsidP="0050393B">
            <w:pPr>
              <w:jc w:val="center"/>
              <w:rPr>
                <w:b/>
                <w:bCs/>
                <w:color w:val="000000"/>
                <w:lang w:val="es-GT" w:eastAsia="es-GT"/>
              </w:rPr>
            </w:pPr>
            <w:r w:rsidRPr="006F47DA">
              <w:rPr>
                <w:b/>
                <w:bCs/>
                <w:color w:val="000000"/>
                <w:lang w:val="es-GT" w:eastAsia="es-GT"/>
              </w:rPr>
              <w:t>Absolutas</w:t>
            </w:r>
          </w:p>
        </w:tc>
        <w:tc>
          <w:tcPr>
            <w:tcW w:w="1559" w:type="dxa"/>
            <w:tcBorders>
              <w:top w:val="nil"/>
              <w:left w:val="nil"/>
              <w:bottom w:val="single" w:sz="4" w:space="0" w:color="auto"/>
              <w:right w:val="single" w:sz="8" w:space="0" w:color="auto"/>
            </w:tcBorders>
            <w:shd w:val="clear" w:color="000000" w:fill="8DB4E2"/>
            <w:noWrap/>
            <w:vAlign w:val="bottom"/>
            <w:hideMark/>
          </w:tcPr>
          <w:p w:rsidR="0050393B" w:rsidRPr="006F47DA" w:rsidRDefault="0050393B" w:rsidP="0050393B">
            <w:pPr>
              <w:jc w:val="center"/>
              <w:rPr>
                <w:b/>
                <w:bCs/>
                <w:color w:val="000000"/>
                <w:lang w:val="es-GT" w:eastAsia="es-GT"/>
              </w:rPr>
            </w:pPr>
            <w:r w:rsidRPr="006F47DA">
              <w:rPr>
                <w:b/>
                <w:bCs/>
                <w:color w:val="000000"/>
                <w:lang w:val="es-GT" w:eastAsia="es-GT"/>
              </w:rPr>
              <w:t>Relativas</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Total</w:t>
            </w:r>
          </w:p>
        </w:tc>
        <w:tc>
          <w:tcPr>
            <w:tcW w:w="1418"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21,335.3</w:t>
            </w:r>
          </w:p>
        </w:tc>
        <w:tc>
          <w:tcPr>
            <w:tcW w:w="1276" w:type="dxa"/>
            <w:tcBorders>
              <w:top w:val="nil"/>
              <w:left w:val="nil"/>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22,959.5</w:t>
            </w:r>
          </w:p>
        </w:tc>
        <w:tc>
          <w:tcPr>
            <w:tcW w:w="1559" w:type="dxa"/>
            <w:tcBorders>
              <w:top w:val="nil"/>
              <w:left w:val="nil"/>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1,624.2</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7.6%</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Salud y Asistencia Social</w:t>
            </w:r>
          </w:p>
        </w:tc>
        <w:tc>
          <w:tcPr>
            <w:tcW w:w="1418"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7,139.1</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8,533.4</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1,394.3</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119.5%</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Educación, Ciencia y Cultura</w:t>
            </w:r>
          </w:p>
        </w:tc>
        <w:tc>
          <w:tcPr>
            <w:tcW w:w="1418"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9,701.0</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9,802.8</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101.8</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101.0%</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Vivienda</w:t>
            </w:r>
          </w:p>
        </w:tc>
        <w:tc>
          <w:tcPr>
            <w:tcW w:w="1418"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142.4</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99.6</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-42.8</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69.9%</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Gasto Social</w:t>
            </w:r>
          </w:p>
        </w:tc>
        <w:tc>
          <w:tcPr>
            <w:tcW w:w="1418"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16,982.4</w:t>
            </w:r>
          </w:p>
        </w:tc>
        <w:tc>
          <w:tcPr>
            <w:tcW w:w="1276" w:type="dxa"/>
            <w:tcBorders>
              <w:top w:val="nil"/>
              <w:left w:val="nil"/>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18,435.8</w:t>
            </w:r>
          </w:p>
        </w:tc>
        <w:tc>
          <w:tcPr>
            <w:tcW w:w="1559" w:type="dxa"/>
            <w:tcBorders>
              <w:top w:val="nil"/>
              <w:left w:val="nil"/>
              <w:bottom w:val="nil"/>
              <w:right w:val="single" w:sz="4"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1,453.3</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8.6%</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Seguridad Interna</w:t>
            </w:r>
          </w:p>
        </w:tc>
        <w:tc>
          <w:tcPr>
            <w:tcW w:w="1418" w:type="dxa"/>
            <w:tcBorders>
              <w:top w:val="nil"/>
              <w:left w:val="single" w:sz="4" w:space="0" w:color="auto"/>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2,400.4</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2,621.3</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220.9</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109.2%</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Organismo Judicial y C.C</w:t>
            </w:r>
          </w:p>
        </w:tc>
        <w:tc>
          <w:tcPr>
            <w:tcW w:w="1418" w:type="dxa"/>
            <w:tcBorders>
              <w:top w:val="nil"/>
              <w:left w:val="single" w:sz="4" w:space="0" w:color="auto"/>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1,175.4</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1,101.3</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-74.2</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93.7%</w:t>
            </w:r>
          </w:p>
        </w:tc>
      </w:tr>
      <w:tr w:rsidR="0050393B" w:rsidRPr="006F47DA" w:rsidTr="00B10158">
        <w:trPr>
          <w:trHeight w:val="310"/>
        </w:trPr>
        <w:tc>
          <w:tcPr>
            <w:tcW w:w="3482" w:type="dxa"/>
            <w:tcBorders>
              <w:top w:val="nil"/>
              <w:left w:val="single" w:sz="8" w:space="0" w:color="auto"/>
              <w:bottom w:val="nil"/>
              <w:right w:val="nil"/>
            </w:tcBorders>
            <w:shd w:val="clear" w:color="000000" w:fill="FFFFFF"/>
            <w:noWrap/>
            <w:vAlign w:val="bottom"/>
            <w:hideMark/>
          </w:tcPr>
          <w:p w:rsidR="0050393B" w:rsidRPr="00A82540" w:rsidRDefault="0050393B" w:rsidP="0050393B">
            <w:pPr>
              <w:rPr>
                <w:color w:val="000000"/>
                <w:sz w:val="22"/>
                <w:lang w:val="es-GT" w:eastAsia="es-GT"/>
              </w:rPr>
            </w:pPr>
            <w:r w:rsidRPr="00A82540">
              <w:rPr>
                <w:color w:val="000000"/>
                <w:sz w:val="22"/>
                <w:lang w:val="es-GT" w:eastAsia="es-GT"/>
              </w:rPr>
              <w:t>Ministerio Público</w:t>
            </w:r>
          </w:p>
        </w:tc>
        <w:tc>
          <w:tcPr>
            <w:tcW w:w="1418" w:type="dxa"/>
            <w:tcBorders>
              <w:top w:val="nil"/>
              <w:left w:val="single" w:sz="4" w:space="0" w:color="auto"/>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777.0</w:t>
            </w:r>
          </w:p>
        </w:tc>
        <w:tc>
          <w:tcPr>
            <w:tcW w:w="1276" w:type="dxa"/>
            <w:tcBorders>
              <w:top w:val="nil"/>
              <w:left w:val="nil"/>
              <w:bottom w:val="nil"/>
              <w:right w:val="nil"/>
            </w:tcBorders>
            <w:shd w:val="clear" w:color="auto" w:fill="auto"/>
            <w:noWrap/>
            <w:vAlign w:val="bottom"/>
            <w:hideMark/>
          </w:tcPr>
          <w:p w:rsidR="0050393B" w:rsidRPr="00A82540" w:rsidRDefault="0050393B" w:rsidP="0050393B">
            <w:pPr>
              <w:jc w:val="center"/>
              <w:rPr>
                <w:rFonts w:ascii="Calibri" w:hAnsi="Calibri" w:cs="Calibri"/>
                <w:color w:val="000000"/>
                <w:sz w:val="22"/>
                <w:lang w:val="es-GT" w:eastAsia="es-GT"/>
              </w:rPr>
            </w:pPr>
            <w:r w:rsidRPr="00A82540">
              <w:rPr>
                <w:rFonts w:ascii="Calibri" w:hAnsi="Calibri" w:cs="Calibri"/>
                <w:color w:val="000000"/>
                <w:sz w:val="22"/>
                <w:lang w:val="es-GT" w:eastAsia="es-GT"/>
              </w:rPr>
              <w:t>801.1</w:t>
            </w:r>
          </w:p>
        </w:tc>
        <w:tc>
          <w:tcPr>
            <w:tcW w:w="1559" w:type="dxa"/>
            <w:tcBorders>
              <w:top w:val="nil"/>
              <w:left w:val="single" w:sz="4" w:space="0" w:color="auto"/>
              <w:bottom w:val="nil"/>
              <w:right w:val="single" w:sz="4"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24.1</w:t>
            </w:r>
          </w:p>
        </w:tc>
        <w:tc>
          <w:tcPr>
            <w:tcW w:w="1559" w:type="dxa"/>
            <w:tcBorders>
              <w:top w:val="nil"/>
              <w:left w:val="nil"/>
              <w:bottom w:val="nil"/>
              <w:right w:val="single" w:sz="8" w:space="0" w:color="auto"/>
            </w:tcBorders>
            <w:shd w:val="clear" w:color="000000" w:fill="FFFFFF"/>
            <w:noWrap/>
            <w:vAlign w:val="bottom"/>
            <w:hideMark/>
          </w:tcPr>
          <w:p w:rsidR="0050393B" w:rsidRPr="00A82540" w:rsidRDefault="0050393B" w:rsidP="0050393B">
            <w:pPr>
              <w:jc w:val="center"/>
              <w:rPr>
                <w:color w:val="000000"/>
                <w:sz w:val="22"/>
                <w:lang w:val="es-GT" w:eastAsia="es-GT"/>
              </w:rPr>
            </w:pPr>
            <w:r w:rsidRPr="00A82540">
              <w:rPr>
                <w:color w:val="000000"/>
                <w:sz w:val="22"/>
                <w:lang w:val="es-GT" w:eastAsia="es-GT"/>
              </w:rPr>
              <w:t>103.1%</w:t>
            </w:r>
          </w:p>
        </w:tc>
      </w:tr>
      <w:tr w:rsidR="0050393B" w:rsidRPr="006F47DA" w:rsidTr="00B10158">
        <w:trPr>
          <w:trHeight w:val="320"/>
        </w:trPr>
        <w:tc>
          <w:tcPr>
            <w:tcW w:w="3482" w:type="dxa"/>
            <w:tcBorders>
              <w:top w:val="nil"/>
              <w:left w:val="single" w:sz="8" w:space="0" w:color="auto"/>
              <w:bottom w:val="single" w:sz="8" w:space="0" w:color="auto"/>
              <w:right w:val="nil"/>
            </w:tcBorders>
            <w:shd w:val="clear" w:color="auto" w:fill="auto"/>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Sector Justicia</w:t>
            </w:r>
          </w:p>
        </w:tc>
        <w:tc>
          <w:tcPr>
            <w:tcW w:w="1418" w:type="dxa"/>
            <w:tcBorders>
              <w:top w:val="nil"/>
              <w:left w:val="single" w:sz="4" w:space="0" w:color="auto"/>
              <w:bottom w:val="single" w:sz="8" w:space="0" w:color="auto"/>
              <w:right w:val="single" w:sz="4" w:space="0" w:color="auto"/>
            </w:tcBorders>
            <w:shd w:val="clear" w:color="auto" w:fill="auto"/>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4,352.8</w:t>
            </w:r>
          </w:p>
        </w:tc>
        <w:tc>
          <w:tcPr>
            <w:tcW w:w="1276" w:type="dxa"/>
            <w:tcBorders>
              <w:top w:val="nil"/>
              <w:left w:val="nil"/>
              <w:bottom w:val="single" w:sz="8" w:space="0" w:color="auto"/>
              <w:right w:val="single" w:sz="4" w:space="0" w:color="auto"/>
            </w:tcBorders>
            <w:shd w:val="clear" w:color="auto" w:fill="auto"/>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4,523.7</w:t>
            </w:r>
          </w:p>
        </w:tc>
        <w:tc>
          <w:tcPr>
            <w:tcW w:w="1559" w:type="dxa"/>
            <w:tcBorders>
              <w:top w:val="nil"/>
              <w:left w:val="nil"/>
              <w:bottom w:val="single" w:sz="8" w:space="0" w:color="auto"/>
              <w:right w:val="single" w:sz="4" w:space="0" w:color="auto"/>
            </w:tcBorders>
            <w:shd w:val="clear" w:color="auto" w:fill="auto"/>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170.9</w:t>
            </w:r>
          </w:p>
        </w:tc>
        <w:tc>
          <w:tcPr>
            <w:tcW w:w="1559" w:type="dxa"/>
            <w:tcBorders>
              <w:top w:val="nil"/>
              <w:left w:val="nil"/>
              <w:bottom w:val="single" w:sz="8" w:space="0" w:color="auto"/>
              <w:right w:val="single" w:sz="8" w:space="0" w:color="auto"/>
            </w:tcBorders>
            <w:shd w:val="clear" w:color="000000" w:fill="FFFFFF"/>
            <w:noWrap/>
            <w:vAlign w:val="bottom"/>
            <w:hideMark/>
          </w:tcPr>
          <w:p w:rsidR="0050393B" w:rsidRPr="00A82540" w:rsidRDefault="0050393B" w:rsidP="0050393B">
            <w:pPr>
              <w:jc w:val="center"/>
              <w:rPr>
                <w:b/>
                <w:bCs/>
                <w:color w:val="000000"/>
                <w:sz w:val="22"/>
                <w:lang w:val="es-GT" w:eastAsia="es-GT"/>
              </w:rPr>
            </w:pPr>
            <w:r w:rsidRPr="00A82540">
              <w:rPr>
                <w:b/>
                <w:bCs/>
                <w:color w:val="000000"/>
                <w:sz w:val="22"/>
                <w:lang w:val="es-GT" w:eastAsia="es-GT"/>
              </w:rPr>
              <w:t>3.9%</w:t>
            </w:r>
          </w:p>
        </w:tc>
      </w:tr>
    </w:tbl>
    <w:p w:rsidR="0050393B" w:rsidRDefault="0050393B" w:rsidP="0050393B">
      <w:pPr>
        <w:jc w:val="both"/>
        <w:rPr>
          <w:sz w:val="18"/>
          <w:lang w:val="es-MX"/>
        </w:rPr>
      </w:pPr>
      <w:r w:rsidRPr="00240C29">
        <w:rPr>
          <w:sz w:val="18"/>
          <w:lang w:val="es-MX"/>
        </w:rPr>
        <w:t>* Cifras preliminares.</w:t>
      </w:r>
    </w:p>
    <w:p w:rsidR="0050393B" w:rsidRDefault="00692735" w:rsidP="0050393B">
      <w:pPr>
        <w:jc w:val="both"/>
        <w:rPr>
          <w:sz w:val="18"/>
          <w:lang w:val="es-MX"/>
        </w:rPr>
      </w:pPr>
      <w:r>
        <w:rPr>
          <w:sz w:val="18"/>
          <w:lang w:val="es-MX"/>
        </w:rPr>
        <w:t xml:space="preserve">    </w:t>
      </w:r>
      <w:r w:rsidR="0050393B" w:rsidRPr="00240C29">
        <w:rPr>
          <w:sz w:val="18"/>
          <w:lang w:val="es-MX"/>
        </w:rPr>
        <w:t>Fuente: Ministerio de Finanzas Públicas</w:t>
      </w:r>
      <w:r w:rsidR="0050393B">
        <w:rPr>
          <w:sz w:val="18"/>
          <w:lang w:val="es-MX"/>
        </w:rPr>
        <w:t>,</w:t>
      </w:r>
      <w:r w:rsidR="0050393B" w:rsidRPr="00240C29">
        <w:rPr>
          <w:sz w:val="18"/>
          <w:lang w:val="es-MX"/>
        </w:rPr>
        <w:t xml:space="preserve"> SICOIN.</w:t>
      </w:r>
    </w:p>
    <w:p w:rsidR="000104A2" w:rsidRPr="00240C29" w:rsidRDefault="000104A2" w:rsidP="0050393B">
      <w:pPr>
        <w:jc w:val="both"/>
        <w:rPr>
          <w:sz w:val="18"/>
          <w:lang w:val="es-MX"/>
        </w:rPr>
      </w:pPr>
    </w:p>
    <w:p w:rsidR="0050393B" w:rsidRDefault="0050393B" w:rsidP="0050393B">
      <w:pPr>
        <w:jc w:val="both"/>
        <w:rPr>
          <w:lang w:val="es-MX"/>
        </w:rPr>
      </w:pPr>
      <w:r>
        <w:rPr>
          <w:lang w:val="es-MX"/>
        </w:rPr>
        <w:lastRenderedPageBreak/>
        <w:t>De acuerdo al</w:t>
      </w:r>
      <w:r w:rsidRPr="009E05CC">
        <w:rPr>
          <w:lang w:val="es-MX"/>
        </w:rPr>
        <w:t xml:space="preserve"> porcentaje de ejecución presupuestaria</w:t>
      </w:r>
      <w:r>
        <w:rPr>
          <w:lang w:val="es-MX"/>
        </w:rPr>
        <w:t xml:space="preserve">, </w:t>
      </w:r>
      <w:r w:rsidRPr="009E05CC">
        <w:rPr>
          <w:lang w:val="es-MX"/>
        </w:rPr>
        <w:t>el año de mayor ejecución</w:t>
      </w:r>
      <w:r>
        <w:rPr>
          <w:lang w:val="es-MX"/>
        </w:rPr>
        <w:t xml:space="preserve"> </w:t>
      </w:r>
      <w:r w:rsidRPr="009E05CC">
        <w:rPr>
          <w:lang w:val="es-MX"/>
        </w:rPr>
        <w:t>es 20</w:t>
      </w:r>
      <w:r>
        <w:rPr>
          <w:lang w:val="es-MX"/>
        </w:rPr>
        <w:t>21, en donde e</w:t>
      </w:r>
      <w:r w:rsidRPr="009E05CC">
        <w:rPr>
          <w:lang w:val="es-MX"/>
        </w:rPr>
        <w:t xml:space="preserve">l gasto destinado a los Acuerdos de Paz </w:t>
      </w:r>
      <w:r>
        <w:rPr>
          <w:lang w:val="es-MX"/>
        </w:rPr>
        <w:t>fue de</w:t>
      </w:r>
      <w:r w:rsidRPr="009E05CC">
        <w:rPr>
          <w:lang w:val="es-MX"/>
        </w:rPr>
        <w:t xml:space="preserve"> </w:t>
      </w:r>
      <w:r>
        <w:rPr>
          <w:lang w:val="es-MX"/>
        </w:rPr>
        <w:t>55.4%, distribuido de la siguiente manera: el gasto social representa el 44.5% y el sector justicia 10.9%.</w:t>
      </w:r>
    </w:p>
    <w:p w:rsidR="0050393B" w:rsidRPr="009E05CC" w:rsidRDefault="0050393B" w:rsidP="0050393B">
      <w:pPr>
        <w:jc w:val="both"/>
        <w:rPr>
          <w:lang w:val="es-MX"/>
        </w:rPr>
      </w:pPr>
    </w:p>
    <w:p w:rsidR="0050393B" w:rsidRDefault="0050393B" w:rsidP="0050393B">
      <w:pPr>
        <w:rPr>
          <w:b/>
          <w:sz w:val="22"/>
          <w:szCs w:val="22"/>
          <w:lang w:val="es-MX"/>
        </w:rPr>
      </w:pPr>
    </w:p>
    <w:p w:rsidR="0050393B" w:rsidRPr="00A7534C" w:rsidRDefault="0050393B" w:rsidP="0050393B">
      <w:pPr>
        <w:jc w:val="center"/>
        <w:rPr>
          <w:b/>
          <w:szCs w:val="22"/>
          <w:lang w:val="es-MX"/>
        </w:rPr>
      </w:pPr>
      <w:r w:rsidRPr="00A7534C">
        <w:rPr>
          <w:b/>
          <w:szCs w:val="22"/>
          <w:lang w:val="es-MX"/>
        </w:rPr>
        <w:t xml:space="preserve">Cuadro </w:t>
      </w:r>
      <w:r w:rsidR="00A249D5">
        <w:rPr>
          <w:b/>
          <w:szCs w:val="22"/>
          <w:lang w:val="es-MX"/>
        </w:rPr>
        <w:t>10</w:t>
      </w:r>
    </w:p>
    <w:p w:rsidR="0050393B" w:rsidRPr="00A7534C" w:rsidRDefault="0050393B" w:rsidP="0050393B">
      <w:pPr>
        <w:jc w:val="center"/>
        <w:rPr>
          <w:b/>
          <w:szCs w:val="22"/>
          <w:lang w:val="es-MX"/>
        </w:rPr>
      </w:pPr>
      <w:r w:rsidRPr="00A7534C">
        <w:rPr>
          <w:b/>
          <w:szCs w:val="22"/>
          <w:lang w:val="es-MX"/>
        </w:rPr>
        <w:t>Ejecución Presupuestaria del Gasto Social y Acuerdos de Paz</w:t>
      </w:r>
    </w:p>
    <w:p w:rsidR="0050393B" w:rsidRPr="00A7534C" w:rsidRDefault="0050393B" w:rsidP="0050393B">
      <w:pPr>
        <w:jc w:val="center"/>
        <w:rPr>
          <w:b/>
          <w:szCs w:val="22"/>
          <w:lang w:val="es-MX"/>
        </w:rPr>
      </w:pPr>
      <w:r w:rsidRPr="00A7534C">
        <w:rPr>
          <w:b/>
          <w:szCs w:val="22"/>
          <w:lang w:val="es-MX"/>
        </w:rPr>
        <w:t>Al 30 de junio de cada año</w:t>
      </w:r>
    </w:p>
    <w:p w:rsidR="0050393B" w:rsidRPr="00A7534C" w:rsidRDefault="0050393B" w:rsidP="0050393B">
      <w:pPr>
        <w:jc w:val="center"/>
        <w:rPr>
          <w:sz w:val="20"/>
          <w:lang w:val="es-MX"/>
        </w:rPr>
      </w:pPr>
      <w:r w:rsidRPr="00A7534C">
        <w:rPr>
          <w:b/>
          <w:szCs w:val="22"/>
          <w:lang w:val="es-MX"/>
        </w:rPr>
        <w:t>(En Porcentajes del Presupuesto Ejecutado)</w:t>
      </w:r>
    </w:p>
    <w:tbl>
      <w:tblPr>
        <w:tblW w:w="9426" w:type="dxa"/>
        <w:tblCellMar>
          <w:left w:w="70" w:type="dxa"/>
          <w:right w:w="70" w:type="dxa"/>
        </w:tblCellMar>
        <w:tblLook w:val="04A0" w:firstRow="1" w:lastRow="0" w:firstColumn="1" w:lastColumn="0" w:noHBand="0" w:noVBand="1"/>
      </w:tblPr>
      <w:tblGrid>
        <w:gridCol w:w="4181"/>
        <w:gridCol w:w="1843"/>
        <w:gridCol w:w="1843"/>
        <w:gridCol w:w="1559"/>
      </w:tblGrid>
      <w:tr w:rsidR="0050393B" w:rsidRPr="00FA0284" w:rsidTr="00DB3B6D">
        <w:trPr>
          <w:trHeight w:val="318"/>
        </w:trPr>
        <w:tc>
          <w:tcPr>
            <w:tcW w:w="4181" w:type="dxa"/>
            <w:tcBorders>
              <w:top w:val="single" w:sz="8" w:space="0" w:color="auto"/>
              <w:left w:val="single" w:sz="8" w:space="0" w:color="auto"/>
              <w:bottom w:val="single" w:sz="4" w:space="0" w:color="auto"/>
              <w:right w:val="nil"/>
            </w:tcBorders>
            <w:shd w:val="clear" w:color="000000" w:fill="8DB4E2"/>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Sector</w:t>
            </w:r>
          </w:p>
        </w:tc>
        <w:tc>
          <w:tcPr>
            <w:tcW w:w="1843" w:type="dxa"/>
            <w:tcBorders>
              <w:top w:val="single" w:sz="8" w:space="0" w:color="auto"/>
              <w:left w:val="single" w:sz="4" w:space="0" w:color="auto"/>
              <w:bottom w:val="single" w:sz="4" w:space="0" w:color="auto"/>
              <w:right w:val="single" w:sz="4" w:space="0" w:color="auto"/>
            </w:tcBorders>
            <w:shd w:val="clear" w:color="000000" w:fill="8DB4E2"/>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2019</w:t>
            </w:r>
          </w:p>
        </w:tc>
        <w:tc>
          <w:tcPr>
            <w:tcW w:w="1843" w:type="dxa"/>
            <w:tcBorders>
              <w:top w:val="single" w:sz="8" w:space="0" w:color="auto"/>
              <w:left w:val="nil"/>
              <w:bottom w:val="single" w:sz="4" w:space="0" w:color="auto"/>
              <w:right w:val="single" w:sz="4" w:space="0" w:color="auto"/>
            </w:tcBorders>
            <w:shd w:val="clear" w:color="000000" w:fill="8DB4E2"/>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2020</w:t>
            </w:r>
          </w:p>
        </w:tc>
        <w:tc>
          <w:tcPr>
            <w:tcW w:w="1559" w:type="dxa"/>
            <w:tcBorders>
              <w:top w:val="single" w:sz="8" w:space="0" w:color="auto"/>
              <w:left w:val="single" w:sz="4" w:space="0" w:color="auto"/>
              <w:bottom w:val="single" w:sz="4" w:space="0" w:color="auto"/>
              <w:right w:val="single" w:sz="8" w:space="0" w:color="auto"/>
            </w:tcBorders>
            <w:shd w:val="clear" w:color="000000" w:fill="8DB4E2"/>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2021*</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Total</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51.0%</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51.7%</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55.4%</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Salud y Asistencia Social</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14.8%</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17.3%</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20.6%</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Educación, Ciencia y Cultura</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25.2%</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23.5%</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23.7%</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Vivienda</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0.1%</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0.3%</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0.2%</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Gasto Social</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40.2%</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41.1%</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44.5%</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Seguridad Interna</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5.7%</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5.8%</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6.3%</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Organismo Judicial y C.C</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3.2%</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2.8%</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2.7%</w:t>
            </w:r>
          </w:p>
        </w:tc>
      </w:tr>
      <w:tr w:rsidR="0050393B" w:rsidRPr="00FA0284" w:rsidTr="00DB3B6D">
        <w:trPr>
          <w:trHeight w:val="318"/>
        </w:trPr>
        <w:tc>
          <w:tcPr>
            <w:tcW w:w="4181" w:type="dxa"/>
            <w:tcBorders>
              <w:top w:val="nil"/>
              <w:left w:val="single" w:sz="8" w:space="0" w:color="auto"/>
              <w:bottom w:val="nil"/>
              <w:right w:val="nil"/>
            </w:tcBorders>
            <w:shd w:val="clear" w:color="000000" w:fill="FFFFFF"/>
            <w:noWrap/>
            <w:vAlign w:val="center"/>
            <w:hideMark/>
          </w:tcPr>
          <w:p w:rsidR="0050393B" w:rsidRPr="00FA0284" w:rsidRDefault="0050393B" w:rsidP="00DB3B6D">
            <w:pPr>
              <w:rPr>
                <w:color w:val="000000"/>
                <w:sz w:val="22"/>
                <w:szCs w:val="22"/>
                <w:lang w:val="es-GT" w:eastAsia="es-GT"/>
              </w:rPr>
            </w:pPr>
            <w:r w:rsidRPr="00FA0284">
              <w:rPr>
                <w:color w:val="000000"/>
                <w:sz w:val="22"/>
                <w:szCs w:val="22"/>
                <w:lang w:val="es-GT" w:eastAsia="es-GT"/>
              </w:rPr>
              <w:t>Ministerio Público</w:t>
            </w:r>
          </w:p>
        </w:tc>
        <w:tc>
          <w:tcPr>
            <w:tcW w:w="1843" w:type="dxa"/>
            <w:tcBorders>
              <w:top w:val="nil"/>
              <w:left w:val="single" w:sz="4" w:space="0" w:color="auto"/>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1.9%</w:t>
            </w:r>
          </w:p>
        </w:tc>
        <w:tc>
          <w:tcPr>
            <w:tcW w:w="1843" w:type="dxa"/>
            <w:tcBorders>
              <w:top w:val="nil"/>
              <w:left w:val="nil"/>
              <w:bottom w:val="nil"/>
              <w:right w:val="single" w:sz="4"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1.9%</w:t>
            </w:r>
          </w:p>
        </w:tc>
        <w:tc>
          <w:tcPr>
            <w:tcW w:w="1559" w:type="dxa"/>
            <w:tcBorders>
              <w:top w:val="nil"/>
              <w:left w:val="nil"/>
              <w:bottom w:val="nil"/>
              <w:right w:val="single" w:sz="8" w:space="0" w:color="auto"/>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1.9%</w:t>
            </w:r>
          </w:p>
        </w:tc>
      </w:tr>
      <w:tr w:rsidR="0050393B" w:rsidRPr="00FA0284" w:rsidTr="00DB3B6D">
        <w:trPr>
          <w:trHeight w:val="329"/>
        </w:trPr>
        <w:tc>
          <w:tcPr>
            <w:tcW w:w="4181" w:type="dxa"/>
            <w:tcBorders>
              <w:top w:val="nil"/>
              <w:left w:val="single" w:sz="8" w:space="0" w:color="auto"/>
              <w:bottom w:val="single" w:sz="8" w:space="0" w:color="auto"/>
              <w:right w:val="nil"/>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Sector Justicia</w:t>
            </w:r>
          </w:p>
        </w:tc>
        <w:tc>
          <w:tcPr>
            <w:tcW w:w="1843" w:type="dxa"/>
            <w:tcBorders>
              <w:top w:val="nil"/>
              <w:left w:val="single" w:sz="4" w:space="0" w:color="auto"/>
              <w:bottom w:val="single" w:sz="8" w:space="0" w:color="auto"/>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10.8%</w:t>
            </w:r>
          </w:p>
        </w:tc>
        <w:tc>
          <w:tcPr>
            <w:tcW w:w="1843" w:type="dxa"/>
            <w:tcBorders>
              <w:top w:val="nil"/>
              <w:left w:val="nil"/>
              <w:bottom w:val="single" w:sz="8" w:space="0" w:color="auto"/>
              <w:right w:val="single" w:sz="4"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10.5%</w:t>
            </w:r>
          </w:p>
        </w:tc>
        <w:tc>
          <w:tcPr>
            <w:tcW w:w="1559" w:type="dxa"/>
            <w:tcBorders>
              <w:top w:val="nil"/>
              <w:left w:val="nil"/>
              <w:bottom w:val="single" w:sz="8" w:space="0" w:color="auto"/>
              <w:right w:val="single" w:sz="8" w:space="0" w:color="auto"/>
            </w:tcBorders>
            <w:shd w:val="clear" w:color="000000" w:fill="FFFFFF"/>
            <w:noWrap/>
            <w:vAlign w:val="center"/>
            <w:hideMark/>
          </w:tcPr>
          <w:p w:rsidR="0050393B" w:rsidRPr="00FA0284" w:rsidRDefault="0050393B" w:rsidP="0050393B">
            <w:pPr>
              <w:jc w:val="center"/>
              <w:rPr>
                <w:b/>
                <w:bCs/>
                <w:color w:val="000000"/>
                <w:sz w:val="22"/>
                <w:szCs w:val="22"/>
                <w:lang w:val="es-GT" w:eastAsia="es-GT"/>
              </w:rPr>
            </w:pPr>
            <w:r w:rsidRPr="00FA0284">
              <w:rPr>
                <w:b/>
                <w:bCs/>
                <w:color w:val="000000"/>
                <w:sz w:val="22"/>
                <w:szCs w:val="22"/>
                <w:lang w:val="es-GT" w:eastAsia="es-GT"/>
              </w:rPr>
              <w:t>10.9%</w:t>
            </w:r>
          </w:p>
        </w:tc>
      </w:tr>
      <w:tr w:rsidR="0050393B" w:rsidRPr="00FA0284" w:rsidTr="00DB3B6D">
        <w:trPr>
          <w:trHeight w:val="329"/>
        </w:trPr>
        <w:tc>
          <w:tcPr>
            <w:tcW w:w="4181" w:type="dxa"/>
            <w:tcBorders>
              <w:top w:val="nil"/>
              <w:left w:val="nil"/>
              <w:bottom w:val="nil"/>
              <w:right w:val="nil"/>
            </w:tcBorders>
            <w:shd w:val="clear" w:color="000000" w:fill="FFFFFF"/>
            <w:noWrap/>
            <w:vAlign w:val="center"/>
            <w:hideMark/>
          </w:tcPr>
          <w:p w:rsidR="0050393B" w:rsidRPr="00FA0284" w:rsidRDefault="0050393B" w:rsidP="0050393B">
            <w:pPr>
              <w:rPr>
                <w:color w:val="000000"/>
                <w:sz w:val="22"/>
                <w:szCs w:val="22"/>
                <w:lang w:val="es-GT" w:eastAsia="es-GT"/>
              </w:rPr>
            </w:pPr>
            <w:r w:rsidRPr="00FA0284">
              <w:rPr>
                <w:color w:val="000000"/>
                <w:sz w:val="22"/>
                <w:szCs w:val="22"/>
                <w:lang w:val="es-GT" w:eastAsia="es-GT"/>
              </w:rPr>
              <w:t>Ejecución Presupuestaria</w:t>
            </w:r>
          </w:p>
        </w:tc>
        <w:tc>
          <w:tcPr>
            <w:tcW w:w="1843" w:type="dxa"/>
            <w:tcBorders>
              <w:top w:val="nil"/>
              <w:left w:val="nil"/>
              <w:bottom w:val="nil"/>
              <w:right w:val="nil"/>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 xml:space="preserve">37,890.0 </w:t>
            </w:r>
          </w:p>
        </w:tc>
        <w:tc>
          <w:tcPr>
            <w:tcW w:w="1843" w:type="dxa"/>
            <w:tcBorders>
              <w:top w:val="nil"/>
              <w:left w:val="nil"/>
              <w:bottom w:val="nil"/>
              <w:right w:val="nil"/>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 xml:space="preserve">41,296.2 </w:t>
            </w:r>
          </w:p>
        </w:tc>
        <w:tc>
          <w:tcPr>
            <w:tcW w:w="1559" w:type="dxa"/>
            <w:tcBorders>
              <w:top w:val="nil"/>
              <w:left w:val="nil"/>
              <w:bottom w:val="nil"/>
              <w:right w:val="nil"/>
            </w:tcBorders>
            <w:shd w:val="clear" w:color="000000" w:fill="FFFFFF"/>
            <w:noWrap/>
            <w:vAlign w:val="center"/>
            <w:hideMark/>
          </w:tcPr>
          <w:p w:rsidR="0050393B" w:rsidRPr="00FA0284" w:rsidRDefault="0050393B" w:rsidP="0050393B">
            <w:pPr>
              <w:jc w:val="center"/>
              <w:rPr>
                <w:color w:val="000000"/>
                <w:sz w:val="22"/>
                <w:szCs w:val="22"/>
                <w:lang w:val="es-GT" w:eastAsia="es-GT"/>
              </w:rPr>
            </w:pPr>
            <w:r w:rsidRPr="00FA0284">
              <w:rPr>
                <w:color w:val="000000"/>
                <w:sz w:val="22"/>
                <w:szCs w:val="22"/>
                <w:lang w:val="es-GT" w:eastAsia="es-GT"/>
              </w:rPr>
              <w:t xml:space="preserve">41,408.5 </w:t>
            </w:r>
          </w:p>
        </w:tc>
      </w:tr>
    </w:tbl>
    <w:p w:rsidR="0050393B" w:rsidRPr="00C45AAA" w:rsidRDefault="0050393B" w:rsidP="0050393B">
      <w:pPr>
        <w:jc w:val="both"/>
        <w:rPr>
          <w:sz w:val="8"/>
          <w:lang w:val="es-MX"/>
        </w:rPr>
      </w:pPr>
    </w:p>
    <w:p w:rsidR="0050393B" w:rsidRDefault="0050393B" w:rsidP="0050393B">
      <w:pPr>
        <w:jc w:val="both"/>
        <w:rPr>
          <w:sz w:val="18"/>
          <w:lang w:val="es-MX"/>
        </w:rPr>
      </w:pPr>
      <w:r w:rsidRPr="00240C29">
        <w:rPr>
          <w:sz w:val="18"/>
          <w:lang w:val="es-MX"/>
        </w:rPr>
        <w:t>* Cifras preliminares.</w:t>
      </w:r>
    </w:p>
    <w:p w:rsidR="0050393B" w:rsidRDefault="0050393B" w:rsidP="0050393B">
      <w:pPr>
        <w:jc w:val="both"/>
        <w:rPr>
          <w:sz w:val="18"/>
          <w:lang w:val="es-MX"/>
        </w:rPr>
      </w:pPr>
      <w:r>
        <w:rPr>
          <w:sz w:val="18"/>
          <w:lang w:val="es-MX"/>
        </w:rPr>
        <w:t xml:space="preserve">   </w:t>
      </w:r>
      <w:r w:rsidRPr="00240C29">
        <w:rPr>
          <w:sz w:val="18"/>
          <w:lang w:val="es-MX"/>
        </w:rPr>
        <w:t>Fuente: Ministerio de Finanzas Públicas con base al SICOIN.</w:t>
      </w:r>
    </w:p>
    <w:p w:rsidR="0050393B" w:rsidRDefault="0050393B" w:rsidP="0050393B">
      <w:pPr>
        <w:jc w:val="both"/>
        <w:rPr>
          <w:sz w:val="18"/>
          <w:lang w:val="es-MX"/>
        </w:rPr>
      </w:pPr>
    </w:p>
    <w:p w:rsidR="0050393B" w:rsidRPr="005E55DE" w:rsidRDefault="0050393B" w:rsidP="004C636B">
      <w:pPr>
        <w:pStyle w:val="Ttulo3"/>
        <w:numPr>
          <w:ilvl w:val="0"/>
          <w:numId w:val="7"/>
        </w:numPr>
        <w:ind w:left="426"/>
        <w:rPr>
          <w:rFonts w:ascii="Times New Roman" w:hAnsi="Times New Roman"/>
          <w:color w:val="auto"/>
          <w:lang w:val="es-MX"/>
        </w:rPr>
      </w:pPr>
      <w:bookmarkStart w:id="21" w:name="_Toc83713629"/>
      <w:r w:rsidRPr="005E55DE">
        <w:rPr>
          <w:rFonts w:ascii="Times New Roman" w:hAnsi="Times New Roman"/>
          <w:color w:val="auto"/>
          <w:lang w:val="es-MX"/>
        </w:rPr>
        <w:t>Gasto Ejecutado a través de Fideicomisos</w:t>
      </w:r>
      <w:bookmarkEnd w:id="21"/>
    </w:p>
    <w:p w:rsidR="0050393B" w:rsidRDefault="0050393B" w:rsidP="0050393B">
      <w:pPr>
        <w:jc w:val="both"/>
        <w:rPr>
          <w:lang w:val="es-MX"/>
        </w:rPr>
      </w:pPr>
    </w:p>
    <w:p w:rsidR="0050393B" w:rsidRDefault="0050393B" w:rsidP="0050393B">
      <w:pPr>
        <w:jc w:val="both"/>
        <w:rPr>
          <w:lang w:val="es-MX"/>
        </w:rPr>
      </w:pPr>
      <w:r w:rsidRPr="00FB641E">
        <w:rPr>
          <w:lang w:val="es-MX"/>
        </w:rPr>
        <w:t>Al 30 de junio de 20</w:t>
      </w:r>
      <w:r>
        <w:rPr>
          <w:lang w:val="es-MX"/>
        </w:rPr>
        <w:t>21</w:t>
      </w:r>
      <w:r w:rsidRPr="00FB641E">
        <w:rPr>
          <w:lang w:val="es-MX"/>
        </w:rPr>
        <w:t xml:space="preserve">, la ejecución </w:t>
      </w:r>
      <w:r>
        <w:rPr>
          <w:lang w:val="es-MX"/>
        </w:rPr>
        <w:t xml:space="preserve">a través de </w:t>
      </w:r>
      <w:r w:rsidRPr="00FB641E">
        <w:rPr>
          <w:lang w:val="es-MX"/>
        </w:rPr>
        <w:t>fideicomisos</w:t>
      </w:r>
      <w:r w:rsidRPr="004720E6">
        <w:rPr>
          <w:vertAlign w:val="superscript"/>
        </w:rPr>
        <w:footnoteReference w:id="2"/>
      </w:r>
      <w:r>
        <w:rPr>
          <w:lang w:val="es-MX"/>
        </w:rPr>
        <w:t xml:space="preserve"> disminuyó en Q.159.2 millones respecto de lo observado en el mismo período de 2020, que pasó de Q.314.7 millones (0.8%) a Q.155.5 millones en 2021, (0.4%) de la ejecución total.</w:t>
      </w:r>
    </w:p>
    <w:p w:rsidR="0050393B" w:rsidRDefault="0050393B" w:rsidP="0050393B">
      <w:pPr>
        <w:jc w:val="both"/>
        <w:rPr>
          <w:lang w:val="es-MX"/>
        </w:rPr>
      </w:pPr>
    </w:p>
    <w:p w:rsidR="0050393B" w:rsidRPr="00FB641E" w:rsidRDefault="0050393B" w:rsidP="0050393B">
      <w:pPr>
        <w:jc w:val="both"/>
        <w:rPr>
          <w:lang w:val="es-MX"/>
        </w:rPr>
      </w:pPr>
      <w:r>
        <w:rPr>
          <w:lang w:val="es-MX"/>
        </w:rPr>
        <w:t>La ejecución se concentra especialmente en los siguientes fideicomisos: Inversión para la Vivienda con Q.85.1 millones, Fondo de Protección Social con Q.65.1 millones</w:t>
      </w:r>
      <w:r>
        <w:rPr>
          <w:lang w:val="es-GT" w:eastAsia="es-GT"/>
        </w:rPr>
        <w:t xml:space="preserve"> y otros fideicomisos con Q.5.4 millones.</w:t>
      </w:r>
    </w:p>
    <w:p w:rsidR="0050393B" w:rsidRDefault="0050393B" w:rsidP="0050393B">
      <w:pPr>
        <w:jc w:val="both"/>
        <w:rPr>
          <w:lang w:val="es-MX"/>
        </w:rPr>
      </w:pPr>
    </w:p>
    <w:p w:rsidR="0050393B" w:rsidRDefault="0050393B" w:rsidP="0050393B">
      <w:pPr>
        <w:jc w:val="center"/>
        <w:rPr>
          <w:b/>
          <w:szCs w:val="22"/>
          <w:lang w:val="es-MX"/>
        </w:rPr>
      </w:pPr>
    </w:p>
    <w:p w:rsidR="0050393B" w:rsidRDefault="0050393B" w:rsidP="0050393B">
      <w:pPr>
        <w:jc w:val="center"/>
        <w:rPr>
          <w:b/>
          <w:szCs w:val="22"/>
          <w:lang w:val="es-MX"/>
        </w:rPr>
      </w:pPr>
    </w:p>
    <w:p w:rsidR="0050393B" w:rsidRPr="00E4168F" w:rsidRDefault="0050393B" w:rsidP="0050393B">
      <w:pPr>
        <w:jc w:val="center"/>
        <w:rPr>
          <w:b/>
          <w:szCs w:val="22"/>
          <w:lang w:val="es-MX"/>
        </w:rPr>
      </w:pPr>
      <w:r w:rsidRPr="00E4168F">
        <w:rPr>
          <w:b/>
          <w:szCs w:val="22"/>
          <w:lang w:val="es-MX"/>
        </w:rPr>
        <w:lastRenderedPageBreak/>
        <w:t>Cuadro 1</w:t>
      </w:r>
      <w:r w:rsidR="00A249D5">
        <w:rPr>
          <w:b/>
          <w:szCs w:val="22"/>
          <w:lang w:val="es-MX"/>
        </w:rPr>
        <w:t>1</w:t>
      </w:r>
    </w:p>
    <w:p w:rsidR="0050393B" w:rsidRPr="00E4168F" w:rsidRDefault="0050393B" w:rsidP="0050393B">
      <w:pPr>
        <w:jc w:val="center"/>
        <w:rPr>
          <w:b/>
          <w:szCs w:val="22"/>
          <w:lang w:val="es-MX"/>
        </w:rPr>
      </w:pPr>
      <w:r w:rsidRPr="00E4168F">
        <w:rPr>
          <w:b/>
          <w:szCs w:val="22"/>
          <w:lang w:val="es-MX"/>
        </w:rPr>
        <w:t>Ejecución Presupuestaria a través de Fideicomisos</w:t>
      </w:r>
    </w:p>
    <w:p w:rsidR="0050393B" w:rsidRPr="00E4168F" w:rsidRDefault="0050393B" w:rsidP="0050393B">
      <w:pPr>
        <w:jc w:val="center"/>
        <w:rPr>
          <w:b/>
          <w:szCs w:val="22"/>
          <w:lang w:val="es-MX"/>
        </w:rPr>
      </w:pPr>
      <w:r w:rsidRPr="00E4168F">
        <w:rPr>
          <w:b/>
          <w:szCs w:val="22"/>
          <w:lang w:val="es-MX"/>
        </w:rPr>
        <w:t>Al 30 de junio de cada año</w:t>
      </w:r>
    </w:p>
    <w:tbl>
      <w:tblPr>
        <w:tblW w:w="9560" w:type="dxa"/>
        <w:tblCellMar>
          <w:left w:w="0" w:type="dxa"/>
          <w:right w:w="0" w:type="dxa"/>
        </w:tblCellMar>
        <w:tblLook w:val="04A0" w:firstRow="1" w:lastRow="0" w:firstColumn="1" w:lastColumn="0" w:noHBand="0" w:noVBand="1"/>
      </w:tblPr>
      <w:tblGrid>
        <w:gridCol w:w="5376"/>
        <w:gridCol w:w="977"/>
        <w:gridCol w:w="977"/>
        <w:gridCol w:w="1190"/>
        <w:gridCol w:w="1040"/>
      </w:tblGrid>
      <w:tr w:rsidR="00551DBA" w:rsidTr="00551DBA">
        <w:trPr>
          <w:trHeight w:val="310"/>
        </w:trPr>
        <w:tc>
          <w:tcPr>
            <w:tcW w:w="5376" w:type="dxa"/>
            <w:vMerge w:val="restart"/>
            <w:tcBorders>
              <w:top w:val="single" w:sz="8" w:space="0" w:color="auto"/>
              <w:left w:val="single" w:sz="8" w:space="0" w:color="auto"/>
              <w:bottom w:val="single" w:sz="4" w:space="0" w:color="000000"/>
              <w:right w:val="single" w:sz="4" w:space="0" w:color="auto"/>
            </w:tcBorders>
            <w:shd w:val="clear" w:color="000000" w:fill="8DB4E2"/>
            <w:tcMar>
              <w:top w:w="15" w:type="dxa"/>
              <w:left w:w="15" w:type="dxa"/>
              <w:bottom w:w="0" w:type="dxa"/>
              <w:right w:w="15" w:type="dxa"/>
            </w:tcMar>
            <w:vAlign w:val="center"/>
            <w:hideMark/>
          </w:tcPr>
          <w:p w:rsidR="00551DBA" w:rsidRDefault="00551DBA" w:rsidP="0050393B">
            <w:pPr>
              <w:jc w:val="center"/>
              <w:rPr>
                <w:b/>
                <w:bCs/>
                <w:lang w:val="es-GT" w:eastAsia="es-GT"/>
              </w:rPr>
            </w:pPr>
            <w:r>
              <w:rPr>
                <w:b/>
                <w:bCs/>
              </w:rPr>
              <w:t>Descripción</w:t>
            </w:r>
          </w:p>
        </w:tc>
        <w:tc>
          <w:tcPr>
            <w:tcW w:w="977" w:type="dxa"/>
            <w:vMerge w:val="restart"/>
            <w:tcBorders>
              <w:top w:val="single" w:sz="8" w:space="0" w:color="auto"/>
              <w:left w:val="single" w:sz="4" w:space="0" w:color="auto"/>
              <w:bottom w:val="single" w:sz="4" w:space="0" w:color="000000"/>
              <w:right w:val="single" w:sz="4" w:space="0" w:color="auto"/>
            </w:tcBorders>
            <w:shd w:val="clear" w:color="000000" w:fill="8DB4E2"/>
            <w:tcMar>
              <w:top w:w="15" w:type="dxa"/>
              <w:left w:w="15" w:type="dxa"/>
              <w:bottom w:w="0" w:type="dxa"/>
              <w:right w:w="15" w:type="dxa"/>
            </w:tcMar>
            <w:vAlign w:val="center"/>
            <w:hideMark/>
          </w:tcPr>
          <w:p w:rsidR="00551DBA" w:rsidRDefault="00551DBA" w:rsidP="00551DBA">
            <w:pPr>
              <w:jc w:val="center"/>
              <w:rPr>
                <w:b/>
                <w:bCs/>
              </w:rPr>
            </w:pPr>
            <w:r>
              <w:rPr>
                <w:b/>
                <w:bCs/>
              </w:rPr>
              <w:t>2020</w:t>
            </w:r>
          </w:p>
        </w:tc>
        <w:tc>
          <w:tcPr>
            <w:tcW w:w="977" w:type="dxa"/>
            <w:vMerge w:val="restart"/>
            <w:tcBorders>
              <w:top w:val="single" w:sz="8" w:space="0" w:color="auto"/>
              <w:left w:val="nil"/>
              <w:bottom w:val="single" w:sz="4" w:space="0" w:color="000000"/>
              <w:right w:val="single" w:sz="4" w:space="0" w:color="auto"/>
            </w:tcBorders>
            <w:shd w:val="clear" w:color="000000" w:fill="8DB4E2"/>
            <w:tcMar>
              <w:top w:w="15" w:type="dxa"/>
              <w:left w:w="15" w:type="dxa"/>
              <w:bottom w:w="0" w:type="dxa"/>
              <w:right w:w="15" w:type="dxa"/>
            </w:tcMar>
            <w:vAlign w:val="center"/>
            <w:hideMark/>
          </w:tcPr>
          <w:p w:rsidR="00551DBA" w:rsidRDefault="00551DBA" w:rsidP="00551DBA">
            <w:pPr>
              <w:jc w:val="center"/>
              <w:rPr>
                <w:b/>
                <w:bCs/>
              </w:rPr>
            </w:pPr>
            <w:r>
              <w:rPr>
                <w:b/>
                <w:bCs/>
              </w:rPr>
              <w:t>2021</w:t>
            </w:r>
          </w:p>
        </w:tc>
        <w:tc>
          <w:tcPr>
            <w:tcW w:w="2230" w:type="dxa"/>
            <w:gridSpan w:val="2"/>
            <w:tcBorders>
              <w:top w:val="single" w:sz="8" w:space="0" w:color="auto"/>
              <w:left w:val="nil"/>
              <w:bottom w:val="single" w:sz="4" w:space="0" w:color="auto"/>
              <w:right w:val="single" w:sz="8" w:space="0" w:color="auto"/>
            </w:tcBorders>
            <w:shd w:val="clear" w:color="000000" w:fill="8DB4E2"/>
            <w:noWrap/>
            <w:tcMar>
              <w:top w:w="15" w:type="dxa"/>
              <w:left w:w="15" w:type="dxa"/>
              <w:bottom w:w="0" w:type="dxa"/>
              <w:right w:w="15" w:type="dxa"/>
            </w:tcMar>
            <w:vAlign w:val="center"/>
            <w:hideMark/>
          </w:tcPr>
          <w:p w:rsidR="00551DBA" w:rsidRDefault="00551DBA" w:rsidP="00551DBA">
            <w:pPr>
              <w:jc w:val="center"/>
              <w:rPr>
                <w:b/>
                <w:bCs/>
              </w:rPr>
            </w:pPr>
            <w:r>
              <w:rPr>
                <w:b/>
                <w:bCs/>
              </w:rPr>
              <w:t>Diferencias</w:t>
            </w:r>
          </w:p>
        </w:tc>
      </w:tr>
      <w:tr w:rsidR="0050393B" w:rsidTr="00551DBA">
        <w:trPr>
          <w:trHeight w:val="310"/>
        </w:trPr>
        <w:tc>
          <w:tcPr>
            <w:tcW w:w="0" w:type="auto"/>
            <w:vMerge/>
            <w:tcBorders>
              <w:top w:val="single" w:sz="8" w:space="0" w:color="auto"/>
              <w:left w:val="single" w:sz="8" w:space="0" w:color="auto"/>
              <w:bottom w:val="single" w:sz="4" w:space="0" w:color="000000"/>
              <w:right w:val="single" w:sz="4" w:space="0" w:color="auto"/>
            </w:tcBorders>
            <w:vAlign w:val="center"/>
            <w:hideMark/>
          </w:tcPr>
          <w:p w:rsidR="0050393B" w:rsidRDefault="0050393B" w:rsidP="0050393B">
            <w:pPr>
              <w:rPr>
                <w:b/>
                <w:bCs/>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50393B" w:rsidRDefault="0050393B" w:rsidP="0050393B">
            <w:pPr>
              <w:rPr>
                <w:b/>
                <w:bCs/>
              </w:rPr>
            </w:pPr>
          </w:p>
        </w:tc>
        <w:tc>
          <w:tcPr>
            <w:tcW w:w="0" w:type="auto"/>
            <w:vMerge/>
            <w:tcBorders>
              <w:top w:val="single" w:sz="8" w:space="0" w:color="auto"/>
              <w:left w:val="nil"/>
              <w:bottom w:val="single" w:sz="4" w:space="0" w:color="000000"/>
              <w:right w:val="single" w:sz="4" w:space="0" w:color="auto"/>
            </w:tcBorders>
            <w:vAlign w:val="center"/>
            <w:hideMark/>
          </w:tcPr>
          <w:p w:rsidR="0050393B" w:rsidRDefault="0050393B" w:rsidP="0050393B">
            <w:pPr>
              <w:rPr>
                <w:b/>
                <w:bCs/>
              </w:rPr>
            </w:pPr>
          </w:p>
        </w:tc>
        <w:tc>
          <w:tcPr>
            <w:tcW w:w="0" w:type="auto"/>
            <w:tcBorders>
              <w:top w:val="nil"/>
              <w:left w:val="nil"/>
              <w:bottom w:val="single" w:sz="4" w:space="0" w:color="auto"/>
              <w:right w:val="single" w:sz="4" w:space="0" w:color="auto"/>
            </w:tcBorders>
            <w:shd w:val="clear" w:color="000000" w:fill="8DB4E2"/>
            <w:noWrap/>
            <w:tcMar>
              <w:top w:w="15" w:type="dxa"/>
              <w:left w:w="15" w:type="dxa"/>
              <w:bottom w:w="0" w:type="dxa"/>
              <w:right w:w="15" w:type="dxa"/>
            </w:tcMar>
            <w:vAlign w:val="center"/>
            <w:hideMark/>
          </w:tcPr>
          <w:p w:rsidR="0050393B" w:rsidRDefault="0050393B" w:rsidP="00551DBA">
            <w:pPr>
              <w:jc w:val="center"/>
              <w:rPr>
                <w:b/>
                <w:bCs/>
              </w:rPr>
            </w:pPr>
            <w:r>
              <w:rPr>
                <w:b/>
                <w:bCs/>
              </w:rPr>
              <w:t>Absolutas</w:t>
            </w:r>
          </w:p>
        </w:tc>
        <w:tc>
          <w:tcPr>
            <w:tcW w:w="0" w:type="auto"/>
            <w:tcBorders>
              <w:top w:val="nil"/>
              <w:left w:val="nil"/>
              <w:bottom w:val="single" w:sz="4" w:space="0" w:color="auto"/>
              <w:right w:val="single" w:sz="8" w:space="0" w:color="auto"/>
            </w:tcBorders>
            <w:shd w:val="clear" w:color="000000" w:fill="8DB4E2"/>
            <w:noWrap/>
            <w:tcMar>
              <w:top w:w="15" w:type="dxa"/>
              <w:left w:w="15" w:type="dxa"/>
              <w:bottom w:w="0" w:type="dxa"/>
              <w:right w:w="15" w:type="dxa"/>
            </w:tcMar>
            <w:vAlign w:val="center"/>
            <w:hideMark/>
          </w:tcPr>
          <w:p w:rsidR="0050393B" w:rsidRDefault="0050393B" w:rsidP="00551DBA">
            <w:pPr>
              <w:jc w:val="center"/>
              <w:rPr>
                <w:b/>
                <w:bCs/>
              </w:rPr>
            </w:pPr>
            <w:r>
              <w:rPr>
                <w:b/>
                <w:bCs/>
              </w:rPr>
              <w:t>Relativas</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jc w:val="center"/>
              <w:rPr>
                <w:b/>
                <w:bCs/>
                <w:sz w:val="22"/>
                <w:szCs w:val="22"/>
              </w:rPr>
            </w:pPr>
            <w:r w:rsidRPr="00155D0D">
              <w:rPr>
                <w:b/>
                <w:bCs/>
                <w:sz w:val="22"/>
                <w:szCs w:val="22"/>
              </w:rPr>
              <w:t>Total</w:t>
            </w:r>
          </w:p>
        </w:tc>
        <w:tc>
          <w:tcPr>
            <w:tcW w:w="977" w:type="dxa"/>
            <w:tcBorders>
              <w:top w:val="nil"/>
              <w:left w:val="single" w:sz="4"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jc w:val="center"/>
              <w:rPr>
                <w:b/>
                <w:bCs/>
                <w:sz w:val="22"/>
                <w:szCs w:val="22"/>
              </w:rPr>
            </w:pPr>
            <w:r w:rsidRPr="00155D0D">
              <w:rPr>
                <w:b/>
                <w:bCs/>
                <w:sz w:val="22"/>
                <w:szCs w:val="22"/>
              </w:rPr>
              <w:t>314.7</w:t>
            </w:r>
          </w:p>
        </w:tc>
        <w:tc>
          <w:tcPr>
            <w:tcW w:w="977" w:type="dxa"/>
            <w:tcBorders>
              <w:top w:val="nil"/>
              <w:left w:val="nil"/>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jc w:val="center"/>
              <w:rPr>
                <w:b/>
                <w:bCs/>
                <w:sz w:val="22"/>
                <w:szCs w:val="22"/>
              </w:rPr>
            </w:pPr>
            <w:r w:rsidRPr="00155D0D">
              <w:rPr>
                <w:b/>
                <w:bCs/>
                <w:sz w:val="22"/>
                <w:szCs w:val="22"/>
              </w:rPr>
              <w:t>155.5</w:t>
            </w:r>
          </w:p>
        </w:tc>
        <w:tc>
          <w:tcPr>
            <w:tcW w:w="1190" w:type="dxa"/>
            <w:tcBorders>
              <w:top w:val="nil"/>
              <w:left w:val="nil"/>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jc w:val="center"/>
              <w:rPr>
                <w:b/>
                <w:bCs/>
                <w:sz w:val="22"/>
                <w:szCs w:val="22"/>
              </w:rPr>
            </w:pPr>
            <w:r w:rsidRPr="00155D0D">
              <w:rPr>
                <w:b/>
                <w:bCs/>
                <w:sz w:val="22"/>
                <w:szCs w:val="22"/>
              </w:rPr>
              <w:t>-159.2</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b/>
                <w:bCs/>
                <w:sz w:val="22"/>
                <w:szCs w:val="22"/>
              </w:rPr>
            </w:pPr>
            <w:r w:rsidRPr="00155D0D">
              <w:rPr>
                <w:b/>
                <w:bCs/>
                <w:sz w:val="22"/>
                <w:szCs w:val="22"/>
              </w:rPr>
              <w:t>-50.6%</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hideMark/>
          </w:tcPr>
          <w:p w:rsidR="0050393B" w:rsidRPr="00155D0D" w:rsidRDefault="0050393B" w:rsidP="0050393B">
            <w:pPr>
              <w:rPr>
                <w:sz w:val="22"/>
                <w:szCs w:val="22"/>
              </w:rPr>
            </w:pPr>
            <w:r w:rsidRPr="00155D0D">
              <w:rPr>
                <w:sz w:val="22"/>
                <w:szCs w:val="22"/>
              </w:rPr>
              <w:t xml:space="preserve">Fondo Nacional para la Conservación de la Naturaleza </w:t>
            </w:r>
          </w:p>
        </w:tc>
        <w:tc>
          <w:tcPr>
            <w:tcW w:w="977" w:type="dxa"/>
            <w:tcBorders>
              <w:top w:val="nil"/>
              <w:left w:val="single" w:sz="4"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0.2</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sz w:val="22"/>
                <w:szCs w:val="22"/>
              </w:rPr>
            </w:pP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-0.2</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-100.0%</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hideMark/>
          </w:tcPr>
          <w:p w:rsidR="0050393B" w:rsidRPr="00155D0D" w:rsidRDefault="0050393B" w:rsidP="005E55DE">
            <w:pPr>
              <w:rPr>
                <w:sz w:val="22"/>
                <w:szCs w:val="22"/>
              </w:rPr>
            </w:pPr>
            <w:r w:rsidRPr="00155D0D">
              <w:rPr>
                <w:sz w:val="22"/>
                <w:szCs w:val="22"/>
              </w:rPr>
              <w:t xml:space="preserve">Fondo </w:t>
            </w:r>
            <w:r w:rsidR="005E55DE">
              <w:rPr>
                <w:sz w:val="22"/>
                <w:szCs w:val="22"/>
              </w:rPr>
              <w:t>V</w:t>
            </w:r>
            <w:r w:rsidRPr="00155D0D">
              <w:rPr>
                <w:sz w:val="22"/>
                <w:szCs w:val="22"/>
              </w:rPr>
              <w:t>ial</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 </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1.5</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1.5</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w:t>
            </w:r>
          </w:p>
        </w:tc>
      </w:tr>
      <w:tr w:rsidR="0050393B" w:rsidTr="00551DBA">
        <w:trPr>
          <w:trHeight w:val="482"/>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hideMark/>
          </w:tcPr>
          <w:p w:rsidR="0050393B" w:rsidRPr="00155D0D" w:rsidRDefault="0050393B" w:rsidP="0050393B">
            <w:pPr>
              <w:rPr>
                <w:sz w:val="22"/>
                <w:szCs w:val="22"/>
              </w:rPr>
            </w:pPr>
            <w:r w:rsidRPr="00155D0D">
              <w:rPr>
                <w:sz w:val="22"/>
                <w:szCs w:val="22"/>
              </w:rPr>
              <w:t>Fondo Nacional para la Reactivación y Modernización de la Actividad Agropecuaria</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19.3</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-19.3</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-100.0%</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hideMark/>
          </w:tcPr>
          <w:p w:rsidR="0050393B" w:rsidRPr="00155D0D" w:rsidRDefault="0050393B" w:rsidP="0050393B">
            <w:pPr>
              <w:rPr>
                <w:sz w:val="22"/>
                <w:szCs w:val="22"/>
              </w:rPr>
            </w:pPr>
            <w:r w:rsidRPr="00155D0D">
              <w:rPr>
                <w:sz w:val="22"/>
                <w:szCs w:val="22"/>
              </w:rPr>
              <w:t>Fideicomiso Nacional de Becas y Crédito Educativo</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 </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0.3</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0.3</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w:t>
            </w:r>
          </w:p>
        </w:tc>
      </w:tr>
      <w:tr w:rsidR="0050393B" w:rsidTr="00551DBA">
        <w:trPr>
          <w:trHeight w:val="495"/>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hideMark/>
          </w:tcPr>
          <w:p w:rsidR="0050393B" w:rsidRPr="00155D0D" w:rsidRDefault="0050393B" w:rsidP="0050393B">
            <w:pPr>
              <w:rPr>
                <w:sz w:val="22"/>
                <w:szCs w:val="22"/>
              </w:rPr>
            </w:pPr>
            <w:r w:rsidRPr="00155D0D">
              <w:rPr>
                <w:sz w:val="22"/>
                <w:szCs w:val="22"/>
              </w:rPr>
              <w:t>Apoyo Financiero para los Productores del Sector Cafetalero</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 </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3.0</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3.0</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rPr>
                <w:sz w:val="22"/>
                <w:szCs w:val="22"/>
              </w:rPr>
            </w:pPr>
            <w:r w:rsidRPr="00155D0D">
              <w:rPr>
                <w:sz w:val="22"/>
                <w:szCs w:val="22"/>
              </w:rPr>
              <w:t>Fondo de Protección Social</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162.2</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65.1</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-97.1</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-59.9%</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rPr>
                <w:sz w:val="22"/>
                <w:szCs w:val="22"/>
              </w:rPr>
            </w:pPr>
            <w:r w:rsidRPr="00155D0D">
              <w:rPr>
                <w:sz w:val="22"/>
                <w:szCs w:val="22"/>
              </w:rPr>
              <w:t>Fondo Social de Solidaridad</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0.0</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0.0</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rPr>
                <w:sz w:val="22"/>
                <w:szCs w:val="22"/>
              </w:rPr>
            </w:pPr>
            <w:r w:rsidRPr="00155D0D">
              <w:rPr>
                <w:sz w:val="22"/>
                <w:szCs w:val="22"/>
              </w:rPr>
              <w:t>Fondo de Desarrollo Indígena Guatemalteco</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1.1</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0.0</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-1.0</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-96.0%</w:t>
            </w:r>
          </w:p>
        </w:tc>
      </w:tr>
      <w:tr w:rsidR="0050393B" w:rsidTr="00551DBA">
        <w:trPr>
          <w:trHeight w:val="310"/>
        </w:trPr>
        <w:tc>
          <w:tcPr>
            <w:tcW w:w="5376" w:type="dxa"/>
            <w:tcBorders>
              <w:top w:val="nil"/>
              <w:left w:val="single" w:sz="8" w:space="0" w:color="auto"/>
              <w:bottom w:val="nil"/>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rPr>
                <w:sz w:val="22"/>
                <w:szCs w:val="22"/>
              </w:rPr>
            </w:pPr>
            <w:r w:rsidRPr="00155D0D">
              <w:rPr>
                <w:sz w:val="22"/>
                <w:szCs w:val="22"/>
              </w:rPr>
              <w:t>Inversión para la Vivienda</w:t>
            </w:r>
          </w:p>
        </w:tc>
        <w:tc>
          <w:tcPr>
            <w:tcW w:w="0" w:type="auto"/>
            <w:tcBorders>
              <w:top w:val="nil"/>
              <w:left w:val="single" w:sz="4" w:space="0" w:color="auto"/>
              <w:bottom w:val="nil"/>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131.4</w:t>
            </w:r>
          </w:p>
        </w:tc>
        <w:tc>
          <w:tcPr>
            <w:tcW w:w="0" w:type="auto"/>
            <w:tcBorders>
              <w:top w:val="nil"/>
              <w:left w:val="nil"/>
              <w:bottom w:val="nil"/>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85.1</w:t>
            </w:r>
          </w:p>
        </w:tc>
        <w:tc>
          <w:tcPr>
            <w:tcW w:w="0" w:type="auto"/>
            <w:tcBorders>
              <w:top w:val="nil"/>
              <w:left w:val="single" w:sz="4" w:space="0" w:color="auto"/>
              <w:bottom w:val="nil"/>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-46.3</w:t>
            </w:r>
          </w:p>
        </w:tc>
        <w:tc>
          <w:tcPr>
            <w:tcW w:w="0" w:type="auto"/>
            <w:tcBorders>
              <w:top w:val="nil"/>
              <w:left w:val="nil"/>
              <w:bottom w:val="nil"/>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-35.2%</w:t>
            </w:r>
          </w:p>
        </w:tc>
      </w:tr>
      <w:tr w:rsidR="0050393B" w:rsidTr="00551DBA">
        <w:trPr>
          <w:trHeight w:val="320"/>
        </w:trPr>
        <w:tc>
          <w:tcPr>
            <w:tcW w:w="5376" w:type="dxa"/>
            <w:tcBorders>
              <w:top w:val="nil"/>
              <w:left w:val="single" w:sz="8" w:space="0" w:color="auto"/>
              <w:bottom w:val="single" w:sz="8" w:space="0" w:color="auto"/>
              <w:right w:val="single" w:sz="4" w:space="0" w:color="auto"/>
            </w:tcBorders>
            <w:shd w:val="clear" w:color="000000" w:fill="auto"/>
            <w:tcMar>
              <w:top w:w="15" w:type="dxa"/>
              <w:left w:w="15" w:type="dxa"/>
              <w:bottom w:w="0" w:type="dxa"/>
              <w:right w:w="15" w:type="dxa"/>
            </w:tcMar>
            <w:vAlign w:val="bottom"/>
            <w:hideMark/>
          </w:tcPr>
          <w:p w:rsidR="0050393B" w:rsidRPr="00155D0D" w:rsidRDefault="0050393B" w:rsidP="0050393B">
            <w:pPr>
              <w:rPr>
                <w:sz w:val="22"/>
                <w:szCs w:val="22"/>
              </w:rPr>
            </w:pPr>
            <w:r w:rsidRPr="00155D0D">
              <w:rPr>
                <w:sz w:val="22"/>
                <w:szCs w:val="22"/>
              </w:rPr>
              <w:t xml:space="preserve">Fondo Nacional de Ciencia y Tecnología  </w:t>
            </w:r>
          </w:p>
        </w:tc>
        <w:tc>
          <w:tcPr>
            <w:tcW w:w="0" w:type="auto"/>
            <w:tcBorders>
              <w:top w:val="nil"/>
              <w:left w:val="nil"/>
              <w:bottom w:val="single" w:sz="8" w:space="0" w:color="auto"/>
              <w:right w:val="single" w:sz="4" w:space="0" w:color="auto"/>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0.7</w:t>
            </w:r>
          </w:p>
        </w:tc>
        <w:tc>
          <w:tcPr>
            <w:tcW w:w="0" w:type="auto"/>
            <w:tcBorders>
              <w:top w:val="nil"/>
              <w:left w:val="nil"/>
              <w:bottom w:val="single" w:sz="8" w:space="0" w:color="auto"/>
              <w:right w:val="nil"/>
            </w:tcBorders>
            <w:shd w:val="clear" w:color="000000" w:fill="auto"/>
            <w:noWrap/>
            <w:tcMar>
              <w:top w:w="15" w:type="dxa"/>
              <w:left w:w="15" w:type="dxa"/>
              <w:bottom w:w="0" w:type="dxa"/>
              <w:right w:w="15" w:type="dxa"/>
            </w:tcMar>
            <w:vAlign w:val="bottom"/>
            <w:hideMark/>
          </w:tcPr>
          <w:p w:rsidR="0050393B" w:rsidRPr="00155D0D" w:rsidRDefault="0050393B" w:rsidP="0050393B">
            <w:pPr>
              <w:jc w:val="center"/>
              <w:rPr>
                <w:color w:val="000000"/>
                <w:sz w:val="22"/>
                <w:szCs w:val="22"/>
              </w:rPr>
            </w:pPr>
            <w:r w:rsidRPr="00155D0D">
              <w:rPr>
                <w:color w:val="000000"/>
                <w:sz w:val="22"/>
                <w:szCs w:val="22"/>
              </w:rPr>
              <w:t>0.6</w:t>
            </w:r>
          </w:p>
        </w:tc>
        <w:tc>
          <w:tcPr>
            <w:tcW w:w="0" w:type="auto"/>
            <w:tcBorders>
              <w:top w:val="nil"/>
              <w:left w:val="single" w:sz="4" w:space="0" w:color="auto"/>
              <w:bottom w:val="single" w:sz="8" w:space="0" w:color="auto"/>
              <w:right w:val="single" w:sz="4"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-0.1</w:t>
            </w:r>
          </w:p>
        </w:tc>
        <w:tc>
          <w:tcPr>
            <w:tcW w:w="0" w:type="auto"/>
            <w:tcBorders>
              <w:top w:val="nil"/>
              <w:left w:val="nil"/>
              <w:bottom w:val="single" w:sz="8" w:space="0" w:color="auto"/>
              <w:right w:val="single" w:sz="8" w:space="0" w:color="auto"/>
            </w:tcBorders>
            <w:shd w:val="clear" w:color="000000" w:fill="FFFFFF"/>
            <w:noWrap/>
            <w:tcMar>
              <w:top w:w="15" w:type="dxa"/>
              <w:left w:w="15" w:type="dxa"/>
              <w:bottom w:w="0" w:type="dxa"/>
              <w:right w:w="15" w:type="dxa"/>
            </w:tcMar>
            <w:vAlign w:val="bottom"/>
            <w:hideMark/>
          </w:tcPr>
          <w:p w:rsidR="0050393B" w:rsidRPr="00155D0D" w:rsidRDefault="0050393B" w:rsidP="0050393B">
            <w:pPr>
              <w:jc w:val="center"/>
              <w:rPr>
                <w:sz w:val="22"/>
                <w:szCs w:val="22"/>
              </w:rPr>
            </w:pPr>
            <w:r w:rsidRPr="00155D0D">
              <w:rPr>
                <w:sz w:val="22"/>
                <w:szCs w:val="22"/>
              </w:rPr>
              <w:t>-19.0%</w:t>
            </w:r>
          </w:p>
        </w:tc>
      </w:tr>
      <w:tr w:rsidR="0050393B" w:rsidTr="00551DBA">
        <w:trPr>
          <w:trHeight w:val="310"/>
        </w:trPr>
        <w:tc>
          <w:tcPr>
            <w:tcW w:w="5376" w:type="dxa"/>
            <w:tcBorders>
              <w:top w:val="nil"/>
              <w:left w:val="nil"/>
              <w:bottom w:val="nil"/>
              <w:right w:val="nil"/>
            </w:tcBorders>
            <w:shd w:val="clear" w:color="000000" w:fill="FFFFFF"/>
            <w:tcMar>
              <w:top w:w="15" w:type="dxa"/>
              <w:left w:w="15" w:type="dxa"/>
              <w:bottom w:w="0" w:type="dxa"/>
              <w:right w:w="15" w:type="dxa"/>
            </w:tcMar>
            <w:vAlign w:val="bottom"/>
            <w:hideMark/>
          </w:tcPr>
          <w:p w:rsidR="0050393B" w:rsidRPr="00DB3B6D" w:rsidRDefault="0050393B" w:rsidP="0050393B">
            <w:pPr>
              <w:rPr>
                <w:bCs/>
              </w:rPr>
            </w:pPr>
            <w:r w:rsidRPr="00DB3B6D">
              <w:rPr>
                <w:bCs/>
                <w:sz w:val="22"/>
              </w:rPr>
              <w:t>Porcentaje de ejecución presupuestaria</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rsidR="0050393B" w:rsidRPr="00DB3B6D" w:rsidRDefault="0050393B" w:rsidP="0050393B">
            <w:pPr>
              <w:jc w:val="center"/>
              <w:rPr>
                <w:bCs/>
              </w:rPr>
            </w:pPr>
            <w:r w:rsidRPr="00DB3B6D">
              <w:rPr>
                <w:bCs/>
              </w:rPr>
              <w:t>0.8%</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rsidR="0050393B" w:rsidRPr="00DB3B6D" w:rsidRDefault="0050393B" w:rsidP="0050393B">
            <w:pPr>
              <w:jc w:val="center"/>
              <w:rPr>
                <w:bCs/>
              </w:rPr>
            </w:pPr>
            <w:r w:rsidRPr="00DB3B6D">
              <w:rPr>
                <w:bCs/>
              </w:rPr>
              <w:t>0.4%</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rsidR="0050393B" w:rsidRDefault="0050393B" w:rsidP="0050393B">
            <w:pPr>
              <w:jc w:val="right"/>
              <w:rPr>
                <w:b/>
                <w:bCs/>
              </w:rPr>
            </w:pPr>
            <w:r>
              <w:rPr>
                <w:b/>
                <w:bCs/>
              </w:rPr>
              <w:t> </w:t>
            </w:r>
          </w:p>
        </w:tc>
        <w:tc>
          <w:tcPr>
            <w:tcW w:w="0" w:type="auto"/>
            <w:tcBorders>
              <w:top w:val="nil"/>
              <w:left w:val="nil"/>
              <w:bottom w:val="nil"/>
              <w:right w:val="nil"/>
            </w:tcBorders>
            <w:shd w:val="clear" w:color="000000" w:fill="FFFFFF"/>
            <w:noWrap/>
            <w:tcMar>
              <w:top w:w="15" w:type="dxa"/>
              <w:left w:w="15" w:type="dxa"/>
              <w:bottom w:w="0" w:type="dxa"/>
              <w:right w:w="15" w:type="dxa"/>
            </w:tcMar>
            <w:vAlign w:val="bottom"/>
            <w:hideMark/>
          </w:tcPr>
          <w:p w:rsidR="0050393B" w:rsidRDefault="0050393B" w:rsidP="0050393B">
            <w:pPr>
              <w:jc w:val="right"/>
              <w:rPr>
                <w:b/>
                <w:bCs/>
              </w:rPr>
            </w:pPr>
            <w:r>
              <w:rPr>
                <w:b/>
                <w:bCs/>
              </w:rPr>
              <w:t> </w:t>
            </w:r>
          </w:p>
        </w:tc>
      </w:tr>
    </w:tbl>
    <w:p w:rsidR="00DB3B6D" w:rsidRDefault="00DB3B6D" w:rsidP="0050393B">
      <w:pPr>
        <w:jc w:val="both"/>
        <w:rPr>
          <w:sz w:val="18"/>
          <w:lang w:val="es-MX"/>
        </w:rPr>
      </w:pPr>
    </w:p>
    <w:p w:rsidR="0050393B" w:rsidRDefault="0050393B" w:rsidP="0050393B">
      <w:pPr>
        <w:jc w:val="both"/>
        <w:rPr>
          <w:sz w:val="18"/>
          <w:lang w:val="es-MX"/>
        </w:rPr>
      </w:pPr>
      <w:r w:rsidRPr="00E4580C">
        <w:rPr>
          <w:sz w:val="18"/>
          <w:lang w:val="es-MX"/>
        </w:rPr>
        <w:t>* Cifras preliminares.</w:t>
      </w:r>
    </w:p>
    <w:p w:rsidR="0050393B" w:rsidRPr="00E4580C" w:rsidRDefault="0050393B" w:rsidP="0050393B">
      <w:pPr>
        <w:jc w:val="both"/>
        <w:rPr>
          <w:sz w:val="18"/>
          <w:lang w:val="es-MX"/>
        </w:rPr>
      </w:pPr>
      <w:r>
        <w:rPr>
          <w:sz w:val="18"/>
          <w:lang w:val="es-MX"/>
        </w:rPr>
        <w:t xml:space="preserve">   </w:t>
      </w:r>
      <w:r w:rsidRPr="00E4580C">
        <w:rPr>
          <w:sz w:val="18"/>
          <w:lang w:val="es-MX"/>
        </w:rPr>
        <w:t>Fuente: Ministerio de Finanzas Públicas</w:t>
      </w:r>
      <w:r>
        <w:rPr>
          <w:sz w:val="18"/>
          <w:lang w:val="es-MX"/>
        </w:rPr>
        <w:t>,</w:t>
      </w:r>
      <w:r w:rsidRPr="00E4580C">
        <w:rPr>
          <w:sz w:val="18"/>
          <w:lang w:val="es-MX"/>
        </w:rPr>
        <w:t xml:space="preserve"> SICOIN.</w:t>
      </w:r>
    </w:p>
    <w:p w:rsidR="0050393B" w:rsidRPr="00E4580C" w:rsidRDefault="0050393B" w:rsidP="0050393B">
      <w:pPr>
        <w:jc w:val="both"/>
        <w:rPr>
          <w:sz w:val="18"/>
          <w:lang w:val="es-MX"/>
        </w:rPr>
      </w:pPr>
    </w:p>
    <w:p w:rsidR="0050393B" w:rsidRPr="005E55DE" w:rsidRDefault="0050393B" w:rsidP="004C636B">
      <w:pPr>
        <w:pStyle w:val="Ttulo3"/>
        <w:numPr>
          <w:ilvl w:val="0"/>
          <w:numId w:val="7"/>
        </w:numPr>
        <w:ind w:left="426"/>
        <w:rPr>
          <w:rFonts w:ascii="Times New Roman" w:hAnsi="Times New Roman"/>
          <w:color w:val="auto"/>
          <w:lang w:val="es-MX"/>
        </w:rPr>
      </w:pPr>
      <w:bookmarkStart w:id="22" w:name="_Toc83713630"/>
      <w:r w:rsidRPr="005E55DE">
        <w:rPr>
          <w:rFonts w:ascii="Times New Roman" w:hAnsi="Times New Roman"/>
          <w:color w:val="auto"/>
          <w:lang w:val="es-MX"/>
        </w:rPr>
        <w:t>Gasto Ejecutado a través de Organizaciones No Gubernamentales</w:t>
      </w:r>
      <w:r w:rsidRPr="005E55DE">
        <w:rPr>
          <w:rFonts w:ascii="Times New Roman" w:hAnsi="Times New Roman"/>
          <w:color w:val="auto"/>
          <w:lang w:val="es-MX"/>
        </w:rPr>
        <w:footnoteReference w:id="3"/>
      </w:r>
      <w:bookmarkEnd w:id="22"/>
    </w:p>
    <w:p w:rsidR="0050393B" w:rsidRPr="00E4580C" w:rsidRDefault="0050393B" w:rsidP="0050393B">
      <w:pPr>
        <w:jc w:val="both"/>
        <w:rPr>
          <w:lang w:val="es-MX"/>
        </w:rPr>
      </w:pPr>
    </w:p>
    <w:p w:rsidR="0050393B" w:rsidRPr="00FB641E" w:rsidRDefault="0050393B" w:rsidP="0050393B">
      <w:pPr>
        <w:jc w:val="both"/>
        <w:rPr>
          <w:lang w:val="es-MX"/>
        </w:rPr>
      </w:pPr>
      <w:r>
        <w:rPr>
          <w:lang w:val="es-MX"/>
        </w:rPr>
        <w:t>A</w:t>
      </w:r>
      <w:r w:rsidRPr="00FB641E">
        <w:rPr>
          <w:lang w:val="es-MX"/>
        </w:rPr>
        <w:t>l 30 de junio de 20</w:t>
      </w:r>
      <w:r>
        <w:rPr>
          <w:lang w:val="es-MX"/>
        </w:rPr>
        <w:t>21,</w:t>
      </w:r>
      <w:r w:rsidRPr="00FB641E">
        <w:rPr>
          <w:lang w:val="es-MX"/>
        </w:rPr>
        <w:t xml:space="preserve"> se ha ejecutado</w:t>
      </w:r>
      <w:r>
        <w:rPr>
          <w:lang w:val="es-MX"/>
        </w:rPr>
        <w:t xml:space="preserve"> a través de Organizaciones No Gubernamentales el monto de</w:t>
      </w:r>
      <w:r w:rsidRPr="00FB641E">
        <w:rPr>
          <w:lang w:val="es-MX"/>
        </w:rPr>
        <w:t xml:space="preserve"> Q</w:t>
      </w:r>
      <w:r>
        <w:rPr>
          <w:lang w:val="es-MX"/>
        </w:rPr>
        <w:t>.378.4 millones</w:t>
      </w:r>
      <w:r w:rsidRPr="00FB641E">
        <w:rPr>
          <w:lang w:val="es-MX"/>
        </w:rPr>
        <w:t>, equivalen</w:t>
      </w:r>
      <w:r>
        <w:rPr>
          <w:lang w:val="es-MX"/>
        </w:rPr>
        <w:t>tes</w:t>
      </w:r>
      <w:r w:rsidRPr="00FB641E">
        <w:rPr>
          <w:lang w:val="es-MX"/>
        </w:rPr>
        <w:t xml:space="preserve"> al </w:t>
      </w:r>
      <w:r>
        <w:rPr>
          <w:lang w:val="es-MX"/>
        </w:rPr>
        <w:t>0.9</w:t>
      </w:r>
      <w:r w:rsidRPr="00FB641E">
        <w:rPr>
          <w:lang w:val="es-MX"/>
        </w:rPr>
        <w:t>% de la ejecución presupuestaria total</w:t>
      </w:r>
      <w:r>
        <w:rPr>
          <w:lang w:val="es-MX"/>
        </w:rPr>
        <w:t xml:space="preserve">; este monto es inferior </w:t>
      </w:r>
      <w:r w:rsidRPr="00FB641E">
        <w:rPr>
          <w:lang w:val="es-MX"/>
        </w:rPr>
        <w:t>en Q</w:t>
      </w:r>
      <w:r>
        <w:rPr>
          <w:lang w:val="es-MX"/>
        </w:rPr>
        <w:t xml:space="preserve">.108.1 </w:t>
      </w:r>
      <w:r w:rsidRPr="00FB641E">
        <w:rPr>
          <w:lang w:val="es-MX"/>
        </w:rPr>
        <w:t xml:space="preserve">millones respecto </w:t>
      </w:r>
      <w:r>
        <w:rPr>
          <w:lang w:val="es-MX"/>
        </w:rPr>
        <w:t>del mismo período en</w:t>
      </w:r>
      <w:r w:rsidRPr="00FB641E">
        <w:rPr>
          <w:lang w:val="es-MX"/>
        </w:rPr>
        <w:t xml:space="preserve"> 20</w:t>
      </w:r>
      <w:r>
        <w:rPr>
          <w:lang w:val="es-MX"/>
        </w:rPr>
        <w:t>20. Las entidades de mayor ejecución son: el Ministerio de Salud Pública y Asistencia Social con Q.202.0 millones</w:t>
      </w:r>
      <w:r w:rsidRPr="00FB641E">
        <w:rPr>
          <w:lang w:val="es-MX"/>
        </w:rPr>
        <w:t xml:space="preserve">, </w:t>
      </w:r>
      <w:r>
        <w:rPr>
          <w:lang w:val="es-MX"/>
        </w:rPr>
        <w:t xml:space="preserve">Obligaciones del Estado a Cargo del Tesoro con Q.88.6 millones y </w:t>
      </w:r>
      <w:r w:rsidRPr="00FB641E">
        <w:rPr>
          <w:lang w:val="es-MX"/>
        </w:rPr>
        <w:t>e</w:t>
      </w:r>
      <w:r>
        <w:rPr>
          <w:lang w:val="es-MX"/>
        </w:rPr>
        <w:t>l Ministerio de Educación con Q.75.5 millones; las demás entidades han ejecutado Q.12.3 millones.</w:t>
      </w:r>
    </w:p>
    <w:p w:rsidR="0050393B" w:rsidRDefault="0050393B" w:rsidP="0050393B">
      <w:pPr>
        <w:rPr>
          <w:b/>
          <w:sz w:val="22"/>
          <w:lang w:val="es-MX"/>
        </w:rPr>
      </w:pPr>
    </w:p>
    <w:p w:rsidR="0050393B" w:rsidRDefault="0050393B" w:rsidP="0050393B">
      <w:pPr>
        <w:rPr>
          <w:b/>
          <w:sz w:val="22"/>
          <w:lang w:val="es-MX"/>
        </w:rPr>
      </w:pPr>
    </w:p>
    <w:p w:rsidR="0050393B" w:rsidRDefault="0050393B" w:rsidP="0050393B">
      <w:pPr>
        <w:rPr>
          <w:b/>
          <w:sz w:val="22"/>
          <w:lang w:val="es-MX"/>
        </w:rPr>
      </w:pPr>
    </w:p>
    <w:p w:rsidR="0050393B" w:rsidRDefault="0050393B" w:rsidP="0050393B">
      <w:pPr>
        <w:rPr>
          <w:b/>
          <w:sz w:val="22"/>
          <w:lang w:val="es-MX"/>
        </w:rPr>
      </w:pPr>
    </w:p>
    <w:p w:rsidR="0050393B" w:rsidRDefault="0050393B" w:rsidP="0050393B">
      <w:pPr>
        <w:rPr>
          <w:b/>
          <w:sz w:val="22"/>
          <w:lang w:val="es-MX"/>
        </w:rPr>
      </w:pPr>
    </w:p>
    <w:p w:rsidR="0050393B" w:rsidRDefault="0050393B" w:rsidP="0050393B">
      <w:pPr>
        <w:rPr>
          <w:b/>
          <w:sz w:val="22"/>
          <w:lang w:val="es-MX"/>
        </w:rPr>
      </w:pPr>
    </w:p>
    <w:p w:rsidR="0050393B" w:rsidRDefault="0050393B" w:rsidP="0050393B">
      <w:pPr>
        <w:rPr>
          <w:b/>
          <w:sz w:val="22"/>
          <w:lang w:val="es-MX"/>
        </w:rPr>
      </w:pPr>
    </w:p>
    <w:p w:rsidR="00DB3B6D" w:rsidRDefault="00DB3B6D" w:rsidP="0050393B">
      <w:pPr>
        <w:rPr>
          <w:b/>
          <w:sz w:val="22"/>
          <w:lang w:val="es-MX"/>
        </w:rPr>
      </w:pPr>
    </w:p>
    <w:p w:rsidR="0050393B" w:rsidRPr="007F6AD4" w:rsidRDefault="0050393B" w:rsidP="0050393B">
      <w:pPr>
        <w:jc w:val="center"/>
        <w:rPr>
          <w:b/>
          <w:szCs w:val="22"/>
          <w:lang w:val="es-MX"/>
        </w:rPr>
      </w:pPr>
      <w:r w:rsidRPr="007F6AD4">
        <w:rPr>
          <w:b/>
          <w:szCs w:val="22"/>
          <w:lang w:val="es-MX"/>
        </w:rPr>
        <w:t>Cuadro 1</w:t>
      </w:r>
      <w:r w:rsidR="00A249D5">
        <w:rPr>
          <w:b/>
          <w:szCs w:val="22"/>
          <w:lang w:val="es-MX"/>
        </w:rPr>
        <w:t>2</w:t>
      </w:r>
    </w:p>
    <w:p w:rsidR="0050393B" w:rsidRPr="007F6AD4" w:rsidRDefault="0050393B" w:rsidP="0050393B">
      <w:pPr>
        <w:jc w:val="center"/>
        <w:rPr>
          <w:b/>
          <w:szCs w:val="22"/>
          <w:lang w:val="es-MX"/>
        </w:rPr>
      </w:pPr>
      <w:r w:rsidRPr="007F6AD4">
        <w:rPr>
          <w:b/>
          <w:szCs w:val="22"/>
          <w:lang w:val="es-MX"/>
        </w:rPr>
        <w:t>Aportes Realizados a Organizaciones No Gubernamentales -ONG-</w:t>
      </w:r>
    </w:p>
    <w:p w:rsidR="0050393B" w:rsidRPr="007F6AD4" w:rsidRDefault="0050393B" w:rsidP="0050393B">
      <w:pPr>
        <w:jc w:val="center"/>
        <w:rPr>
          <w:b/>
          <w:szCs w:val="22"/>
          <w:lang w:val="es-MX"/>
        </w:rPr>
      </w:pPr>
      <w:r w:rsidRPr="007F6AD4">
        <w:rPr>
          <w:b/>
          <w:szCs w:val="22"/>
          <w:lang w:val="es-MX"/>
        </w:rPr>
        <w:t>Al 30 de junio de cada año</w:t>
      </w:r>
    </w:p>
    <w:p w:rsidR="0050393B" w:rsidRPr="007F6AD4" w:rsidRDefault="0050393B" w:rsidP="0050393B">
      <w:pPr>
        <w:jc w:val="center"/>
        <w:rPr>
          <w:b/>
          <w:szCs w:val="22"/>
          <w:lang w:val="es-MX"/>
        </w:rPr>
      </w:pPr>
      <w:r w:rsidRPr="007F6AD4">
        <w:rPr>
          <w:b/>
          <w:szCs w:val="22"/>
          <w:lang w:val="es-MX"/>
        </w:rPr>
        <w:t>(Cifras en Millones de Quetzales)</w:t>
      </w:r>
    </w:p>
    <w:tbl>
      <w:tblPr>
        <w:tblW w:w="9142" w:type="dxa"/>
        <w:tblCellMar>
          <w:left w:w="70" w:type="dxa"/>
          <w:right w:w="70" w:type="dxa"/>
        </w:tblCellMar>
        <w:tblLook w:val="04A0" w:firstRow="1" w:lastRow="0" w:firstColumn="1" w:lastColumn="0" w:noHBand="0" w:noVBand="1"/>
      </w:tblPr>
      <w:tblGrid>
        <w:gridCol w:w="4720"/>
        <w:gridCol w:w="1020"/>
        <w:gridCol w:w="993"/>
        <w:gridCol w:w="1275"/>
        <w:gridCol w:w="1134"/>
      </w:tblGrid>
      <w:tr w:rsidR="0050393B" w:rsidRPr="006545F4" w:rsidTr="00DB3B6D">
        <w:trPr>
          <w:trHeight w:val="310"/>
        </w:trPr>
        <w:tc>
          <w:tcPr>
            <w:tcW w:w="4720" w:type="dxa"/>
            <w:vMerge w:val="restart"/>
            <w:tcBorders>
              <w:top w:val="single" w:sz="8" w:space="0" w:color="auto"/>
              <w:left w:val="single" w:sz="8" w:space="0" w:color="auto"/>
              <w:bottom w:val="single" w:sz="4" w:space="0" w:color="000000"/>
              <w:right w:val="nil"/>
            </w:tcBorders>
            <w:shd w:val="clear" w:color="000000" w:fill="8DB4E2"/>
            <w:vAlign w:val="center"/>
            <w:hideMark/>
          </w:tcPr>
          <w:p w:rsidR="0050393B" w:rsidRPr="006545F4" w:rsidRDefault="0050393B" w:rsidP="0050393B">
            <w:pPr>
              <w:jc w:val="center"/>
              <w:rPr>
                <w:b/>
                <w:bCs/>
                <w:lang w:val="es-GT" w:eastAsia="es-GT"/>
              </w:rPr>
            </w:pPr>
            <w:r w:rsidRPr="006545F4">
              <w:rPr>
                <w:b/>
                <w:bCs/>
                <w:lang w:val="es-GT" w:eastAsia="es-GT"/>
              </w:rPr>
              <w:t>Entidad</w:t>
            </w:r>
          </w:p>
        </w:tc>
        <w:tc>
          <w:tcPr>
            <w:tcW w:w="1020"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50393B" w:rsidRPr="006545F4" w:rsidRDefault="0050393B" w:rsidP="0050393B">
            <w:pPr>
              <w:jc w:val="center"/>
              <w:rPr>
                <w:b/>
                <w:bCs/>
                <w:lang w:val="es-GT" w:eastAsia="es-GT"/>
              </w:rPr>
            </w:pPr>
            <w:r w:rsidRPr="006545F4">
              <w:rPr>
                <w:b/>
                <w:bCs/>
                <w:lang w:val="es-GT" w:eastAsia="es-GT"/>
              </w:rPr>
              <w:t>2020</w:t>
            </w:r>
          </w:p>
        </w:tc>
        <w:tc>
          <w:tcPr>
            <w:tcW w:w="993"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50393B" w:rsidRPr="006545F4" w:rsidRDefault="0050393B" w:rsidP="0050393B">
            <w:pPr>
              <w:jc w:val="center"/>
              <w:rPr>
                <w:b/>
                <w:bCs/>
                <w:lang w:val="es-GT" w:eastAsia="es-GT"/>
              </w:rPr>
            </w:pPr>
            <w:r w:rsidRPr="006545F4">
              <w:rPr>
                <w:b/>
                <w:bCs/>
                <w:lang w:val="es-GT" w:eastAsia="es-GT"/>
              </w:rPr>
              <w:t>2021</w:t>
            </w:r>
          </w:p>
        </w:tc>
        <w:tc>
          <w:tcPr>
            <w:tcW w:w="2409" w:type="dxa"/>
            <w:gridSpan w:val="2"/>
            <w:tcBorders>
              <w:top w:val="single" w:sz="8" w:space="0" w:color="auto"/>
              <w:left w:val="nil"/>
              <w:bottom w:val="single" w:sz="4" w:space="0" w:color="auto"/>
              <w:right w:val="single" w:sz="8" w:space="0" w:color="000000"/>
            </w:tcBorders>
            <w:shd w:val="clear" w:color="000000" w:fill="8DB4E2"/>
            <w:noWrap/>
            <w:vAlign w:val="center"/>
            <w:hideMark/>
          </w:tcPr>
          <w:p w:rsidR="0050393B" w:rsidRPr="006545F4" w:rsidRDefault="0050393B" w:rsidP="0050393B">
            <w:pPr>
              <w:jc w:val="center"/>
              <w:rPr>
                <w:b/>
                <w:bCs/>
                <w:lang w:val="es-GT" w:eastAsia="es-GT"/>
              </w:rPr>
            </w:pPr>
            <w:r w:rsidRPr="006545F4">
              <w:rPr>
                <w:b/>
                <w:bCs/>
                <w:lang w:val="es-GT" w:eastAsia="es-GT"/>
              </w:rPr>
              <w:t>Diferencias</w:t>
            </w:r>
          </w:p>
        </w:tc>
      </w:tr>
      <w:tr w:rsidR="0050393B" w:rsidRPr="006545F4" w:rsidTr="00DB3B6D">
        <w:trPr>
          <w:trHeight w:val="310"/>
        </w:trPr>
        <w:tc>
          <w:tcPr>
            <w:tcW w:w="4720" w:type="dxa"/>
            <w:vMerge/>
            <w:tcBorders>
              <w:top w:val="single" w:sz="8" w:space="0" w:color="auto"/>
              <w:left w:val="single" w:sz="8" w:space="0" w:color="auto"/>
              <w:bottom w:val="single" w:sz="4" w:space="0" w:color="000000"/>
              <w:right w:val="nil"/>
            </w:tcBorders>
            <w:vAlign w:val="center"/>
            <w:hideMark/>
          </w:tcPr>
          <w:p w:rsidR="0050393B" w:rsidRPr="006545F4" w:rsidRDefault="0050393B" w:rsidP="0050393B">
            <w:pPr>
              <w:rPr>
                <w:b/>
                <w:bCs/>
                <w:lang w:val="es-GT" w:eastAsia="es-GT"/>
              </w:rPr>
            </w:pPr>
          </w:p>
        </w:tc>
        <w:tc>
          <w:tcPr>
            <w:tcW w:w="1020" w:type="dxa"/>
            <w:vMerge/>
            <w:tcBorders>
              <w:top w:val="single" w:sz="8" w:space="0" w:color="auto"/>
              <w:left w:val="single" w:sz="4" w:space="0" w:color="auto"/>
              <w:bottom w:val="single" w:sz="4" w:space="0" w:color="000000"/>
              <w:right w:val="single" w:sz="4" w:space="0" w:color="auto"/>
            </w:tcBorders>
            <w:vAlign w:val="center"/>
            <w:hideMark/>
          </w:tcPr>
          <w:p w:rsidR="0050393B" w:rsidRPr="006545F4" w:rsidRDefault="0050393B" w:rsidP="0050393B">
            <w:pPr>
              <w:rPr>
                <w:b/>
                <w:bCs/>
                <w:lang w:val="es-GT" w:eastAsia="es-GT"/>
              </w:rPr>
            </w:pPr>
          </w:p>
        </w:tc>
        <w:tc>
          <w:tcPr>
            <w:tcW w:w="993" w:type="dxa"/>
            <w:vMerge/>
            <w:tcBorders>
              <w:top w:val="single" w:sz="8" w:space="0" w:color="auto"/>
              <w:left w:val="single" w:sz="4" w:space="0" w:color="auto"/>
              <w:bottom w:val="single" w:sz="4" w:space="0" w:color="000000"/>
              <w:right w:val="single" w:sz="4" w:space="0" w:color="auto"/>
            </w:tcBorders>
            <w:vAlign w:val="center"/>
            <w:hideMark/>
          </w:tcPr>
          <w:p w:rsidR="0050393B" w:rsidRPr="006545F4" w:rsidRDefault="0050393B" w:rsidP="0050393B">
            <w:pPr>
              <w:rPr>
                <w:b/>
                <w:bCs/>
                <w:lang w:val="es-GT" w:eastAsia="es-GT"/>
              </w:rPr>
            </w:pP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50393B" w:rsidRPr="006545F4" w:rsidRDefault="0050393B" w:rsidP="0050393B">
            <w:pPr>
              <w:jc w:val="center"/>
              <w:rPr>
                <w:b/>
                <w:bCs/>
                <w:lang w:val="es-GT" w:eastAsia="es-GT"/>
              </w:rPr>
            </w:pPr>
            <w:r w:rsidRPr="006545F4">
              <w:rPr>
                <w:b/>
                <w:bCs/>
                <w:lang w:val="es-GT" w:eastAsia="es-GT"/>
              </w:rPr>
              <w:t>Absolutas</w:t>
            </w:r>
          </w:p>
        </w:tc>
        <w:tc>
          <w:tcPr>
            <w:tcW w:w="1134" w:type="dxa"/>
            <w:tcBorders>
              <w:top w:val="single" w:sz="4" w:space="0" w:color="auto"/>
              <w:left w:val="nil"/>
              <w:bottom w:val="single" w:sz="4" w:space="0" w:color="auto"/>
              <w:right w:val="single" w:sz="8" w:space="0" w:color="auto"/>
            </w:tcBorders>
            <w:shd w:val="clear" w:color="000000" w:fill="8DB4E2"/>
            <w:noWrap/>
            <w:vAlign w:val="center"/>
            <w:hideMark/>
          </w:tcPr>
          <w:p w:rsidR="0050393B" w:rsidRPr="006545F4" w:rsidRDefault="0050393B" w:rsidP="0050393B">
            <w:pPr>
              <w:jc w:val="center"/>
              <w:rPr>
                <w:b/>
                <w:bCs/>
                <w:lang w:val="es-GT" w:eastAsia="es-GT"/>
              </w:rPr>
            </w:pPr>
            <w:r w:rsidRPr="006545F4">
              <w:rPr>
                <w:b/>
                <w:bCs/>
                <w:lang w:val="es-GT" w:eastAsia="es-GT"/>
              </w:rPr>
              <w:t>Relativas</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jc w:val="center"/>
              <w:rPr>
                <w:b/>
                <w:bCs/>
                <w:color w:val="000000"/>
                <w:sz w:val="22"/>
                <w:lang w:val="es-GT" w:eastAsia="es-GT"/>
              </w:rPr>
            </w:pPr>
            <w:r w:rsidRPr="00E27498">
              <w:rPr>
                <w:b/>
                <w:bCs/>
                <w:color w:val="000000"/>
                <w:sz w:val="22"/>
                <w:lang w:val="es-GT" w:eastAsia="es-GT"/>
              </w:rPr>
              <w:t>Total</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b/>
                <w:bCs/>
                <w:color w:val="000000"/>
                <w:sz w:val="22"/>
                <w:lang w:val="es-GT" w:eastAsia="es-GT"/>
              </w:rPr>
            </w:pPr>
            <w:r w:rsidRPr="00E27498">
              <w:rPr>
                <w:b/>
                <w:bCs/>
                <w:color w:val="000000"/>
                <w:sz w:val="22"/>
                <w:lang w:val="es-GT" w:eastAsia="es-GT"/>
              </w:rPr>
              <w:t xml:space="preserve">    486.5 </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b/>
                <w:bCs/>
                <w:color w:val="000000"/>
                <w:sz w:val="22"/>
                <w:lang w:val="es-GT" w:eastAsia="es-GT"/>
              </w:rPr>
            </w:pPr>
            <w:r w:rsidRPr="00E27498">
              <w:rPr>
                <w:b/>
                <w:bCs/>
                <w:color w:val="000000"/>
                <w:sz w:val="22"/>
                <w:lang w:val="es-GT" w:eastAsia="es-GT"/>
              </w:rPr>
              <w:t xml:space="preserve">    378.4 </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b/>
                <w:bCs/>
                <w:color w:val="000000"/>
                <w:sz w:val="22"/>
                <w:lang w:val="es-GT" w:eastAsia="es-GT"/>
              </w:rPr>
            </w:pPr>
            <w:r w:rsidRPr="00E27498">
              <w:rPr>
                <w:b/>
                <w:bCs/>
                <w:color w:val="000000"/>
                <w:sz w:val="22"/>
                <w:lang w:val="es-GT" w:eastAsia="es-GT"/>
              </w:rPr>
              <w:t xml:space="preserve">      (108.1)</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b/>
                <w:bCs/>
                <w:color w:val="000000"/>
                <w:sz w:val="22"/>
                <w:lang w:val="es-GT" w:eastAsia="es-GT"/>
              </w:rPr>
            </w:pPr>
            <w:r w:rsidRPr="00E27498">
              <w:rPr>
                <w:b/>
                <w:bCs/>
                <w:color w:val="000000"/>
                <w:sz w:val="22"/>
                <w:lang w:val="es-GT" w:eastAsia="es-GT"/>
              </w:rPr>
              <w:t>-22.2%</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Gobernación</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Finanzas Públicas</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Educación</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90.9</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75.5</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-15.4</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-16.9%</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Salud Pública y Asistencia Social</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206.2</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202.0</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-4.2</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-2.0%</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Economía</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0.3</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0.3</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Agricultura</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16.4</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7.5</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-8.9</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-54.3%</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Cultura y Deportes</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4.5</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4.5</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Secretarias y Otras Dependencias del Ejecutivo</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w:t>
            </w:r>
          </w:p>
        </w:tc>
      </w:tr>
      <w:tr w:rsidR="0050393B" w:rsidRPr="006545F4" w:rsidTr="00DB3B6D">
        <w:trPr>
          <w:trHeight w:val="310"/>
        </w:trPr>
        <w:tc>
          <w:tcPr>
            <w:tcW w:w="4720" w:type="dxa"/>
            <w:tcBorders>
              <w:top w:val="nil"/>
              <w:left w:val="single" w:sz="8" w:space="0" w:color="auto"/>
              <w:bottom w:val="nil"/>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Ministerio de Ambiente y Recursos Naturales</w:t>
            </w:r>
          </w:p>
        </w:tc>
        <w:tc>
          <w:tcPr>
            <w:tcW w:w="1020" w:type="dxa"/>
            <w:tcBorders>
              <w:top w:val="nil"/>
              <w:left w:val="single" w:sz="4" w:space="0" w:color="auto"/>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993"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275" w:type="dxa"/>
            <w:tcBorders>
              <w:top w:val="nil"/>
              <w:left w:val="nil"/>
              <w:bottom w:val="nil"/>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0.0</w:t>
            </w:r>
          </w:p>
        </w:tc>
        <w:tc>
          <w:tcPr>
            <w:tcW w:w="1134" w:type="dxa"/>
            <w:tcBorders>
              <w:top w:val="nil"/>
              <w:left w:val="nil"/>
              <w:bottom w:val="nil"/>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w:t>
            </w:r>
          </w:p>
        </w:tc>
      </w:tr>
      <w:tr w:rsidR="0050393B" w:rsidRPr="006545F4" w:rsidTr="00DB3B6D">
        <w:trPr>
          <w:trHeight w:val="320"/>
        </w:trPr>
        <w:tc>
          <w:tcPr>
            <w:tcW w:w="4720" w:type="dxa"/>
            <w:tcBorders>
              <w:top w:val="nil"/>
              <w:left w:val="single" w:sz="8" w:space="0" w:color="auto"/>
              <w:bottom w:val="single" w:sz="8" w:space="0" w:color="auto"/>
              <w:right w:val="nil"/>
            </w:tcBorders>
            <w:shd w:val="clear" w:color="000000" w:fill="FFFFFF"/>
            <w:noWrap/>
            <w:vAlign w:val="bottom"/>
            <w:hideMark/>
          </w:tcPr>
          <w:p w:rsidR="0050393B" w:rsidRPr="00E27498" w:rsidRDefault="0050393B" w:rsidP="0050393B">
            <w:pPr>
              <w:rPr>
                <w:color w:val="000000"/>
                <w:sz w:val="22"/>
                <w:lang w:val="es-GT" w:eastAsia="es-GT"/>
              </w:rPr>
            </w:pPr>
            <w:r w:rsidRPr="00E27498">
              <w:rPr>
                <w:color w:val="000000"/>
                <w:sz w:val="22"/>
                <w:lang w:val="es-GT" w:eastAsia="es-GT"/>
              </w:rPr>
              <w:t>Obligaciones del Estado a Cargo del Tesoro</w:t>
            </w:r>
          </w:p>
        </w:tc>
        <w:tc>
          <w:tcPr>
            <w:tcW w:w="1020" w:type="dxa"/>
            <w:tcBorders>
              <w:top w:val="nil"/>
              <w:left w:val="single" w:sz="4" w:space="0" w:color="auto"/>
              <w:bottom w:val="single" w:sz="8" w:space="0" w:color="auto"/>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168.5</w:t>
            </w:r>
          </w:p>
        </w:tc>
        <w:tc>
          <w:tcPr>
            <w:tcW w:w="993" w:type="dxa"/>
            <w:tcBorders>
              <w:top w:val="nil"/>
              <w:left w:val="nil"/>
              <w:bottom w:val="single" w:sz="8" w:space="0" w:color="auto"/>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88.6</w:t>
            </w:r>
          </w:p>
        </w:tc>
        <w:tc>
          <w:tcPr>
            <w:tcW w:w="1275" w:type="dxa"/>
            <w:tcBorders>
              <w:top w:val="nil"/>
              <w:left w:val="nil"/>
              <w:bottom w:val="single" w:sz="8" w:space="0" w:color="auto"/>
              <w:right w:val="single" w:sz="4"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-79.9</w:t>
            </w:r>
          </w:p>
        </w:tc>
        <w:tc>
          <w:tcPr>
            <w:tcW w:w="1134" w:type="dxa"/>
            <w:tcBorders>
              <w:top w:val="nil"/>
              <w:left w:val="nil"/>
              <w:bottom w:val="single" w:sz="8" w:space="0" w:color="auto"/>
              <w:right w:val="single" w:sz="8" w:space="0" w:color="auto"/>
            </w:tcBorders>
            <w:shd w:val="clear" w:color="000000" w:fill="FFFFFF"/>
            <w:noWrap/>
            <w:vAlign w:val="center"/>
            <w:hideMark/>
          </w:tcPr>
          <w:p w:rsidR="0050393B" w:rsidRPr="00E27498" w:rsidRDefault="0050393B" w:rsidP="0050393B">
            <w:pPr>
              <w:jc w:val="center"/>
              <w:rPr>
                <w:color w:val="000000"/>
                <w:sz w:val="22"/>
                <w:lang w:val="es-GT" w:eastAsia="es-GT"/>
              </w:rPr>
            </w:pPr>
            <w:r w:rsidRPr="00E27498">
              <w:rPr>
                <w:color w:val="000000"/>
                <w:sz w:val="22"/>
                <w:lang w:val="es-GT" w:eastAsia="es-GT"/>
              </w:rPr>
              <w:t>-47.4%</w:t>
            </w:r>
          </w:p>
        </w:tc>
      </w:tr>
      <w:tr w:rsidR="0050393B" w:rsidRPr="006545F4" w:rsidTr="00DB3B6D">
        <w:trPr>
          <w:trHeight w:val="310"/>
        </w:trPr>
        <w:tc>
          <w:tcPr>
            <w:tcW w:w="4720" w:type="dxa"/>
            <w:tcBorders>
              <w:top w:val="nil"/>
              <w:left w:val="nil"/>
              <w:bottom w:val="nil"/>
              <w:right w:val="nil"/>
            </w:tcBorders>
            <w:shd w:val="clear" w:color="000000" w:fill="FFFFFF"/>
            <w:noWrap/>
            <w:vAlign w:val="bottom"/>
            <w:hideMark/>
          </w:tcPr>
          <w:p w:rsidR="0050393B" w:rsidRPr="00DB3B6D" w:rsidRDefault="0050393B" w:rsidP="0050393B">
            <w:pPr>
              <w:rPr>
                <w:bCs/>
                <w:color w:val="000000"/>
                <w:lang w:val="es-GT" w:eastAsia="es-GT"/>
              </w:rPr>
            </w:pPr>
            <w:r w:rsidRPr="00DB3B6D">
              <w:rPr>
                <w:bCs/>
                <w:color w:val="000000"/>
                <w:lang w:val="es-GT" w:eastAsia="es-GT"/>
              </w:rPr>
              <w:t>Porcentaje de ejecución presupuestaria</w:t>
            </w:r>
          </w:p>
        </w:tc>
        <w:tc>
          <w:tcPr>
            <w:tcW w:w="1020" w:type="dxa"/>
            <w:tcBorders>
              <w:top w:val="nil"/>
              <w:left w:val="nil"/>
              <w:bottom w:val="nil"/>
              <w:right w:val="nil"/>
            </w:tcBorders>
            <w:shd w:val="clear" w:color="000000" w:fill="FFFFFF"/>
            <w:noWrap/>
            <w:vAlign w:val="bottom"/>
            <w:hideMark/>
          </w:tcPr>
          <w:p w:rsidR="0050393B" w:rsidRPr="00DB3B6D" w:rsidRDefault="0050393B" w:rsidP="0050393B">
            <w:pPr>
              <w:jc w:val="right"/>
              <w:rPr>
                <w:bCs/>
                <w:color w:val="000000"/>
                <w:lang w:val="es-GT" w:eastAsia="es-GT"/>
              </w:rPr>
            </w:pPr>
            <w:r w:rsidRPr="00DB3B6D">
              <w:rPr>
                <w:bCs/>
                <w:color w:val="000000"/>
                <w:lang w:val="es-GT" w:eastAsia="es-GT"/>
              </w:rPr>
              <w:t>1.2%</w:t>
            </w:r>
          </w:p>
        </w:tc>
        <w:tc>
          <w:tcPr>
            <w:tcW w:w="993" w:type="dxa"/>
            <w:tcBorders>
              <w:top w:val="nil"/>
              <w:left w:val="nil"/>
              <w:bottom w:val="nil"/>
              <w:right w:val="nil"/>
            </w:tcBorders>
            <w:shd w:val="clear" w:color="000000" w:fill="FFFFFF"/>
            <w:noWrap/>
            <w:vAlign w:val="bottom"/>
            <w:hideMark/>
          </w:tcPr>
          <w:p w:rsidR="0050393B" w:rsidRPr="00DB3B6D" w:rsidRDefault="0050393B" w:rsidP="0050393B">
            <w:pPr>
              <w:jc w:val="right"/>
              <w:rPr>
                <w:bCs/>
                <w:color w:val="000000"/>
                <w:lang w:val="es-GT" w:eastAsia="es-GT"/>
              </w:rPr>
            </w:pPr>
            <w:r w:rsidRPr="00DB3B6D">
              <w:rPr>
                <w:bCs/>
                <w:color w:val="000000"/>
                <w:lang w:val="es-GT" w:eastAsia="es-GT"/>
              </w:rPr>
              <w:t>0.9%</w:t>
            </w:r>
          </w:p>
        </w:tc>
        <w:tc>
          <w:tcPr>
            <w:tcW w:w="1275" w:type="dxa"/>
            <w:tcBorders>
              <w:top w:val="nil"/>
              <w:left w:val="nil"/>
              <w:bottom w:val="nil"/>
              <w:right w:val="nil"/>
            </w:tcBorders>
            <w:shd w:val="clear" w:color="000000" w:fill="FFFFFF"/>
            <w:noWrap/>
            <w:vAlign w:val="bottom"/>
            <w:hideMark/>
          </w:tcPr>
          <w:p w:rsidR="0050393B" w:rsidRPr="006545F4" w:rsidRDefault="0050393B" w:rsidP="0050393B">
            <w:pPr>
              <w:jc w:val="right"/>
              <w:rPr>
                <w:color w:val="000000"/>
                <w:lang w:val="es-GT" w:eastAsia="es-GT"/>
              </w:rPr>
            </w:pPr>
            <w:r w:rsidRPr="006545F4">
              <w:rPr>
                <w:color w:val="000000"/>
                <w:lang w:val="es-GT" w:eastAsia="es-GT"/>
              </w:rPr>
              <w:t> </w:t>
            </w:r>
          </w:p>
        </w:tc>
        <w:tc>
          <w:tcPr>
            <w:tcW w:w="1134" w:type="dxa"/>
            <w:tcBorders>
              <w:top w:val="nil"/>
              <w:left w:val="nil"/>
              <w:bottom w:val="nil"/>
              <w:right w:val="nil"/>
            </w:tcBorders>
            <w:shd w:val="clear" w:color="000000" w:fill="FFFFFF"/>
            <w:noWrap/>
            <w:vAlign w:val="bottom"/>
            <w:hideMark/>
          </w:tcPr>
          <w:p w:rsidR="0050393B" w:rsidRPr="006545F4" w:rsidRDefault="0050393B" w:rsidP="0050393B">
            <w:pPr>
              <w:jc w:val="right"/>
              <w:rPr>
                <w:color w:val="000000"/>
                <w:lang w:val="es-GT" w:eastAsia="es-GT"/>
              </w:rPr>
            </w:pPr>
            <w:r w:rsidRPr="006545F4">
              <w:rPr>
                <w:color w:val="000000"/>
                <w:lang w:val="es-GT" w:eastAsia="es-GT"/>
              </w:rPr>
              <w:t> </w:t>
            </w:r>
          </w:p>
        </w:tc>
      </w:tr>
    </w:tbl>
    <w:p w:rsidR="0050393B" w:rsidRDefault="0050393B" w:rsidP="0050393B">
      <w:pPr>
        <w:jc w:val="both"/>
        <w:rPr>
          <w:sz w:val="18"/>
          <w:lang w:val="es-MX"/>
        </w:rPr>
      </w:pPr>
      <w:r w:rsidRPr="00CF5481">
        <w:rPr>
          <w:sz w:val="18"/>
          <w:lang w:val="es-MX"/>
        </w:rPr>
        <w:t>* Cifras preliminares.</w:t>
      </w:r>
    </w:p>
    <w:p w:rsidR="0050393B" w:rsidRPr="00CF5481" w:rsidRDefault="0050393B" w:rsidP="0050393B">
      <w:pPr>
        <w:jc w:val="both"/>
        <w:rPr>
          <w:sz w:val="18"/>
          <w:lang w:val="es-MX"/>
        </w:rPr>
      </w:pPr>
      <w:r>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SICOIN.</w:t>
      </w:r>
    </w:p>
    <w:p w:rsidR="0050393B" w:rsidRPr="00DB3B6D" w:rsidRDefault="0050393B" w:rsidP="0050393B">
      <w:pPr>
        <w:jc w:val="both"/>
        <w:rPr>
          <w:sz w:val="36"/>
          <w:lang w:val="es-MX"/>
        </w:rPr>
      </w:pPr>
    </w:p>
    <w:p w:rsidR="0050393B" w:rsidRPr="005E55DE" w:rsidRDefault="0050393B" w:rsidP="004C636B">
      <w:pPr>
        <w:pStyle w:val="Ttulo3"/>
        <w:numPr>
          <w:ilvl w:val="0"/>
          <w:numId w:val="7"/>
        </w:numPr>
        <w:ind w:left="426"/>
        <w:rPr>
          <w:rFonts w:ascii="Times New Roman" w:hAnsi="Times New Roman"/>
          <w:color w:val="auto"/>
          <w:lang w:val="es-MX"/>
        </w:rPr>
      </w:pPr>
      <w:bookmarkStart w:id="23" w:name="_Toc83713631"/>
      <w:r w:rsidRPr="005E55DE">
        <w:rPr>
          <w:rFonts w:ascii="Times New Roman" w:hAnsi="Times New Roman"/>
          <w:color w:val="auto"/>
          <w:lang w:val="es-MX"/>
        </w:rPr>
        <w:t>Gasto Ejecutado por el Programa C</w:t>
      </w:r>
      <w:r w:rsidR="00DB3B6D" w:rsidRPr="005E55DE">
        <w:rPr>
          <w:rFonts w:ascii="Times New Roman" w:hAnsi="Times New Roman"/>
          <w:color w:val="auto"/>
          <w:lang w:val="es-MX"/>
        </w:rPr>
        <w:t>OVID</w:t>
      </w:r>
      <w:r w:rsidRPr="005E55DE">
        <w:rPr>
          <w:rFonts w:ascii="Times New Roman" w:hAnsi="Times New Roman"/>
          <w:color w:val="auto"/>
          <w:lang w:val="es-MX"/>
        </w:rPr>
        <w:t>-19</w:t>
      </w:r>
      <w:bookmarkEnd w:id="23"/>
    </w:p>
    <w:p w:rsidR="0050393B" w:rsidRDefault="0050393B" w:rsidP="0050393B">
      <w:pPr>
        <w:jc w:val="both"/>
        <w:rPr>
          <w:lang w:val="es-MX"/>
        </w:rPr>
      </w:pPr>
    </w:p>
    <w:p w:rsidR="0050393B" w:rsidRDefault="0050393B" w:rsidP="0050393B">
      <w:pPr>
        <w:jc w:val="both"/>
        <w:rPr>
          <w:lang w:val="es-MX"/>
        </w:rPr>
      </w:pPr>
      <w:r>
        <w:rPr>
          <w:lang w:val="es-MX"/>
        </w:rPr>
        <w:t>En el 2020 el presupuesto para el Programa C</w:t>
      </w:r>
      <w:r w:rsidR="00DB3B6D">
        <w:rPr>
          <w:lang w:val="es-MX"/>
        </w:rPr>
        <w:t>OVID</w:t>
      </w:r>
      <w:r>
        <w:rPr>
          <w:lang w:val="es-MX"/>
        </w:rPr>
        <w:t>-2019 fue de Q.14,299.8 millones, ejecutado principalmente por las entidades siguientes: Ministerio de Desarrollo Social 45.2%; Obligaciones del Estado a Cargo del Tesoro 22.7%; Ministerio de Economía 16.8%; Ministerio de Salud Pública y Asistencia Social 11.8% y otras entidades 3.4%.</w:t>
      </w:r>
    </w:p>
    <w:p w:rsidR="0050393B" w:rsidRDefault="0050393B" w:rsidP="0050393B">
      <w:pPr>
        <w:jc w:val="center"/>
        <w:rPr>
          <w:b/>
          <w:szCs w:val="22"/>
          <w:lang w:val="es-MX"/>
        </w:rPr>
      </w:pPr>
    </w:p>
    <w:p w:rsidR="0050393B" w:rsidRDefault="0050393B" w:rsidP="0050393B">
      <w:pPr>
        <w:jc w:val="both"/>
        <w:rPr>
          <w:lang w:val="es-MX"/>
        </w:rPr>
      </w:pPr>
    </w:p>
    <w:p w:rsidR="0050393B" w:rsidRDefault="0050393B" w:rsidP="0050393B">
      <w:pPr>
        <w:jc w:val="both"/>
        <w:rPr>
          <w:lang w:val="es-MX"/>
        </w:rPr>
      </w:pPr>
      <w:r>
        <w:rPr>
          <w:lang w:val="es-MX"/>
        </w:rPr>
        <w:t>Al 30 de junio de 2021</w:t>
      </w:r>
      <w:r w:rsidR="00DB3B6D">
        <w:rPr>
          <w:lang w:val="es-MX"/>
        </w:rPr>
        <w:t>,</w:t>
      </w:r>
      <w:r>
        <w:rPr>
          <w:lang w:val="es-MX"/>
        </w:rPr>
        <w:t xml:space="preserve"> e</w:t>
      </w:r>
      <w:r w:rsidRPr="00D86812">
        <w:rPr>
          <w:lang w:val="es-MX"/>
        </w:rPr>
        <w:t>l presupuesto vigente del Programa C</w:t>
      </w:r>
      <w:r w:rsidR="00DB3B6D">
        <w:rPr>
          <w:lang w:val="es-MX"/>
        </w:rPr>
        <w:t>OVID</w:t>
      </w:r>
      <w:r>
        <w:rPr>
          <w:lang w:val="es-MX"/>
        </w:rPr>
        <w:t>-19</w:t>
      </w:r>
      <w:r w:rsidRPr="00D86812">
        <w:rPr>
          <w:lang w:val="es-MX"/>
        </w:rPr>
        <w:t xml:space="preserve"> es de Q.</w:t>
      </w:r>
      <w:r>
        <w:rPr>
          <w:lang w:val="es-MX"/>
        </w:rPr>
        <w:t>2,742.7</w:t>
      </w:r>
      <w:r w:rsidRPr="00D86812">
        <w:rPr>
          <w:lang w:val="es-MX"/>
        </w:rPr>
        <w:t xml:space="preserve"> millones, de los cuales se ha</w:t>
      </w:r>
      <w:r>
        <w:rPr>
          <w:lang w:val="es-MX"/>
        </w:rPr>
        <w:t>n</w:t>
      </w:r>
      <w:r w:rsidRPr="00D86812">
        <w:rPr>
          <w:lang w:val="es-MX"/>
        </w:rPr>
        <w:t xml:space="preserve"> ejecutado Q.</w:t>
      </w:r>
      <w:r>
        <w:rPr>
          <w:lang w:val="es-MX"/>
        </w:rPr>
        <w:t>1,218.5</w:t>
      </w:r>
      <w:r w:rsidRPr="00D86812">
        <w:rPr>
          <w:lang w:val="es-MX"/>
        </w:rPr>
        <w:t xml:space="preserve"> millones, que equivale</w:t>
      </w:r>
      <w:r>
        <w:rPr>
          <w:lang w:val="es-MX"/>
        </w:rPr>
        <w:t>n</w:t>
      </w:r>
      <w:r w:rsidRPr="00D86812">
        <w:rPr>
          <w:lang w:val="es-MX"/>
        </w:rPr>
        <w:t xml:space="preserve"> al </w:t>
      </w:r>
      <w:r>
        <w:rPr>
          <w:lang w:val="es-MX"/>
        </w:rPr>
        <w:t>44.4</w:t>
      </w:r>
      <w:r w:rsidRPr="00D86812">
        <w:rPr>
          <w:lang w:val="es-MX"/>
        </w:rPr>
        <w:t>%. Del monto vigente</w:t>
      </w:r>
      <w:r>
        <w:rPr>
          <w:lang w:val="es-MX"/>
        </w:rPr>
        <w:t>,</w:t>
      </w:r>
      <w:r w:rsidRPr="00D86812">
        <w:rPr>
          <w:lang w:val="es-MX"/>
        </w:rPr>
        <w:t xml:space="preserve"> el </w:t>
      </w:r>
      <w:r>
        <w:rPr>
          <w:lang w:val="es-MX"/>
        </w:rPr>
        <w:t>90.8</w:t>
      </w:r>
      <w:r w:rsidRPr="00D86812">
        <w:rPr>
          <w:lang w:val="es-MX"/>
        </w:rPr>
        <w:t xml:space="preserve">% corresponde al Ministerio de </w:t>
      </w:r>
      <w:r>
        <w:rPr>
          <w:lang w:val="es-MX"/>
        </w:rPr>
        <w:t>Salud Pública y Asistencia Social; el 5.4% al Ministerio de Agricultura, Ganadería y Alimentación y el 3.8% al Ministerio de Desarrollo Social.</w:t>
      </w:r>
    </w:p>
    <w:p w:rsidR="0050393B" w:rsidRDefault="0050393B" w:rsidP="0050393B">
      <w:pPr>
        <w:jc w:val="both"/>
        <w:rPr>
          <w:lang w:val="es-MX"/>
        </w:rPr>
      </w:pPr>
    </w:p>
    <w:p w:rsidR="00DB3B6D" w:rsidRDefault="00DB3B6D" w:rsidP="0050393B">
      <w:pPr>
        <w:jc w:val="both"/>
        <w:rPr>
          <w:lang w:val="es-MX"/>
        </w:rPr>
      </w:pPr>
    </w:p>
    <w:p w:rsidR="00DB3B6D" w:rsidRDefault="00DB3B6D" w:rsidP="0050393B">
      <w:pPr>
        <w:jc w:val="both"/>
        <w:rPr>
          <w:lang w:val="es-MX"/>
        </w:rPr>
      </w:pPr>
    </w:p>
    <w:p w:rsidR="00DB3B6D" w:rsidRDefault="00DB3B6D" w:rsidP="0050393B">
      <w:pPr>
        <w:jc w:val="both"/>
        <w:rPr>
          <w:lang w:val="es-MX"/>
        </w:rPr>
      </w:pPr>
    </w:p>
    <w:p w:rsidR="006818E3" w:rsidRDefault="006818E3" w:rsidP="0050393B">
      <w:pPr>
        <w:jc w:val="both"/>
        <w:rPr>
          <w:lang w:val="es-MX"/>
        </w:rPr>
      </w:pPr>
    </w:p>
    <w:p w:rsidR="006818E3" w:rsidRDefault="006818E3" w:rsidP="0050393B">
      <w:pPr>
        <w:jc w:val="both"/>
        <w:rPr>
          <w:lang w:val="es-MX"/>
        </w:rPr>
      </w:pPr>
    </w:p>
    <w:p w:rsidR="00DB3B6D" w:rsidRDefault="00DB3B6D" w:rsidP="0050393B">
      <w:pPr>
        <w:jc w:val="both"/>
        <w:rPr>
          <w:lang w:val="es-MX"/>
        </w:rPr>
      </w:pPr>
    </w:p>
    <w:p w:rsidR="00DB3B6D" w:rsidRDefault="00DB3B6D" w:rsidP="0050393B">
      <w:pPr>
        <w:jc w:val="both"/>
        <w:rPr>
          <w:lang w:val="es-MX"/>
        </w:rPr>
      </w:pPr>
    </w:p>
    <w:p w:rsidR="00DB3B6D" w:rsidRDefault="00DB3B6D" w:rsidP="0050393B">
      <w:pPr>
        <w:jc w:val="both"/>
        <w:rPr>
          <w:lang w:val="es-MX"/>
        </w:rPr>
      </w:pPr>
    </w:p>
    <w:p w:rsidR="00DB3B6D" w:rsidRDefault="00DB3B6D" w:rsidP="0050393B">
      <w:pPr>
        <w:jc w:val="both"/>
        <w:rPr>
          <w:lang w:val="es-MX"/>
        </w:rPr>
      </w:pPr>
    </w:p>
    <w:p w:rsidR="006314B7" w:rsidRDefault="006314B7" w:rsidP="0050393B">
      <w:pPr>
        <w:jc w:val="both"/>
        <w:rPr>
          <w:lang w:val="es-MX"/>
        </w:rPr>
      </w:pPr>
    </w:p>
    <w:p w:rsidR="00DB3B6D" w:rsidRDefault="00DB3B6D" w:rsidP="0050393B">
      <w:pPr>
        <w:jc w:val="both"/>
        <w:rPr>
          <w:lang w:val="es-MX"/>
        </w:rPr>
      </w:pPr>
    </w:p>
    <w:p w:rsidR="0050393B" w:rsidRPr="00D84096" w:rsidRDefault="0050393B" w:rsidP="0050393B">
      <w:pPr>
        <w:jc w:val="center"/>
        <w:rPr>
          <w:b/>
          <w:szCs w:val="22"/>
          <w:lang w:val="es-MX"/>
        </w:rPr>
      </w:pPr>
      <w:r w:rsidRPr="00D84096">
        <w:rPr>
          <w:b/>
          <w:szCs w:val="22"/>
          <w:lang w:val="es-MX"/>
        </w:rPr>
        <w:t>Cuadro 1</w:t>
      </w:r>
      <w:r>
        <w:rPr>
          <w:b/>
          <w:szCs w:val="22"/>
          <w:lang w:val="es-MX"/>
        </w:rPr>
        <w:t>3</w:t>
      </w:r>
    </w:p>
    <w:p w:rsidR="0050393B" w:rsidRPr="00D84096" w:rsidRDefault="0050393B" w:rsidP="0050393B">
      <w:pPr>
        <w:jc w:val="center"/>
        <w:rPr>
          <w:b/>
          <w:szCs w:val="22"/>
          <w:lang w:val="es-MX"/>
        </w:rPr>
      </w:pPr>
      <w:r w:rsidRPr="00D84096">
        <w:rPr>
          <w:b/>
          <w:szCs w:val="22"/>
          <w:lang w:val="es-MX"/>
        </w:rPr>
        <w:t>Programa de Emergencia C</w:t>
      </w:r>
      <w:r w:rsidR="00DB3B6D">
        <w:rPr>
          <w:b/>
          <w:szCs w:val="22"/>
          <w:lang w:val="es-MX"/>
        </w:rPr>
        <w:t>OVID</w:t>
      </w:r>
      <w:r w:rsidRPr="00D84096">
        <w:rPr>
          <w:b/>
          <w:szCs w:val="22"/>
          <w:lang w:val="es-MX"/>
        </w:rPr>
        <w:t>-19</w:t>
      </w:r>
      <w:r>
        <w:rPr>
          <w:b/>
          <w:szCs w:val="22"/>
          <w:lang w:val="es-MX"/>
        </w:rPr>
        <w:t xml:space="preserve"> por Entidad</w:t>
      </w:r>
    </w:p>
    <w:p w:rsidR="0050393B" w:rsidRPr="00D84096" w:rsidRDefault="0050393B" w:rsidP="0050393B">
      <w:pPr>
        <w:jc w:val="center"/>
        <w:rPr>
          <w:b/>
          <w:szCs w:val="22"/>
          <w:lang w:val="es-MX"/>
        </w:rPr>
      </w:pPr>
      <w:r w:rsidRPr="00D84096">
        <w:rPr>
          <w:b/>
          <w:szCs w:val="22"/>
          <w:lang w:val="es-MX"/>
        </w:rPr>
        <w:t>Al 30 de junio de 202</w:t>
      </w:r>
      <w:r>
        <w:rPr>
          <w:b/>
          <w:szCs w:val="22"/>
          <w:lang w:val="es-MX"/>
        </w:rPr>
        <w:t>1</w:t>
      </w:r>
      <w:r w:rsidRPr="00D84096">
        <w:rPr>
          <w:b/>
          <w:szCs w:val="22"/>
          <w:lang w:val="es-MX"/>
        </w:rPr>
        <w:t>*</w:t>
      </w:r>
    </w:p>
    <w:p w:rsidR="0050393B" w:rsidRDefault="0050393B" w:rsidP="0050393B">
      <w:pPr>
        <w:jc w:val="center"/>
        <w:rPr>
          <w:b/>
          <w:szCs w:val="22"/>
          <w:lang w:val="es-MX"/>
        </w:rPr>
      </w:pPr>
      <w:r w:rsidRPr="00D84096">
        <w:rPr>
          <w:b/>
          <w:szCs w:val="22"/>
          <w:lang w:val="es-MX"/>
        </w:rPr>
        <w:t>(Cifras en Millones de Quetzales)</w:t>
      </w:r>
    </w:p>
    <w:p w:rsidR="006818E3" w:rsidRPr="00D84096" w:rsidRDefault="006818E3" w:rsidP="0050393B">
      <w:pPr>
        <w:jc w:val="center"/>
        <w:rPr>
          <w:b/>
          <w:szCs w:val="22"/>
          <w:lang w:val="es-MX"/>
        </w:rPr>
      </w:pPr>
    </w:p>
    <w:tbl>
      <w:tblPr>
        <w:tblW w:w="9212" w:type="dxa"/>
        <w:tblCellMar>
          <w:left w:w="70" w:type="dxa"/>
          <w:right w:w="70" w:type="dxa"/>
        </w:tblCellMar>
        <w:tblLook w:val="04A0" w:firstRow="1" w:lastRow="0" w:firstColumn="1" w:lastColumn="0" w:noHBand="0" w:noVBand="1"/>
      </w:tblPr>
      <w:tblGrid>
        <w:gridCol w:w="4037"/>
        <w:gridCol w:w="1420"/>
        <w:gridCol w:w="1276"/>
        <w:gridCol w:w="1325"/>
        <w:gridCol w:w="1154"/>
      </w:tblGrid>
      <w:tr w:rsidR="0050393B" w:rsidRPr="005B200A" w:rsidTr="00DB3B6D">
        <w:trPr>
          <w:trHeight w:val="580"/>
        </w:trPr>
        <w:tc>
          <w:tcPr>
            <w:tcW w:w="4037" w:type="dxa"/>
            <w:tcBorders>
              <w:top w:val="single" w:sz="8" w:space="0" w:color="auto"/>
              <w:left w:val="single" w:sz="8" w:space="0" w:color="auto"/>
              <w:bottom w:val="nil"/>
              <w:right w:val="single" w:sz="4" w:space="0" w:color="auto"/>
            </w:tcBorders>
            <w:shd w:val="clear" w:color="000000" w:fill="B8CCE4"/>
            <w:vAlign w:val="center"/>
            <w:hideMark/>
          </w:tcPr>
          <w:p w:rsidR="0050393B" w:rsidRPr="005B200A" w:rsidRDefault="0050393B" w:rsidP="00DB3B6D">
            <w:pPr>
              <w:jc w:val="center"/>
              <w:rPr>
                <w:b/>
                <w:bCs/>
                <w:lang w:val="es-GT" w:eastAsia="es-GT"/>
              </w:rPr>
            </w:pPr>
            <w:r w:rsidRPr="005B200A">
              <w:rPr>
                <w:b/>
                <w:bCs/>
                <w:lang w:val="es-GT" w:eastAsia="es-GT"/>
              </w:rPr>
              <w:t>Entidad</w:t>
            </w:r>
          </w:p>
        </w:tc>
        <w:tc>
          <w:tcPr>
            <w:tcW w:w="1420" w:type="dxa"/>
            <w:tcBorders>
              <w:top w:val="single" w:sz="8" w:space="0" w:color="auto"/>
              <w:left w:val="nil"/>
              <w:bottom w:val="nil"/>
              <w:right w:val="single" w:sz="4" w:space="0" w:color="auto"/>
            </w:tcBorders>
            <w:shd w:val="clear" w:color="000000" w:fill="B8CCE4"/>
            <w:vAlign w:val="center"/>
            <w:hideMark/>
          </w:tcPr>
          <w:p w:rsidR="0050393B" w:rsidRPr="005B200A" w:rsidRDefault="0050393B" w:rsidP="0050393B">
            <w:pPr>
              <w:jc w:val="center"/>
              <w:rPr>
                <w:b/>
                <w:bCs/>
                <w:lang w:val="es-GT" w:eastAsia="es-GT"/>
              </w:rPr>
            </w:pPr>
            <w:r w:rsidRPr="005B200A">
              <w:rPr>
                <w:b/>
                <w:bCs/>
                <w:lang w:val="es-GT" w:eastAsia="es-GT"/>
              </w:rPr>
              <w:t>Vigente</w:t>
            </w:r>
          </w:p>
        </w:tc>
        <w:tc>
          <w:tcPr>
            <w:tcW w:w="1276" w:type="dxa"/>
            <w:tcBorders>
              <w:top w:val="single" w:sz="8" w:space="0" w:color="auto"/>
              <w:left w:val="nil"/>
              <w:bottom w:val="nil"/>
              <w:right w:val="single" w:sz="4" w:space="0" w:color="auto"/>
            </w:tcBorders>
            <w:shd w:val="clear" w:color="000000" w:fill="B8CCE4"/>
            <w:vAlign w:val="center"/>
            <w:hideMark/>
          </w:tcPr>
          <w:p w:rsidR="0050393B" w:rsidRPr="005B200A" w:rsidRDefault="0050393B" w:rsidP="0050393B">
            <w:pPr>
              <w:jc w:val="center"/>
              <w:rPr>
                <w:b/>
                <w:bCs/>
                <w:lang w:val="es-GT" w:eastAsia="es-GT"/>
              </w:rPr>
            </w:pPr>
            <w:r w:rsidRPr="005B200A">
              <w:rPr>
                <w:b/>
                <w:bCs/>
                <w:lang w:val="es-GT" w:eastAsia="es-GT"/>
              </w:rPr>
              <w:t>Ejecutado</w:t>
            </w:r>
          </w:p>
        </w:tc>
        <w:tc>
          <w:tcPr>
            <w:tcW w:w="1325" w:type="dxa"/>
            <w:tcBorders>
              <w:top w:val="single" w:sz="8" w:space="0" w:color="auto"/>
              <w:left w:val="nil"/>
              <w:bottom w:val="nil"/>
              <w:right w:val="single" w:sz="4" w:space="0" w:color="auto"/>
            </w:tcBorders>
            <w:shd w:val="clear" w:color="000000" w:fill="B8CCE4"/>
            <w:vAlign w:val="center"/>
            <w:hideMark/>
          </w:tcPr>
          <w:p w:rsidR="0050393B" w:rsidRPr="005B200A" w:rsidRDefault="0050393B" w:rsidP="0050393B">
            <w:pPr>
              <w:jc w:val="center"/>
              <w:rPr>
                <w:b/>
                <w:bCs/>
                <w:lang w:val="es-GT" w:eastAsia="es-GT"/>
              </w:rPr>
            </w:pPr>
            <w:r w:rsidRPr="005B200A">
              <w:rPr>
                <w:b/>
                <w:bCs/>
                <w:lang w:val="es-GT" w:eastAsia="es-GT"/>
              </w:rPr>
              <w:t>Saldo por Devengar</w:t>
            </w:r>
          </w:p>
        </w:tc>
        <w:tc>
          <w:tcPr>
            <w:tcW w:w="1154" w:type="dxa"/>
            <w:tcBorders>
              <w:top w:val="single" w:sz="8" w:space="0" w:color="auto"/>
              <w:left w:val="nil"/>
              <w:bottom w:val="nil"/>
              <w:right w:val="single" w:sz="8" w:space="0" w:color="auto"/>
            </w:tcBorders>
            <w:shd w:val="clear" w:color="000000" w:fill="B8CCE4"/>
            <w:vAlign w:val="center"/>
            <w:hideMark/>
          </w:tcPr>
          <w:p w:rsidR="0050393B" w:rsidRPr="005B200A" w:rsidRDefault="0050393B" w:rsidP="0050393B">
            <w:pPr>
              <w:jc w:val="center"/>
              <w:rPr>
                <w:b/>
                <w:bCs/>
                <w:lang w:val="es-GT" w:eastAsia="es-GT"/>
              </w:rPr>
            </w:pPr>
            <w:r w:rsidRPr="005B200A">
              <w:rPr>
                <w:b/>
                <w:bCs/>
                <w:lang w:val="es-GT" w:eastAsia="es-GT"/>
              </w:rPr>
              <w:t>% de Ejecución</w:t>
            </w:r>
          </w:p>
        </w:tc>
      </w:tr>
      <w:tr w:rsidR="0050393B" w:rsidRPr="005B200A" w:rsidTr="00DB3B6D">
        <w:trPr>
          <w:trHeight w:val="300"/>
        </w:trPr>
        <w:tc>
          <w:tcPr>
            <w:tcW w:w="4037" w:type="dxa"/>
            <w:tcBorders>
              <w:top w:val="single" w:sz="8" w:space="0" w:color="auto"/>
              <w:left w:val="single" w:sz="8" w:space="0" w:color="auto"/>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TOTAL</w:t>
            </w:r>
          </w:p>
        </w:tc>
        <w:tc>
          <w:tcPr>
            <w:tcW w:w="1420" w:type="dxa"/>
            <w:tcBorders>
              <w:top w:val="single" w:sz="8" w:space="0" w:color="auto"/>
              <w:left w:val="nil"/>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2,742.7</w:t>
            </w:r>
          </w:p>
        </w:tc>
        <w:tc>
          <w:tcPr>
            <w:tcW w:w="1276" w:type="dxa"/>
            <w:tcBorders>
              <w:top w:val="single" w:sz="8" w:space="0" w:color="auto"/>
              <w:left w:val="nil"/>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1,218.5</w:t>
            </w:r>
          </w:p>
        </w:tc>
        <w:tc>
          <w:tcPr>
            <w:tcW w:w="1325" w:type="dxa"/>
            <w:tcBorders>
              <w:top w:val="single" w:sz="8" w:space="0" w:color="auto"/>
              <w:left w:val="nil"/>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1,524.2</w:t>
            </w:r>
          </w:p>
        </w:tc>
        <w:tc>
          <w:tcPr>
            <w:tcW w:w="1154" w:type="dxa"/>
            <w:tcBorders>
              <w:top w:val="single" w:sz="8" w:space="0" w:color="auto"/>
              <w:left w:val="nil"/>
              <w:bottom w:val="nil"/>
              <w:right w:val="single" w:sz="8"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44.4%</w:t>
            </w:r>
          </w:p>
        </w:tc>
      </w:tr>
      <w:tr w:rsidR="0050393B" w:rsidRPr="005B200A" w:rsidTr="00DB3B6D">
        <w:trPr>
          <w:trHeight w:val="310"/>
        </w:trPr>
        <w:tc>
          <w:tcPr>
            <w:tcW w:w="4037"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lang w:val="es-GT" w:eastAsia="es-GT"/>
              </w:rPr>
            </w:pPr>
            <w:r w:rsidRPr="00A82540">
              <w:rPr>
                <w:sz w:val="22"/>
                <w:lang w:val="es-GT" w:eastAsia="es-GT"/>
              </w:rPr>
              <w:t>Salud Pública y Asistencia Social</w:t>
            </w:r>
          </w:p>
        </w:tc>
        <w:tc>
          <w:tcPr>
            <w:tcW w:w="1420"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2,490.9</w:t>
            </w:r>
          </w:p>
        </w:tc>
        <w:tc>
          <w:tcPr>
            <w:tcW w:w="1276"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1,039.3</w:t>
            </w:r>
          </w:p>
        </w:tc>
        <w:tc>
          <w:tcPr>
            <w:tcW w:w="1325"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1,451.7</w:t>
            </w:r>
          </w:p>
        </w:tc>
        <w:tc>
          <w:tcPr>
            <w:tcW w:w="1154" w:type="dxa"/>
            <w:tcBorders>
              <w:top w:val="nil"/>
              <w:left w:val="nil"/>
              <w:bottom w:val="nil"/>
              <w:right w:val="single" w:sz="8"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41.7%</w:t>
            </w:r>
          </w:p>
        </w:tc>
      </w:tr>
      <w:tr w:rsidR="0050393B" w:rsidRPr="005B200A" w:rsidTr="00DB3B6D">
        <w:trPr>
          <w:trHeight w:val="310"/>
        </w:trPr>
        <w:tc>
          <w:tcPr>
            <w:tcW w:w="4037"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lang w:val="es-GT" w:eastAsia="es-GT"/>
              </w:rPr>
            </w:pPr>
            <w:r w:rsidRPr="00A82540">
              <w:rPr>
                <w:sz w:val="22"/>
                <w:lang w:val="es-GT" w:eastAsia="es-GT"/>
              </w:rPr>
              <w:t>Agricultura, Ganadería y Alimentación</w:t>
            </w:r>
          </w:p>
        </w:tc>
        <w:tc>
          <w:tcPr>
            <w:tcW w:w="1420"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148.3</w:t>
            </w:r>
          </w:p>
        </w:tc>
        <w:tc>
          <w:tcPr>
            <w:tcW w:w="1276"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76.4</w:t>
            </w:r>
          </w:p>
        </w:tc>
        <w:tc>
          <w:tcPr>
            <w:tcW w:w="1325" w:type="dxa"/>
            <w:tcBorders>
              <w:top w:val="nil"/>
              <w:left w:val="nil"/>
              <w:bottom w:val="nil"/>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72.0</w:t>
            </w:r>
          </w:p>
        </w:tc>
        <w:tc>
          <w:tcPr>
            <w:tcW w:w="1154" w:type="dxa"/>
            <w:tcBorders>
              <w:top w:val="nil"/>
              <w:left w:val="nil"/>
              <w:bottom w:val="nil"/>
              <w:right w:val="single" w:sz="8"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51.5%</w:t>
            </w:r>
          </w:p>
        </w:tc>
      </w:tr>
      <w:tr w:rsidR="0050393B" w:rsidRPr="005B200A" w:rsidTr="00DB3B6D">
        <w:trPr>
          <w:trHeight w:val="320"/>
        </w:trPr>
        <w:tc>
          <w:tcPr>
            <w:tcW w:w="4037" w:type="dxa"/>
            <w:tcBorders>
              <w:top w:val="nil"/>
              <w:left w:val="single" w:sz="8" w:space="0" w:color="auto"/>
              <w:bottom w:val="single" w:sz="8" w:space="0" w:color="auto"/>
              <w:right w:val="single" w:sz="4" w:space="0" w:color="auto"/>
            </w:tcBorders>
            <w:shd w:val="clear" w:color="auto" w:fill="auto"/>
            <w:noWrap/>
            <w:vAlign w:val="bottom"/>
            <w:hideMark/>
          </w:tcPr>
          <w:p w:rsidR="0050393B" w:rsidRPr="00A82540" w:rsidRDefault="0050393B" w:rsidP="0050393B">
            <w:pPr>
              <w:rPr>
                <w:sz w:val="22"/>
                <w:lang w:val="es-GT" w:eastAsia="es-GT"/>
              </w:rPr>
            </w:pPr>
            <w:r w:rsidRPr="00A82540">
              <w:rPr>
                <w:sz w:val="22"/>
                <w:lang w:val="es-GT" w:eastAsia="es-GT"/>
              </w:rPr>
              <w:t>Desarrollo Social</w:t>
            </w:r>
          </w:p>
        </w:tc>
        <w:tc>
          <w:tcPr>
            <w:tcW w:w="1420" w:type="dxa"/>
            <w:tcBorders>
              <w:top w:val="nil"/>
              <w:left w:val="nil"/>
              <w:bottom w:val="single" w:sz="8" w:space="0" w:color="auto"/>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103.4</w:t>
            </w:r>
          </w:p>
        </w:tc>
        <w:tc>
          <w:tcPr>
            <w:tcW w:w="1276" w:type="dxa"/>
            <w:tcBorders>
              <w:top w:val="nil"/>
              <w:left w:val="nil"/>
              <w:bottom w:val="single" w:sz="8" w:space="0" w:color="auto"/>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102.9</w:t>
            </w:r>
          </w:p>
        </w:tc>
        <w:tc>
          <w:tcPr>
            <w:tcW w:w="1325" w:type="dxa"/>
            <w:tcBorders>
              <w:top w:val="nil"/>
              <w:left w:val="nil"/>
              <w:bottom w:val="single" w:sz="8" w:space="0" w:color="auto"/>
              <w:right w:val="single" w:sz="4"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0.5</w:t>
            </w:r>
          </w:p>
        </w:tc>
        <w:tc>
          <w:tcPr>
            <w:tcW w:w="1154" w:type="dxa"/>
            <w:tcBorders>
              <w:top w:val="nil"/>
              <w:left w:val="nil"/>
              <w:bottom w:val="single" w:sz="8" w:space="0" w:color="auto"/>
              <w:right w:val="single" w:sz="8" w:space="0" w:color="auto"/>
            </w:tcBorders>
            <w:shd w:val="clear" w:color="auto" w:fill="auto"/>
            <w:noWrap/>
            <w:vAlign w:val="bottom"/>
            <w:hideMark/>
          </w:tcPr>
          <w:p w:rsidR="0050393B" w:rsidRPr="00A82540" w:rsidRDefault="0050393B" w:rsidP="0050393B">
            <w:pPr>
              <w:jc w:val="center"/>
              <w:rPr>
                <w:sz w:val="22"/>
                <w:lang w:val="es-GT" w:eastAsia="es-GT"/>
              </w:rPr>
            </w:pPr>
            <w:r w:rsidRPr="00A82540">
              <w:rPr>
                <w:sz w:val="22"/>
                <w:lang w:val="es-GT" w:eastAsia="es-GT"/>
              </w:rPr>
              <w:t>99.5%</w:t>
            </w:r>
          </w:p>
        </w:tc>
      </w:tr>
    </w:tbl>
    <w:p w:rsidR="0050393B" w:rsidRDefault="0050393B" w:rsidP="0050393B">
      <w:pPr>
        <w:jc w:val="both"/>
        <w:rPr>
          <w:sz w:val="18"/>
          <w:lang w:val="es-MX"/>
        </w:rPr>
      </w:pPr>
      <w:r w:rsidRPr="00CF5481">
        <w:rPr>
          <w:sz w:val="18"/>
          <w:lang w:val="es-MX"/>
        </w:rPr>
        <w:t>* Cifras preliminares.</w:t>
      </w:r>
    </w:p>
    <w:p w:rsidR="0050393B" w:rsidRPr="00CF5481" w:rsidRDefault="0050393B" w:rsidP="0050393B">
      <w:pPr>
        <w:jc w:val="both"/>
        <w:rPr>
          <w:sz w:val="18"/>
          <w:lang w:val="es-MX"/>
        </w:rPr>
      </w:pPr>
      <w:r>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SICOIN.</w:t>
      </w:r>
    </w:p>
    <w:p w:rsidR="0050393B" w:rsidRDefault="0050393B"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50393B" w:rsidRDefault="0050393B" w:rsidP="0050393B">
      <w:pPr>
        <w:jc w:val="both"/>
        <w:rPr>
          <w:b/>
          <w:bCs/>
        </w:rPr>
      </w:pPr>
      <w:r>
        <w:rPr>
          <w:b/>
          <w:bCs/>
        </w:rPr>
        <w:t>P</w:t>
      </w:r>
      <w:r w:rsidRPr="00B74EF9">
        <w:rPr>
          <w:b/>
          <w:bCs/>
        </w:rPr>
        <w:t>rincipales rubros de ejecución de los fondos asignados al Programa C</w:t>
      </w:r>
      <w:r w:rsidR="00DB3B6D">
        <w:rPr>
          <w:b/>
          <w:bCs/>
        </w:rPr>
        <w:t>OVID</w:t>
      </w:r>
      <w:r w:rsidRPr="00B74EF9">
        <w:rPr>
          <w:b/>
          <w:bCs/>
        </w:rPr>
        <w:t>-19</w:t>
      </w:r>
    </w:p>
    <w:p w:rsidR="0050393B" w:rsidRPr="00157F62" w:rsidRDefault="0050393B" w:rsidP="0050393B">
      <w:pPr>
        <w:jc w:val="both"/>
      </w:pPr>
    </w:p>
    <w:p w:rsidR="0050393B" w:rsidRDefault="0050393B" w:rsidP="0050393B">
      <w:pPr>
        <w:jc w:val="both"/>
      </w:pPr>
      <w:r>
        <w:t>El Ministerio de Salud Pública y Asistencia Social los rub</w:t>
      </w:r>
      <w:r w:rsidRPr="00B74EF9">
        <w:t xml:space="preserve">ros más significativos </w:t>
      </w:r>
      <w:r>
        <w:t>del</w:t>
      </w:r>
      <w:r w:rsidRPr="00B74EF9">
        <w:t xml:space="preserve"> presupuesto vigente son: </w:t>
      </w:r>
      <w:r>
        <w:t xml:space="preserve">productos medicinales y farmacéuticos </w:t>
      </w:r>
      <w:r w:rsidRPr="00B74EF9">
        <w:t>con Q.</w:t>
      </w:r>
      <w:r>
        <w:t xml:space="preserve">1,615.9 </w:t>
      </w:r>
      <w:r w:rsidRPr="00B74EF9">
        <w:t xml:space="preserve">millones; </w:t>
      </w:r>
      <w:r>
        <w:t xml:space="preserve">servicios médico-sanitarios </w:t>
      </w:r>
      <w:r w:rsidRPr="00B74EF9">
        <w:t>con Q.</w:t>
      </w:r>
      <w:r>
        <w:t>239.2 millones; ú</w:t>
      </w:r>
      <w:r w:rsidRPr="00D62BA8">
        <w:t xml:space="preserve">tiles </w:t>
      </w:r>
      <w:r>
        <w:t>m</w:t>
      </w:r>
      <w:r w:rsidRPr="00D62BA8">
        <w:t xml:space="preserve">enores, </w:t>
      </w:r>
      <w:r>
        <w:t>s</w:t>
      </w:r>
      <w:r w:rsidRPr="00D62BA8">
        <w:t xml:space="preserve">uministro e </w:t>
      </w:r>
      <w:r>
        <w:t>i</w:t>
      </w:r>
      <w:r w:rsidRPr="00D62BA8">
        <w:t xml:space="preserve">nstrumental </w:t>
      </w:r>
      <w:r>
        <w:t>m</w:t>
      </w:r>
      <w:r w:rsidRPr="00D62BA8">
        <w:t xml:space="preserve">édico - </w:t>
      </w:r>
      <w:r>
        <w:t>q</w:t>
      </w:r>
      <w:r w:rsidRPr="00D62BA8">
        <w:t xml:space="preserve">uirúrgicos de </w:t>
      </w:r>
      <w:r>
        <w:t>l</w:t>
      </w:r>
      <w:r w:rsidRPr="00D62BA8">
        <w:t xml:space="preserve">aboratorio y </w:t>
      </w:r>
      <w:r>
        <w:t>c</w:t>
      </w:r>
      <w:r w:rsidRPr="00D62BA8">
        <w:t xml:space="preserve">uidado de la </w:t>
      </w:r>
      <w:r>
        <w:t>s</w:t>
      </w:r>
      <w:r w:rsidRPr="00D62BA8">
        <w:t>alud</w:t>
      </w:r>
      <w:r>
        <w:t xml:space="preserve"> con Q.197.3</w:t>
      </w:r>
      <w:r w:rsidRPr="008A47BA">
        <w:t xml:space="preserve"> </w:t>
      </w:r>
      <w:r>
        <w:t xml:space="preserve">millones; </w:t>
      </w:r>
      <w:r w:rsidRPr="00B74EF9">
        <w:t>elementos</w:t>
      </w:r>
      <w:r>
        <w:t xml:space="preserve"> y compuestos químicos </w:t>
      </w:r>
      <w:r w:rsidRPr="00B74EF9">
        <w:t>con Q.</w:t>
      </w:r>
      <w:r>
        <w:t xml:space="preserve">156.1 </w:t>
      </w:r>
      <w:r w:rsidRPr="00B74EF9">
        <w:t xml:space="preserve">millones; </w:t>
      </w:r>
      <w:r>
        <w:t>otros estudios y/o servicios con Q.99.8 millones; m</w:t>
      </w:r>
      <w:r w:rsidRPr="000F5721">
        <w:t xml:space="preserve">obiliario y </w:t>
      </w:r>
      <w:r>
        <w:t>e</w:t>
      </w:r>
      <w:r w:rsidRPr="000F5721">
        <w:t xml:space="preserve">quipo </w:t>
      </w:r>
      <w:r>
        <w:t>m</w:t>
      </w:r>
      <w:r w:rsidRPr="000F5721">
        <w:t xml:space="preserve">édico - </w:t>
      </w:r>
      <w:r>
        <w:t>s</w:t>
      </w:r>
      <w:r w:rsidRPr="000F5721">
        <w:t xml:space="preserve">anitario y de </w:t>
      </w:r>
      <w:r>
        <w:t>l</w:t>
      </w:r>
      <w:r w:rsidRPr="000F5721">
        <w:t>aboratorio</w:t>
      </w:r>
      <w:r>
        <w:t xml:space="preserve"> con Q.86.4 millones y otros rubros con </w:t>
      </w:r>
      <w:r w:rsidRPr="00B74EF9">
        <w:t>Q.</w:t>
      </w:r>
      <w:r>
        <w:t>96.3</w:t>
      </w:r>
      <w:r w:rsidRPr="00B74EF9">
        <w:t xml:space="preserve"> millones.</w:t>
      </w:r>
    </w:p>
    <w:p w:rsidR="0050393B" w:rsidRDefault="0050393B" w:rsidP="0050393B">
      <w:pPr>
        <w:jc w:val="both"/>
      </w:pPr>
    </w:p>
    <w:p w:rsidR="0050393B" w:rsidRPr="00D62BA8" w:rsidRDefault="0050393B" w:rsidP="0050393B">
      <w:pPr>
        <w:jc w:val="both"/>
        <w:rPr>
          <w:bCs/>
        </w:rPr>
      </w:pPr>
      <w:r w:rsidRPr="00D62BA8">
        <w:t xml:space="preserve">El Ministerio de </w:t>
      </w:r>
      <w:r w:rsidRPr="00D62BA8">
        <w:rPr>
          <w:bCs/>
        </w:rPr>
        <w:t>Agricultura, Gan</w:t>
      </w:r>
      <w:r>
        <w:rPr>
          <w:bCs/>
        </w:rPr>
        <w:t>adería y Alimentación ejecutará a través del rubro alimento para personas ejecutará el monto de Q.148.3 millones y el Ministerio de Desarrollo Social tiene el monto de Q.102.2 millones en el rubro de Alimentos para personas.</w:t>
      </w:r>
    </w:p>
    <w:p w:rsidR="0050393B" w:rsidRDefault="0050393B"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6818E3" w:rsidRDefault="006818E3" w:rsidP="0050393B">
      <w:pPr>
        <w:jc w:val="both"/>
        <w:rPr>
          <w:lang w:val="es-GT"/>
        </w:rPr>
      </w:pPr>
    </w:p>
    <w:p w:rsidR="00A249D5" w:rsidRPr="00D84096" w:rsidRDefault="00A249D5" w:rsidP="00A249D5">
      <w:pPr>
        <w:jc w:val="center"/>
        <w:rPr>
          <w:b/>
          <w:szCs w:val="22"/>
          <w:lang w:val="es-MX"/>
        </w:rPr>
      </w:pPr>
      <w:r w:rsidRPr="00D84096">
        <w:rPr>
          <w:b/>
          <w:szCs w:val="22"/>
          <w:lang w:val="es-MX"/>
        </w:rPr>
        <w:lastRenderedPageBreak/>
        <w:t>Cuadro 1</w:t>
      </w:r>
      <w:r>
        <w:rPr>
          <w:b/>
          <w:szCs w:val="22"/>
          <w:lang w:val="es-MX"/>
        </w:rPr>
        <w:t>4</w:t>
      </w:r>
    </w:p>
    <w:p w:rsidR="0050393B" w:rsidRPr="00D84096" w:rsidRDefault="0050393B" w:rsidP="0050393B">
      <w:pPr>
        <w:jc w:val="center"/>
        <w:rPr>
          <w:b/>
          <w:szCs w:val="22"/>
          <w:lang w:val="es-MX"/>
        </w:rPr>
      </w:pPr>
      <w:r w:rsidRPr="00D84096">
        <w:rPr>
          <w:b/>
          <w:szCs w:val="22"/>
          <w:lang w:val="es-MX"/>
        </w:rPr>
        <w:t>Programa de Emergencia C</w:t>
      </w:r>
      <w:r w:rsidR="00DB3B6D">
        <w:rPr>
          <w:b/>
          <w:szCs w:val="22"/>
          <w:lang w:val="es-MX"/>
        </w:rPr>
        <w:t>OVID</w:t>
      </w:r>
      <w:r w:rsidRPr="00D84096">
        <w:rPr>
          <w:b/>
          <w:szCs w:val="22"/>
          <w:lang w:val="es-MX"/>
        </w:rPr>
        <w:t>-19</w:t>
      </w:r>
      <w:r>
        <w:rPr>
          <w:b/>
          <w:szCs w:val="22"/>
          <w:lang w:val="es-MX"/>
        </w:rPr>
        <w:t xml:space="preserve"> por Rubro</w:t>
      </w:r>
    </w:p>
    <w:p w:rsidR="0050393B" w:rsidRPr="00D84096" w:rsidRDefault="0050393B" w:rsidP="0050393B">
      <w:pPr>
        <w:jc w:val="center"/>
        <w:rPr>
          <w:b/>
          <w:szCs w:val="22"/>
          <w:lang w:val="es-MX"/>
        </w:rPr>
      </w:pPr>
      <w:r w:rsidRPr="00D84096">
        <w:rPr>
          <w:b/>
          <w:szCs w:val="22"/>
          <w:lang w:val="es-MX"/>
        </w:rPr>
        <w:t>Al 30 de junio de 202</w:t>
      </w:r>
      <w:r>
        <w:rPr>
          <w:b/>
          <w:szCs w:val="22"/>
          <w:lang w:val="es-MX"/>
        </w:rPr>
        <w:t>1</w:t>
      </w:r>
      <w:r w:rsidRPr="00D84096">
        <w:rPr>
          <w:b/>
          <w:szCs w:val="22"/>
          <w:lang w:val="es-MX"/>
        </w:rPr>
        <w:t>*</w:t>
      </w:r>
    </w:p>
    <w:p w:rsidR="0050393B" w:rsidRDefault="0050393B" w:rsidP="0050393B">
      <w:pPr>
        <w:jc w:val="center"/>
        <w:rPr>
          <w:b/>
          <w:bCs/>
          <w:lang w:val="es-GT"/>
        </w:rPr>
      </w:pPr>
      <w:r w:rsidRPr="00D84096">
        <w:rPr>
          <w:b/>
          <w:szCs w:val="22"/>
          <w:lang w:val="es-MX"/>
        </w:rPr>
        <w:t>(Cifras en Millones de Quetzales)</w:t>
      </w:r>
    </w:p>
    <w:tbl>
      <w:tblPr>
        <w:tblW w:w="9284" w:type="dxa"/>
        <w:tblCellMar>
          <w:left w:w="70" w:type="dxa"/>
          <w:right w:w="70" w:type="dxa"/>
        </w:tblCellMar>
        <w:tblLook w:val="04A0" w:firstRow="1" w:lastRow="0" w:firstColumn="1" w:lastColumn="0" w:noHBand="0" w:noVBand="1"/>
      </w:tblPr>
      <w:tblGrid>
        <w:gridCol w:w="5360"/>
        <w:gridCol w:w="1514"/>
        <w:gridCol w:w="1134"/>
        <w:gridCol w:w="1276"/>
      </w:tblGrid>
      <w:tr w:rsidR="0050393B" w:rsidRPr="006E6EA3" w:rsidTr="00DB3B6D">
        <w:trPr>
          <w:trHeight w:val="520"/>
        </w:trPr>
        <w:tc>
          <w:tcPr>
            <w:tcW w:w="5360" w:type="dxa"/>
            <w:tcBorders>
              <w:top w:val="single" w:sz="8" w:space="0" w:color="auto"/>
              <w:left w:val="single" w:sz="8" w:space="0" w:color="auto"/>
              <w:bottom w:val="single" w:sz="4" w:space="0" w:color="auto"/>
              <w:right w:val="nil"/>
            </w:tcBorders>
            <w:shd w:val="clear" w:color="000000" w:fill="95B3D7"/>
            <w:noWrap/>
            <w:vAlign w:val="center"/>
            <w:hideMark/>
          </w:tcPr>
          <w:p w:rsidR="0050393B" w:rsidRPr="006818E3" w:rsidRDefault="0050393B" w:rsidP="00DB3B6D">
            <w:pPr>
              <w:jc w:val="center"/>
              <w:rPr>
                <w:b/>
                <w:bCs/>
                <w:color w:val="000000"/>
                <w:sz w:val="22"/>
                <w:szCs w:val="22"/>
                <w:lang w:val="es-GT" w:eastAsia="es-GT"/>
              </w:rPr>
            </w:pPr>
            <w:r w:rsidRPr="006818E3">
              <w:rPr>
                <w:b/>
                <w:bCs/>
                <w:color w:val="000000"/>
                <w:sz w:val="22"/>
                <w:szCs w:val="22"/>
                <w:lang w:val="es-GT" w:eastAsia="es-GT"/>
              </w:rPr>
              <w:t>Actividad</w:t>
            </w:r>
          </w:p>
        </w:tc>
        <w:tc>
          <w:tcPr>
            <w:tcW w:w="1514" w:type="dxa"/>
            <w:tcBorders>
              <w:top w:val="single" w:sz="8" w:space="0" w:color="auto"/>
              <w:left w:val="single" w:sz="4" w:space="0" w:color="auto"/>
              <w:bottom w:val="single" w:sz="4" w:space="0" w:color="auto"/>
              <w:right w:val="single" w:sz="4" w:space="0" w:color="auto"/>
            </w:tcBorders>
            <w:shd w:val="clear" w:color="000000" w:fill="95B3D7"/>
            <w:vAlign w:val="center"/>
            <w:hideMark/>
          </w:tcPr>
          <w:p w:rsidR="0050393B" w:rsidRPr="006818E3" w:rsidRDefault="0050393B" w:rsidP="0050393B">
            <w:pPr>
              <w:jc w:val="center"/>
              <w:rPr>
                <w:b/>
                <w:bCs/>
                <w:color w:val="000000"/>
                <w:sz w:val="22"/>
                <w:szCs w:val="22"/>
                <w:lang w:val="es-GT" w:eastAsia="es-GT"/>
              </w:rPr>
            </w:pPr>
            <w:r w:rsidRPr="006818E3">
              <w:rPr>
                <w:b/>
                <w:bCs/>
                <w:color w:val="000000"/>
                <w:sz w:val="22"/>
                <w:szCs w:val="22"/>
                <w:lang w:val="es-GT" w:eastAsia="es-GT"/>
              </w:rPr>
              <w:t>Presupuesto Vigente</w:t>
            </w:r>
          </w:p>
        </w:tc>
        <w:tc>
          <w:tcPr>
            <w:tcW w:w="1134" w:type="dxa"/>
            <w:tcBorders>
              <w:top w:val="single" w:sz="8" w:space="0" w:color="auto"/>
              <w:left w:val="nil"/>
              <w:bottom w:val="single" w:sz="4" w:space="0" w:color="auto"/>
              <w:right w:val="single" w:sz="4" w:space="0" w:color="auto"/>
            </w:tcBorders>
            <w:shd w:val="clear" w:color="000000" w:fill="95B3D7"/>
            <w:noWrap/>
            <w:vAlign w:val="center"/>
            <w:hideMark/>
          </w:tcPr>
          <w:p w:rsidR="0050393B" w:rsidRPr="006818E3" w:rsidRDefault="0050393B" w:rsidP="0050393B">
            <w:pPr>
              <w:jc w:val="center"/>
              <w:rPr>
                <w:b/>
                <w:bCs/>
                <w:color w:val="000000"/>
                <w:sz w:val="22"/>
                <w:szCs w:val="22"/>
                <w:lang w:val="es-GT" w:eastAsia="es-GT"/>
              </w:rPr>
            </w:pPr>
            <w:r w:rsidRPr="006818E3">
              <w:rPr>
                <w:b/>
                <w:bCs/>
                <w:color w:val="000000"/>
                <w:sz w:val="22"/>
                <w:szCs w:val="22"/>
                <w:lang w:val="es-GT" w:eastAsia="es-GT"/>
              </w:rPr>
              <w:t>Ejecutado</w:t>
            </w:r>
          </w:p>
        </w:tc>
        <w:tc>
          <w:tcPr>
            <w:tcW w:w="1276" w:type="dxa"/>
            <w:tcBorders>
              <w:top w:val="single" w:sz="8" w:space="0" w:color="auto"/>
              <w:left w:val="nil"/>
              <w:bottom w:val="single" w:sz="4" w:space="0" w:color="auto"/>
              <w:right w:val="single" w:sz="8" w:space="0" w:color="auto"/>
            </w:tcBorders>
            <w:shd w:val="clear" w:color="000000" w:fill="95B3D7"/>
            <w:vAlign w:val="center"/>
            <w:hideMark/>
          </w:tcPr>
          <w:p w:rsidR="0050393B" w:rsidRPr="006818E3" w:rsidRDefault="0050393B" w:rsidP="006818E3">
            <w:pPr>
              <w:jc w:val="center"/>
              <w:rPr>
                <w:b/>
                <w:bCs/>
                <w:color w:val="000000"/>
                <w:sz w:val="22"/>
                <w:szCs w:val="22"/>
                <w:lang w:val="es-GT" w:eastAsia="es-GT"/>
              </w:rPr>
            </w:pPr>
            <w:r w:rsidRPr="006818E3">
              <w:rPr>
                <w:b/>
                <w:bCs/>
                <w:color w:val="000000"/>
                <w:sz w:val="22"/>
                <w:szCs w:val="22"/>
                <w:lang w:val="es-GT" w:eastAsia="es-GT"/>
              </w:rPr>
              <w:t xml:space="preserve">% </w:t>
            </w:r>
            <w:r w:rsidR="006818E3">
              <w:rPr>
                <w:b/>
                <w:bCs/>
                <w:color w:val="000000"/>
                <w:sz w:val="22"/>
                <w:szCs w:val="22"/>
                <w:lang w:val="es-GT" w:eastAsia="es-GT"/>
              </w:rPr>
              <w:t xml:space="preserve">de </w:t>
            </w:r>
            <w:r w:rsidRPr="006818E3">
              <w:rPr>
                <w:b/>
                <w:bCs/>
                <w:color w:val="000000"/>
                <w:sz w:val="22"/>
                <w:szCs w:val="22"/>
                <w:lang w:val="es-GT" w:eastAsia="es-GT"/>
              </w:rPr>
              <w:t>Ejecución</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jc w:val="center"/>
              <w:rPr>
                <w:b/>
                <w:bCs/>
                <w:color w:val="000000"/>
                <w:sz w:val="22"/>
                <w:szCs w:val="22"/>
                <w:lang w:val="es-GT" w:eastAsia="es-GT"/>
              </w:rPr>
            </w:pPr>
            <w:r w:rsidRPr="006818E3">
              <w:rPr>
                <w:b/>
                <w:bCs/>
                <w:color w:val="000000"/>
                <w:sz w:val="22"/>
                <w:szCs w:val="22"/>
                <w:lang w:val="es-GT" w:eastAsia="es-GT"/>
              </w:rPr>
              <w:t>Total</w:t>
            </w:r>
          </w:p>
        </w:tc>
        <w:tc>
          <w:tcPr>
            <w:tcW w:w="1514" w:type="dxa"/>
            <w:tcBorders>
              <w:top w:val="nil"/>
              <w:left w:val="single" w:sz="4" w:space="0" w:color="auto"/>
              <w:bottom w:val="nil"/>
              <w:right w:val="single" w:sz="4" w:space="0" w:color="auto"/>
            </w:tcBorders>
            <w:shd w:val="clear" w:color="auto" w:fill="auto"/>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2,742.7</w:t>
            </w:r>
          </w:p>
        </w:tc>
        <w:tc>
          <w:tcPr>
            <w:tcW w:w="1134" w:type="dxa"/>
            <w:tcBorders>
              <w:top w:val="nil"/>
              <w:left w:val="nil"/>
              <w:bottom w:val="nil"/>
              <w:right w:val="single" w:sz="4" w:space="0" w:color="auto"/>
            </w:tcBorders>
            <w:shd w:val="clear" w:color="auto" w:fill="auto"/>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1,218.5</w:t>
            </w:r>
          </w:p>
        </w:tc>
        <w:tc>
          <w:tcPr>
            <w:tcW w:w="1276" w:type="dxa"/>
            <w:tcBorders>
              <w:top w:val="nil"/>
              <w:left w:val="nil"/>
              <w:bottom w:val="nil"/>
              <w:right w:val="single" w:sz="8" w:space="0" w:color="auto"/>
            </w:tcBorders>
            <w:shd w:val="clear" w:color="auto" w:fill="auto"/>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44.4%</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b/>
                <w:bCs/>
                <w:color w:val="000000"/>
                <w:sz w:val="22"/>
                <w:szCs w:val="22"/>
                <w:lang w:val="es-GT" w:eastAsia="es-GT"/>
              </w:rPr>
            </w:pPr>
            <w:r w:rsidRPr="006818E3">
              <w:rPr>
                <w:b/>
                <w:bCs/>
                <w:color w:val="000000"/>
                <w:sz w:val="22"/>
                <w:szCs w:val="22"/>
                <w:lang w:val="es-GT" w:eastAsia="es-GT"/>
              </w:rPr>
              <w:t>Ministerio de Salud Pública y Asistencia Social</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2,491.0</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1,039.2</w:t>
            </w:r>
          </w:p>
        </w:tc>
        <w:tc>
          <w:tcPr>
            <w:tcW w:w="1276" w:type="dxa"/>
            <w:tcBorders>
              <w:top w:val="nil"/>
              <w:left w:val="nil"/>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41.7%</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Servicios Medico - Sanitarios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239.2</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183.6</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76.8%</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Otros Estudios y/</w:t>
            </w:r>
            <w:r w:rsidR="006818E3">
              <w:rPr>
                <w:color w:val="000000"/>
                <w:sz w:val="22"/>
                <w:szCs w:val="22"/>
                <w:lang w:val="es-GT" w:eastAsia="es-GT"/>
              </w:rPr>
              <w:t xml:space="preserve">o </w:t>
            </w:r>
            <w:r w:rsidRPr="006818E3">
              <w:rPr>
                <w:color w:val="000000"/>
                <w:sz w:val="22"/>
                <w:szCs w:val="22"/>
                <w:lang w:val="es-GT" w:eastAsia="es-GT"/>
              </w:rPr>
              <w:t>Servicios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99.8</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82.4</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82.6%</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Elementos y Compuestos Químicos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156.1</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37.5</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24.0%</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Productos Medicinales y Farmacéuticos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1,615.9</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646.7</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40.0%</w:t>
            </w:r>
          </w:p>
        </w:tc>
      </w:tr>
      <w:tr w:rsidR="0050393B" w:rsidRPr="006E6EA3" w:rsidTr="00DB3B6D">
        <w:trPr>
          <w:trHeight w:val="520"/>
        </w:trPr>
        <w:tc>
          <w:tcPr>
            <w:tcW w:w="5360" w:type="dxa"/>
            <w:tcBorders>
              <w:top w:val="nil"/>
              <w:left w:val="single" w:sz="8" w:space="0" w:color="auto"/>
              <w:bottom w:val="nil"/>
              <w:right w:val="nil"/>
            </w:tcBorders>
            <w:shd w:val="clear" w:color="auto" w:fill="auto"/>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Útiles Menores, Suministro</w:t>
            </w:r>
            <w:r w:rsidR="006818E3">
              <w:rPr>
                <w:color w:val="000000"/>
                <w:sz w:val="22"/>
                <w:szCs w:val="22"/>
                <w:lang w:val="es-GT" w:eastAsia="es-GT"/>
              </w:rPr>
              <w:t>s</w:t>
            </w:r>
            <w:r w:rsidRPr="006818E3">
              <w:rPr>
                <w:color w:val="000000"/>
                <w:sz w:val="22"/>
                <w:szCs w:val="22"/>
                <w:lang w:val="es-GT" w:eastAsia="es-GT"/>
              </w:rPr>
              <w:t xml:space="preserve"> e Instrumental Médico - Quirúrgicos de Laboratorio y Cuidado de la Salud</w:t>
            </w:r>
          </w:p>
        </w:tc>
        <w:tc>
          <w:tcPr>
            <w:tcW w:w="1514" w:type="dxa"/>
            <w:tcBorders>
              <w:top w:val="nil"/>
              <w:left w:val="single" w:sz="4" w:space="0" w:color="auto"/>
              <w:bottom w:val="nil"/>
              <w:right w:val="single" w:sz="4" w:space="0" w:color="auto"/>
            </w:tcBorders>
            <w:shd w:val="clear" w:color="auto" w:fill="auto"/>
            <w:noWrap/>
            <w:hideMark/>
          </w:tcPr>
          <w:p w:rsidR="006818E3" w:rsidRDefault="006818E3" w:rsidP="0050393B">
            <w:pPr>
              <w:jc w:val="right"/>
              <w:rPr>
                <w:color w:val="000000"/>
                <w:sz w:val="22"/>
                <w:szCs w:val="22"/>
                <w:lang w:val="es-GT" w:eastAsia="es-GT"/>
              </w:rPr>
            </w:pPr>
          </w:p>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197.3</w:t>
            </w:r>
          </w:p>
        </w:tc>
        <w:tc>
          <w:tcPr>
            <w:tcW w:w="1134" w:type="dxa"/>
            <w:tcBorders>
              <w:top w:val="nil"/>
              <w:left w:val="nil"/>
              <w:bottom w:val="nil"/>
              <w:right w:val="single" w:sz="4" w:space="0" w:color="auto"/>
            </w:tcBorders>
            <w:shd w:val="clear" w:color="auto" w:fill="auto"/>
            <w:noWrap/>
            <w:hideMark/>
          </w:tcPr>
          <w:p w:rsidR="006818E3" w:rsidRDefault="006818E3" w:rsidP="0050393B">
            <w:pPr>
              <w:jc w:val="right"/>
              <w:rPr>
                <w:color w:val="000000"/>
                <w:sz w:val="22"/>
                <w:szCs w:val="22"/>
                <w:lang w:val="es-GT" w:eastAsia="es-GT"/>
              </w:rPr>
            </w:pPr>
          </w:p>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65.3</w:t>
            </w:r>
          </w:p>
        </w:tc>
        <w:tc>
          <w:tcPr>
            <w:tcW w:w="1276" w:type="dxa"/>
            <w:tcBorders>
              <w:top w:val="nil"/>
              <w:left w:val="nil"/>
              <w:bottom w:val="nil"/>
              <w:right w:val="single" w:sz="8" w:space="0" w:color="auto"/>
            </w:tcBorders>
            <w:shd w:val="clear" w:color="auto" w:fill="auto"/>
            <w:noWrap/>
            <w:hideMark/>
          </w:tcPr>
          <w:p w:rsidR="006818E3" w:rsidRDefault="006818E3" w:rsidP="0050393B">
            <w:pPr>
              <w:jc w:val="right"/>
              <w:rPr>
                <w:color w:val="000000"/>
                <w:sz w:val="22"/>
                <w:szCs w:val="22"/>
                <w:lang w:val="es-GT" w:eastAsia="es-GT"/>
              </w:rPr>
            </w:pPr>
          </w:p>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33.1%</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Mobiliario y Equipo Médico - Sanitario y de Laboratorio</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86.4</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5.3</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6.2%</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Otros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96.3</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18.5</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19.2%</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b/>
                <w:bCs/>
                <w:color w:val="000000"/>
                <w:sz w:val="22"/>
                <w:szCs w:val="22"/>
                <w:lang w:val="es-GT" w:eastAsia="es-GT"/>
              </w:rPr>
            </w:pPr>
            <w:r w:rsidRPr="006818E3">
              <w:rPr>
                <w:b/>
                <w:bCs/>
                <w:color w:val="000000"/>
                <w:sz w:val="22"/>
                <w:szCs w:val="22"/>
                <w:lang w:val="es-GT" w:eastAsia="es-GT"/>
              </w:rPr>
              <w:t>Ministerio de Agricultura</w:t>
            </w:r>
            <w:r w:rsidR="00DB3B6D" w:rsidRPr="006818E3">
              <w:rPr>
                <w:b/>
                <w:bCs/>
                <w:color w:val="000000"/>
                <w:sz w:val="22"/>
                <w:szCs w:val="22"/>
                <w:lang w:val="es-GT" w:eastAsia="es-GT"/>
              </w:rPr>
              <w:t>, Ganadería y Alimentación</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148.3</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76.4</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51.5%</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DB3B6D">
            <w:pPr>
              <w:rPr>
                <w:color w:val="000000"/>
                <w:sz w:val="22"/>
                <w:szCs w:val="22"/>
                <w:lang w:val="es-GT" w:eastAsia="es-GT"/>
              </w:rPr>
            </w:pPr>
            <w:r w:rsidRPr="006818E3">
              <w:rPr>
                <w:color w:val="000000"/>
                <w:sz w:val="22"/>
                <w:szCs w:val="22"/>
                <w:lang w:val="es-GT" w:eastAsia="es-GT"/>
              </w:rPr>
              <w:t>Alimento</w:t>
            </w:r>
            <w:r w:rsidR="006818E3">
              <w:rPr>
                <w:color w:val="000000"/>
                <w:sz w:val="22"/>
                <w:szCs w:val="22"/>
                <w:lang w:val="es-GT" w:eastAsia="es-GT"/>
              </w:rPr>
              <w:t>s</w:t>
            </w:r>
            <w:r w:rsidRPr="006818E3">
              <w:rPr>
                <w:color w:val="000000"/>
                <w:sz w:val="22"/>
                <w:szCs w:val="22"/>
                <w:lang w:val="es-GT" w:eastAsia="es-GT"/>
              </w:rPr>
              <w:t xml:space="preserve"> para </w:t>
            </w:r>
            <w:r w:rsidR="00DB3B6D" w:rsidRPr="006818E3">
              <w:rPr>
                <w:color w:val="000000"/>
                <w:sz w:val="22"/>
                <w:szCs w:val="22"/>
                <w:lang w:val="es-GT" w:eastAsia="es-GT"/>
              </w:rPr>
              <w:t>P</w:t>
            </w:r>
            <w:r w:rsidRPr="006818E3">
              <w:rPr>
                <w:color w:val="000000"/>
                <w:sz w:val="22"/>
                <w:szCs w:val="22"/>
                <w:lang w:val="es-GT" w:eastAsia="es-GT"/>
              </w:rPr>
              <w:t>ersonas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148.3</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76.4</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51.5%</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50393B">
            <w:pPr>
              <w:rPr>
                <w:b/>
                <w:bCs/>
                <w:color w:val="000000"/>
                <w:sz w:val="22"/>
                <w:szCs w:val="22"/>
                <w:lang w:val="es-GT" w:eastAsia="es-GT"/>
              </w:rPr>
            </w:pPr>
            <w:r w:rsidRPr="006818E3">
              <w:rPr>
                <w:b/>
                <w:bCs/>
                <w:color w:val="000000"/>
                <w:sz w:val="22"/>
                <w:szCs w:val="22"/>
                <w:lang w:val="es-GT" w:eastAsia="es-GT"/>
              </w:rPr>
              <w:t>Ministerio de Desarrollo Social</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103.4</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102.9</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b/>
                <w:bCs/>
                <w:color w:val="000000"/>
                <w:sz w:val="22"/>
                <w:szCs w:val="22"/>
                <w:lang w:val="es-GT" w:eastAsia="es-GT"/>
              </w:rPr>
            </w:pPr>
            <w:r w:rsidRPr="006818E3">
              <w:rPr>
                <w:b/>
                <w:bCs/>
                <w:color w:val="000000"/>
                <w:sz w:val="22"/>
                <w:szCs w:val="22"/>
                <w:lang w:val="es-GT" w:eastAsia="es-GT"/>
              </w:rPr>
              <w:t>99.5%</w:t>
            </w:r>
          </w:p>
        </w:tc>
      </w:tr>
      <w:tr w:rsidR="0050393B" w:rsidRPr="006E6EA3" w:rsidTr="00DB3B6D">
        <w:trPr>
          <w:trHeight w:val="260"/>
        </w:trPr>
        <w:tc>
          <w:tcPr>
            <w:tcW w:w="5360" w:type="dxa"/>
            <w:tcBorders>
              <w:top w:val="nil"/>
              <w:left w:val="single" w:sz="8" w:space="0" w:color="auto"/>
              <w:bottom w:val="nil"/>
              <w:right w:val="nil"/>
            </w:tcBorders>
            <w:shd w:val="clear" w:color="auto" w:fill="auto"/>
            <w:noWrap/>
            <w:hideMark/>
          </w:tcPr>
          <w:p w:rsidR="0050393B" w:rsidRPr="006818E3" w:rsidRDefault="0050393B" w:rsidP="003E47E0">
            <w:pPr>
              <w:rPr>
                <w:color w:val="000000"/>
                <w:sz w:val="22"/>
                <w:szCs w:val="22"/>
                <w:lang w:val="es-GT" w:eastAsia="es-GT"/>
              </w:rPr>
            </w:pPr>
            <w:r w:rsidRPr="006818E3">
              <w:rPr>
                <w:color w:val="000000"/>
                <w:sz w:val="22"/>
                <w:szCs w:val="22"/>
                <w:lang w:val="es-GT" w:eastAsia="es-GT"/>
              </w:rPr>
              <w:t>Alimentos para</w:t>
            </w:r>
            <w:r w:rsidR="003E47E0" w:rsidRPr="006818E3">
              <w:rPr>
                <w:color w:val="000000"/>
                <w:sz w:val="22"/>
                <w:szCs w:val="22"/>
                <w:lang w:val="es-GT" w:eastAsia="es-GT"/>
              </w:rPr>
              <w:t xml:space="preserve"> </w:t>
            </w:r>
            <w:r w:rsidR="00DB3B6D" w:rsidRPr="006818E3">
              <w:rPr>
                <w:color w:val="000000"/>
                <w:sz w:val="22"/>
                <w:szCs w:val="22"/>
                <w:lang w:val="es-GT" w:eastAsia="es-GT"/>
              </w:rPr>
              <w:t>P</w:t>
            </w:r>
            <w:r w:rsidRPr="006818E3">
              <w:rPr>
                <w:color w:val="000000"/>
                <w:sz w:val="22"/>
                <w:szCs w:val="22"/>
                <w:lang w:val="es-GT" w:eastAsia="es-GT"/>
              </w:rPr>
              <w:t>ersonas</w:t>
            </w:r>
          </w:p>
        </w:tc>
        <w:tc>
          <w:tcPr>
            <w:tcW w:w="1514" w:type="dxa"/>
            <w:tcBorders>
              <w:top w:val="nil"/>
              <w:left w:val="single" w:sz="4" w:space="0" w:color="auto"/>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102.2</w:t>
            </w:r>
          </w:p>
        </w:tc>
        <w:tc>
          <w:tcPr>
            <w:tcW w:w="1134" w:type="dxa"/>
            <w:tcBorders>
              <w:top w:val="nil"/>
              <w:left w:val="nil"/>
              <w:bottom w:val="nil"/>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102.2</w:t>
            </w:r>
          </w:p>
        </w:tc>
        <w:tc>
          <w:tcPr>
            <w:tcW w:w="1276" w:type="dxa"/>
            <w:tcBorders>
              <w:top w:val="nil"/>
              <w:left w:val="nil"/>
              <w:bottom w:val="nil"/>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100.0%</w:t>
            </w:r>
          </w:p>
        </w:tc>
      </w:tr>
      <w:tr w:rsidR="0050393B" w:rsidRPr="006E6EA3" w:rsidTr="00DB3B6D">
        <w:trPr>
          <w:trHeight w:val="270"/>
        </w:trPr>
        <w:tc>
          <w:tcPr>
            <w:tcW w:w="5360" w:type="dxa"/>
            <w:tcBorders>
              <w:top w:val="nil"/>
              <w:left w:val="single" w:sz="8" w:space="0" w:color="auto"/>
              <w:bottom w:val="single" w:sz="8" w:space="0" w:color="auto"/>
              <w:right w:val="nil"/>
            </w:tcBorders>
            <w:shd w:val="clear" w:color="auto" w:fill="auto"/>
            <w:noWrap/>
            <w:hideMark/>
          </w:tcPr>
          <w:p w:rsidR="0050393B" w:rsidRPr="006818E3" w:rsidRDefault="0050393B" w:rsidP="0050393B">
            <w:pPr>
              <w:rPr>
                <w:color w:val="000000"/>
                <w:sz w:val="22"/>
                <w:szCs w:val="22"/>
                <w:lang w:val="es-GT" w:eastAsia="es-GT"/>
              </w:rPr>
            </w:pPr>
            <w:r w:rsidRPr="006818E3">
              <w:rPr>
                <w:color w:val="000000"/>
                <w:sz w:val="22"/>
                <w:szCs w:val="22"/>
                <w:lang w:val="es-GT" w:eastAsia="es-GT"/>
              </w:rPr>
              <w:t>Otros</w:t>
            </w:r>
          </w:p>
        </w:tc>
        <w:tc>
          <w:tcPr>
            <w:tcW w:w="1514" w:type="dxa"/>
            <w:tcBorders>
              <w:top w:val="nil"/>
              <w:left w:val="single" w:sz="4" w:space="0" w:color="auto"/>
              <w:bottom w:val="single" w:sz="8" w:space="0" w:color="auto"/>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1.2</w:t>
            </w:r>
          </w:p>
        </w:tc>
        <w:tc>
          <w:tcPr>
            <w:tcW w:w="1134" w:type="dxa"/>
            <w:tcBorders>
              <w:top w:val="nil"/>
              <w:left w:val="nil"/>
              <w:bottom w:val="single" w:sz="8" w:space="0" w:color="auto"/>
              <w:right w:val="single" w:sz="4"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0.7</w:t>
            </w:r>
          </w:p>
        </w:tc>
        <w:tc>
          <w:tcPr>
            <w:tcW w:w="1276" w:type="dxa"/>
            <w:tcBorders>
              <w:top w:val="nil"/>
              <w:left w:val="nil"/>
              <w:bottom w:val="single" w:sz="8" w:space="0" w:color="auto"/>
              <w:right w:val="single" w:sz="8" w:space="0" w:color="auto"/>
            </w:tcBorders>
            <w:shd w:val="clear" w:color="auto" w:fill="auto"/>
            <w:noWrap/>
            <w:hideMark/>
          </w:tcPr>
          <w:p w:rsidR="0050393B" w:rsidRPr="006818E3" w:rsidRDefault="0050393B" w:rsidP="0050393B">
            <w:pPr>
              <w:jc w:val="right"/>
              <w:rPr>
                <w:color w:val="000000"/>
                <w:sz w:val="22"/>
                <w:szCs w:val="22"/>
                <w:lang w:val="es-GT" w:eastAsia="es-GT"/>
              </w:rPr>
            </w:pPr>
            <w:r w:rsidRPr="006818E3">
              <w:rPr>
                <w:color w:val="000000"/>
                <w:sz w:val="22"/>
                <w:szCs w:val="22"/>
                <w:lang w:val="es-GT" w:eastAsia="es-GT"/>
              </w:rPr>
              <w:t>58.3%</w:t>
            </w:r>
          </w:p>
        </w:tc>
      </w:tr>
    </w:tbl>
    <w:p w:rsidR="00DB3B6D" w:rsidRDefault="00DB3B6D" w:rsidP="00DB3B6D">
      <w:pPr>
        <w:jc w:val="both"/>
        <w:rPr>
          <w:sz w:val="18"/>
          <w:lang w:val="es-MX"/>
        </w:rPr>
      </w:pPr>
      <w:r w:rsidRPr="00CF5481">
        <w:rPr>
          <w:sz w:val="18"/>
          <w:lang w:val="es-MX"/>
        </w:rPr>
        <w:t>* Cifras preliminares.</w:t>
      </w:r>
    </w:p>
    <w:p w:rsidR="00DB3B6D" w:rsidRPr="00CF5481" w:rsidRDefault="00DB3B6D" w:rsidP="00DB3B6D">
      <w:pPr>
        <w:jc w:val="both"/>
        <w:rPr>
          <w:sz w:val="18"/>
          <w:lang w:val="es-MX"/>
        </w:rPr>
      </w:pPr>
      <w:r>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SICOIN.</w:t>
      </w:r>
    </w:p>
    <w:p w:rsidR="0050393B" w:rsidRPr="00DB3B6D" w:rsidRDefault="0050393B" w:rsidP="0050393B">
      <w:pPr>
        <w:jc w:val="both"/>
        <w:rPr>
          <w:b/>
          <w:bCs/>
          <w:lang w:val="es-MX"/>
        </w:rPr>
      </w:pPr>
    </w:p>
    <w:p w:rsidR="0050393B" w:rsidRPr="00157F62" w:rsidRDefault="0050393B" w:rsidP="0050393B">
      <w:pPr>
        <w:jc w:val="both"/>
        <w:rPr>
          <w:b/>
          <w:bCs/>
          <w:lang w:val="es-GT"/>
        </w:rPr>
      </w:pPr>
    </w:p>
    <w:p w:rsidR="0050393B" w:rsidRDefault="0050393B" w:rsidP="0050393B">
      <w:pPr>
        <w:jc w:val="both"/>
        <w:rPr>
          <w:b/>
          <w:szCs w:val="22"/>
          <w:lang w:val="es-MX"/>
        </w:rPr>
      </w:pPr>
      <w:r w:rsidRPr="00450674">
        <w:rPr>
          <w:szCs w:val="22"/>
        </w:rPr>
        <w:t xml:space="preserve">Del monto vigente del </w:t>
      </w:r>
      <w:r>
        <w:rPr>
          <w:szCs w:val="22"/>
        </w:rPr>
        <w:t>P</w:t>
      </w:r>
      <w:r w:rsidRPr="00450674">
        <w:rPr>
          <w:szCs w:val="22"/>
        </w:rPr>
        <w:t>rograma C</w:t>
      </w:r>
      <w:r w:rsidR="00DB3B6D">
        <w:rPr>
          <w:szCs w:val="22"/>
        </w:rPr>
        <w:t>OVID</w:t>
      </w:r>
      <w:r w:rsidRPr="00450674">
        <w:rPr>
          <w:szCs w:val="22"/>
        </w:rPr>
        <w:t>-19 po</w:t>
      </w:r>
      <w:r>
        <w:rPr>
          <w:szCs w:val="22"/>
        </w:rPr>
        <w:t>r</w:t>
      </w:r>
      <w:r w:rsidRPr="00450674">
        <w:rPr>
          <w:szCs w:val="22"/>
        </w:rPr>
        <w:t xml:space="preserve"> un monto de Q.</w:t>
      </w:r>
      <w:r>
        <w:rPr>
          <w:szCs w:val="22"/>
        </w:rPr>
        <w:t>2,742.5</w:t>
      </w:r>
      <w:r w:rsidRPr="00450674">
        <w:rPr>
          <w:szCs w:val="22"/>
        </w:rPr>
        <w:t xml:space="preserve"> millones, el </w:t>
      </w:r>
      <w:r>
        <w:rPr>
          <w:szCs w:val="22"/>
        </w:rPr>
        <w:t>45.2</w:t>
      </w:r>
      <w:r w:rsidRPr="00450674">
        <w:rPr>
          <w:szCs w:val="22"/>
        </w:rPr>
        <w:t xml:space="preserve">% </w:t>
      </w:r>
      <w:r>
        <w:rPr>
          <w:szCs w:val="22"/>
        </w:rPr>
        <w:t>será financiado por la</w:t>
      </w:r>
      <w:r w:rsidRPr="00450674">
        <w:rPr>
          <w:szCs w:val="22"/>
        </w:rPr>
        <w:t xml:space="preserve"> </w:t>
      </w:r>
      <w:r>
        <w:rPr>
          <w:szCs w:val="22"/>
        </w:rPr>
        <w:t xml:space="preserve">disminución de caja y bancos de colocaciones internas; el 27.6% financiado por ingresos corrientes; el 13.6% financiado por colocaciones internas; el 13.5% será financiado por préstamos externos y el 0.1% financiado </w:t>
      </w:r>
      <w:r w:rsidR="00DB3B6D">
        <w:rPr>
          <w:szCs w:val="22"/>
        </w:rPr>
        <w:t xml:space="preserve">con </w:t>
      </w:r>
      <w:r>
        <w:rPr>
          <w:szCs w:val="22"/>
        </w:rPr>
        <w:t>o</w:t>
      </w:r>
      <w:r w:rsidR="00E96F3B" w:rsidRPr="00285118">
        <w:rPr>
          <w:color w:val="000000"/>
          <w:sz w:val="22"/>
          <w:szCs w:val="22"/>
          <w:lang w:val="es-GT" w:eastAsia="es-GT"/>
        </w:rPr>
        <w:t>o</w:t>
      </w:r>
      <w:r w:rsidR="00E96F3B">
        <w:rPr>
          <w:color w:val="000000"/>
          <w:sz w:val="22"/>
          <w:szCs w:val="22"/>
          <w:lang w:val="es-GT" w:eastAsia="es-GT"/>
        </w:rPr>
        <w:t>tros</w:t>
      </w:r>
      <w:r w:rsidR="00DB3B6D">
        <w:rPr>
          <w:color w:val="000000"/>
          <w:sz w:val="22"/>
          <w:szCs w:val="22"/>
          <w:lang w:val="es-GT" w:eastAsia="es-GT"/>
        </w:rPr>
        <w:t xml:space="preserve"> </w:t>
      </w:r>
      <w:r>
        <w:rPr>
          <w:color w:val="000000"/>
          <w:sz w:val="22"/>
          <w:szCs w:val="22"/>
          <w:lang w:val="es-GT" w:eastAsia="es-GT"/>
        </w:rPr>
        <w:t>r</w:t>
      </w:r>
      <w:r w:rsidRPr="00285118">
        <w:rPr>
          <w:color w:val="000000"/>
          <w:sz w:val="22"/>
          <w:szCs w:val="22"/>
          <w:lang w:val="es-GT" w:eastAsia="es-GT"/>
        </w:rPr>
        <w:t xml:space="preserve">ecursos del </w:t>
      </w:r>
      <w:r>
        <w:rPr>
          <w:color w:val="000000"/>
          <w:sz w:val="22"/>
          <w:szCs w:val="22"/>
          <w:lang w:val="es-GT" w:eastAsia="es-GT"/>
        </w:rPr>
        <w:t>t</w:t>
      </w:r>
      <w:r w:rsidRPr="00285118">
        <w:rPr>
          <w:color w:val="000000"/>
          <w:sz w:val="22"/>
          <w:szCs w:val="22"/>
          <w:lang w:val="es-GT" w:eastAsia="es-GT"/>
        </w:rPr>
        <w:t xml:space="preserve">esoro con </w:t>
      </w:r>
      <w:r>
        <w:rPr>
          <w:color w:val="000000"/>
          <w:sz w:val="22"/>
          <w:szCs w:val="22"/>
          <w:lang w:val="es-GT" w:eastAsia="es-GT"/>
        </w:rPr>
        <w:t>a</w:t>
      </w:r>
      <w:r w:rsidRPr="00285118">
        <w:rPr>
          <w:color w:val="000000"/>
          <w:sz w:val="22"/>
          <w:szCs w:val="22"/>
          <w:lang w:val="es-GT" w:eastAsia="es-GT"/>
        </w:rPr>
        <w:t xml:space="preserve">fectación </w:t>
      </w:r>
      <w:r>
        <w:rPr>
          <w:color w:val="000000"/>
          <w:sz w:val="22"/>
          <w:szCs w:val="22"/>
          <w:lang w:val="es-GT" w:eastAsia="es-GT"/>
        </w:rPr>
        <w:t>e</w:t>
      </w:r>
      <w:r w:rsidRPr="00285118">
        <w:rPr>
          <w:color w:val="000000"/>
          <w:sz w:val="22"/>
          <w:szCs w:val="22"/>
          <w:lang w:val="es-GT" w:eastAsia="es-GT"/>
        </w:rPr>
        <w:t>specífica</w:t>
      </w:r>
      <w:r>
        <w:rPr>
          <w:szCs w:val="22"/>
        </w:rPr>
        <w:t>.</w:t>
      </w:r>
    </w:p>
    <w:p w:rsidR="0050393B" w:rsidRPr="00450674" w:rsidRDefault="0050393B" w:rsidP="0050393B">
      <w:pPr>
        <w:jc w:val="both"/>
        <w:rPr>
          <w:b/>
          <w:szCs w:val="22"/>
          <w:lang w:val="es-MX"/>
        </w:rPr>
      </w:pPr>
    </w:p>
    <w:p w:rsidR="0050393B" w:rsidRPr="00453502" w:rsidRDefault="0050393B" w:rsidP="0050393B">
      <w:pPr>
        <w:jc w:val="center"/>
        <w:rPr>
          <w:b/>
          <w:szCs w:val="22"/>
          <w:lang w:val="es-MX"/>
        </w:rPr>
      </w:pPr>
      <w:r w:rsidRPr="00453502">
        <w:rPr>
          <w:b/>
          <w:szCs w:val="22"/>
          <w:lang w:val="es-MX"/>
        </w:rPr>
        <w:t>Cuadro 1</w:t>
      </w:r>
      <w:r>
        <w:rPr>
          <w:b/>
          <w:szCs w:val="22"/>
          <w:lang w:val="es-MX"/>
        </w:rPr>
        <w:t>5</w:t>
      </w:r>
    </w:p>
    <w:p w:rsidR="0050393B" w:rsidRPr="00453502" w:rsidRDefault="0050393B" w:rsidP="0050393B">
      <w:pPr>
        <w:jc w:val="center"/>
        <w:rPr>
          <w:b/>
          <w:szCs w:val="22"/>
          <w:lang w:val="es-MX"/>
        </w:rPr>
      </w:pPr>
      <w:r w:rsidRPr="00453502">
        <w:rPr>
          <w:b/>
          <w:szCs w:val="22"/>
          <w:lang w:val="es-MX"/>
        </w:rPr>
        <w:t>Programa de Emergencia C</w:t>
      </w:r>
      <w:r w:rsidR="00DB3B6D">
        <w:rPr>
          <w:b/>
          <w:szCs w:val="22"/>
          <w:lang w:val="es-MX"/>
        </w:rPr>
        <w:t>OVID</w:t>
      </w:r>
      <w:r w:rsidRPr="00453502">
        <w:rPr>
          <w:b/>
          <w:szCs w:val="22"/>
          <w:lang w:val="es-MX"/>
        </w:rPr>
        <w:t>-19</w:t>
      </w:r>
      <w:r>
        <w:rPr>
          <w:b/>
          <w:szCs w:val="22"/>
          <w:lang w:val="es-MX"/>
        </w:rPr>
        <w:t xml:space="preserve"> por Fuente de Financiamiento</w:t>
      </w:r>
    </w:p>
    <w:p w:rsidR="0050393B" w:rsidRPr="00453502" w:rsidRDefault="0050393B" w:rsidP="0050393B">
      <w:pPr>
        <w:jc w:val="center"/>
        <w:rPr>
          <w:b/>
          <w:szCs w:val="22"/>
          <w:lang w:val="es-MX"/>
        </w:rPr>
      </w:pPr>
      <w:r w:rsidRPr="00453502">
        <w:rPr>
          <w:b/>
          <w:szCs w:val="22"/>
          <w:lang w:val="es-MX"/>
        </w:rPr>
        <w:t>Al 30 de junio de 202</w:t>
      </w:r>
      <w:r>
        <w:rPr>
          <w:b/>
          <w:szCs w:val="22"/>
          <w:lang w:val="es-MX"/>
        </w:rPr>
        <w:t>1*</w:t>
      </w:r>
    </w:p>
    <w:p w:rsidR="0050393B" w:rsidRDefault="0050393B" w:rsidP="0050393B">
      <w:pPr>
        <w:jc w:val="center"/>
        <w:rPr>
          <w:b/>
          <w:szCs w:val="22"/>
          <w:lang w:val="es-MX"/>
        </w:rPr>
      </w:pPr>
      <w:r w:rsidRPr="00453502">
        <w:rPr>
          <w:b/>
          <w:szCs w:val="22"/>
          <w:lang w:val="es-MX"/>
        </w:rPr>
        <w:t>(Cifras en Millones de Quetzales)</w:t>
      </w:r>
    </w:p>
    <w:tbl>
      <w:tblPr>
        <w:tblW w:w="9380" w:type="dxa"/>
        <w:tblCellMar>
          <w:left w:w="70" w:type="dxa"/>
          <w:right w:w="70" w:type="dxa"/>
        </w:tblCellMar>
        <w:tblLook w:val="04A0" w:firstRow="1" w:lastRow="0" w:firstColumn="1" w:lastColumn="0" w:noHBand="0" w:noVBand="1"/>
      </w:tblPr>
      <w:tblGrid>
        <w:gridCol w:w="788"/>
        <w:gridCol w:w="4900"/>
        <w:gridCol w:w="1289"/>
        <w:gridCol w:w="1289"/>
        <w:gridCol w:w="1260"/>
      </w:tblGrid>
      <w:tr w:rsidR="0050393B" w:rsidRPr="00AE4BAA" w:rsidTr="0050393B">
        <w:trPr>
          <w:trHeight w:val="570"/>
        </w:trPr>
        <w:tc>
          <w:tcPr>
            <w:tcW w:w="740" w:type="dxa"/>
            <w:tcBorders>
              <w:top w:val="single" w:sz="8" w:space="0" w:color="auto"/>
              <w:left w:val="single" w:sz="8" w:space="0" w:color="auto"/>
              <w:bottom w:val="single" w:sz="8" w:space="0" w:color="auto"/>
              <w:right w:val="nil"/>
            </w:tcBorders>
            <w:shd w:val="clear" w:color="000000" w:fill="95B3D7"/>
            <w:noWrap/>
            <w:vAlign w:val="center"/>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Fuente</w:t>
            </w:r>
          </w:p>
        </w:tc>
        <w:tc>
          <w:tcPr>
            <w:tcW w:w="4900" w:type="dxa"/>
            <w:tcBorders>
              <w:top w:val="single" w:sz="8" w:space="0" w:color="auto"/>
              <w:left w:val="single" w:sz="8" w:space="0" w:color="auto"/>
              <w:bottom w:val="single" w:sz="8" w:space="0" w:color="auto"/>
              <w:right w:val="nil"/>
            </w:tcBorders>
            <w:shd w:val="clear" w:color="000000" w:fill="95B3D7"/>
            <w:noWrap/>
            <w:vAlign w:val="center"/>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Entidad</w:t>
            </w:r>
          </w:p>
        </w:tc>
        <w:tc>
          <w:tcPr>
            <w:tcW w:w="1240" w:type="dxa"/>
            <w:tcBorders>
              <w:top w:val="single" w:sz="8" w:space="0" w:color="auto"/>
              <w:left w:val="single" w:sz="4" w:space="0" w:color="auto"/>
              <w:bottom w:val="single" w:sz="8" w:space="0" w:color="auto"/>
              <w:right w:val="single" w:sz="4" w:space="0" w:color="auto"/>
            </w:tcBorders>
            <w:shd w:val="clear" w:color="000000" w:fill="95B3D7"/>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Presupuesto Vigente</w:t>
            </w:r>
          </w:p>
        </w:tc>
        <w:tc>
          <w:tcPr>
            <w:tcW w:w="1240" w:type="dxa"/>
            <w:tcBorders>
              <w:top w:val="single" w:sz="8" w:space="0" w:color="auto"/>
              <w:left w:val="nil"/>
              <w:bottom w:val="single" w:sz="8" w:space="0" w:color="auto"/>
              <w:right w:val="single" w:sz="8" w:space="0" w:color="auto"/>
            </w:tcBorders>
            <w:shd w:val="clear" w:color="000000" w:fill="95B3D7"/>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Presupuesto Ejecutado</w:t>
            </w:r>
          </w:p>
        </w:tc>
        <w:tc>
          <w:tcPr>
            <w:tcW w:w="1260" w:type="dxa"/>
            <w:tcBorders>
              <w:top w:val="single" w:sz="8" w:space="0" w:color="auto"/>
              <w:left w:val="nil"/>
              <w:bottom w:val="single" w:sz="8" w:space="0" w:color="auto"/>
              <w:right w:val="single" w:sz="8" w:space="0" w:color="auto"/>
            </w:tcBorders>
            <w:shd w:val="clear" w:color="000000" w:fill="95B3D7"/>
            <w:noWrap/>
            <w:vAlign w:val="center"/>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 Ejecución</w:t>
            </w:r>
          </w:p>
        </w:tc>
      </w:tr>
      <w:tr w:rsidR="0050393B" w:rsidRPr="00AE4BAA" w:rsidTr="0050393B">
        <w:trPr>
          <w:trHeight w:val="280"/>
        </w:trPr>
        <w:tc>
          <w:tcPr>
            <w:tcW w:w="74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0"/>
                <w:szCs w:val="20"/>
                <w:lang w:val="es-GT" w:eastAsia="es-GT"/>
              </w:rPr>
            </w:pPr>
            <w:r w:rsidRPr="00AE4BAA">
              <w:rPr>
                <w:color w:val="000000"/>
                <w:sz w:val="20"/>
                <w:szCs w:val="20"/>
                <w:lang w:val="es-GT" w:eastAsia="es-GT"/>
              </w:rPr>
              <w:t> </w:t>
            </w:r>
          </w:p>
        </w:tc>
        <w:tc>
          <w:tcPr>
            <w:tcW w:w="4900" w:type="dxa"/>
            <w:tcBorders>
              <w:top w:val="nil"/>
              <w:left w:val="single" w:sz="8" w:space="0" w:color="auto"/>
              <w:bottom w:val="nil"/>
              <w:right w:val="nil"/>
            </w:tcBorders>
            <w:shd w:val="clear" w:color="auto" w:fill="auto"/>
            <w:noWrap/>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Total</w:t>
            </w:r>
          </w:p>
        </w:tc>
        <w:tc>
          <w:tcPr>
            <w:tcW w:w="1240" w:type="dxa"/>
            <w:tcBorders>
              <w:top w:val="nil"/>
              <w:left w:val="single" w:sz="4" w:space="0" w:color="auto"/>
              <w:bottom w:val="nil"/>
              <w:right w:val="single" w:sz="4" w:space="0" w:color="auto"/>
            </w:tcBorders>
            <w:shd w:val="clear" w:color="auto" w:fill="auto"/>
            <w:noWrap/>
            <w:vAlign w:val="center"/>
            <w:hideMark/>
          </w:tcPr>
          <w:p w:rsidR="0050393B" w:rsidRPr="00AE4BAA" w:rsidRDefault="0050393B" w:rsidP="00A26E6B">
            <w:pPr>
              <w:jc w:val="right"/>
              <w:rPr>
                <w:b/>
                <w:bCs/>
                <w:color w:val="000000"/>
                <w:sz w:val="22"/>
                <w:szCs w:val="22"/>
                <w:lang w:val="es-GT" w:eastAsia="es-GT"/>
              </w:rPr>
            </w:pPr>
            <w:r w:rsidRPr="00AE4BAA">
              <w:rPr>
                <w:b/>
                <w:bCs/>
                <w:color w:val="000000"/>
                <w:sz w:val="22"/>
                <w:szCs w:val="22"/>
                <w:lang w:val="es-GT" w:eastAsia="es-GT"/>
              </w:rPr>
              <w:t>2,742.5</w:t>
            </w:r>
          </w:p>
        </w:tc>
        <w:tc>
          <w:tcPr>
            <w:tcW w:w="1240" w:type="dxa"/>
            <w:tcBorders>
              <w:top w:val="nil"/>
              <w:left w:val="nil"/>
              <w:bottom w:val="nil"/>
              <w:right w:val="single" w:sz="4" w:space="0" w:color="auto"/>
            </w:tcBorders>
            <w:shd w:val="clear" w:color="auto" w:fill="auto"/>
            <w:noWrap/>
            <w:vAlign w:val="center"/>
            <w:hideMark/>
          </w:tcPr>
          <w:p w:rsidR="0050393B" w:rsidRPr="00AE4BAA" w:rsidRDefault="0050393B" w:rsidP="00A26E6B">
            <w:pPr>
              <w:jc w:val="right"/>
              <w:rPr>
                <w:b/>
                <w:bCs/>
                <w:color w:val="000000"/>
                <w:sz w:val="22"/>
                <w:szCs w:val="22"/>
                <w:lang w:val="es-GT" w:eastAsia="es-GT"/>
              </w:rPr>
            </w:pPr>
            <w:r w:rsidRPr="00AE4BAA">
              <w:rPr>
                <w:b/>
                <w:bCs/>
                <w:color w:val="000000"/>
                <w:sz w:val="22"/>
                <w:szCs w:val="22"/>
                <w:lang w:val="es-GT" w:eastAsia="es-GT"/>
              </w:rPr>
              <w:t>1,218.5</w:t>
            </w:r>
          </w:p>
        </w:tc>
        <w:tc>
          <w:tcPr>
            <w:tcW w:w="126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b/>
                <w:bCs/>
                <w:color w:val="000000"/>
                <w:sz w:val="22"/>
                <w:szCs w:val="22"/>
                <w:lang w:val="es-GT" w:eastAsia="es-GT"/>
              </w:rPr>
            </w:pPr>
            <w:r w:rsidRPr="00AE4BAA">
              <w:rPr>
                <w:b/>
                <w:bCs/>
                <w:color w:val="000000"/>
                <w:sz w:val="22"/>
                <w:szCs w:val="22"/>
                <w:lang w:val="es-GT" w:eastAsia="es-GT"/>
              </w:rPr>
              <w:t>44.4%</w:t>
            </w:r>
          </w:p>
        </w:tc>
      </w:tr>
      <w:tr w:rsidR="0050393B" w:rsidRPr="00AE4BAA" w:rsidTr="0050393B">
        <w:trPr>
          <w:trHeight w:val="280"/>
        </w:trPr>
        <w:tc>
          <w:tcPr>
            <w:tcW w:w="74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0"/>
                <w:szCs w:val="20"/>
                <w:lang w:val="es-GT" w:eastAsia="es-GT"/>
              </w:rPr>
            </w:pPr>
            <w:r w:rsidRPr="00AE4BAA">
              <w:rPr>
                <w:color w:val="000000"/>
                <w:sz w:val="20"/>
                <w:szCs w:val="20"/>
                <w:lang w:val="es-GT" w:eastAsia="es-GT"/>
              </w:rPr>
              <w:t>11</w:t>
            </w:r>
          </w:p>
        </w:tc>
        <w:tc>
          <w:tcPr>
            <w:tcW w:w="4900" w:type="dxa"/>
            <w:tcBorders>
              <w:top w:val="nil"/>
              <w:left w:val="single" w:sz="8" w:space="0" w:color="auto"/>
              <w:bottom w:val="nil"/>
              <w:right w:val="nil"/>
            </w:tcBorders>
            <w:shd w:val="clear" w:color="auto" w:fill="auto"/>
            <w:noWrap/>
            <w:hideMark/>
          </w:tcPr>
          <w:p w:rsidR="0050393B" w:rsidRPr="00AE4BAA" w:rsidRDefault="0050393B" w:rsidP="0050393B">
            <w:pPr>
              <w:rPr>
                <w:color w:val="000000"/>
                <w:sz w:val="22"/>
                <w:szCs w:val="22"/>
                <w:lang w:val="es-GT" w:eastAsia="es-GT"/>
              </w:rPr>
            </w:pPr>
            <w:r w:rsidRPr="00AE4BAA">
              <w:rPr>
                <w:color w:val="000000"/>
                <w:sz w:val="22"/>
                <w:szCs w:val="22"/>
                <w:lang w:val="es-GT" w:eastAsia="es-GT"/>
              </w:rPr>
              <w:t>Ingresos Corrientes</w:t>
            </w:r>
          </w:p>
        </w:tc>
        <w:tc>
          <w:tcPr>
            <w:tcW w:w="1240" w:type="dxa"/>
            <w:tcBorders>
              <w:top w:val="nil"/>
              <w:left w:val="single" w:sz="4" w:space="0" w:color="auto"/>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758.2</w:t>
            </w:r>
          </w:p>
        </w:tc>
        <w:tc>
          <w:tcPr>
            <w:tcW w:w="1240" w:type="dxa"/>
            <w:tcBorders>
              <w:top w:val="nil"/>
              <w:left w:val="nil"/>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329.2</w:t>
            </w:r>
          </w:p>
        </w:tc>
        <w:tc>
          <w:tcPr>
            <w:tcW w:w="126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2"/>
                <w:szCs w:val="22"/>
                <w:lang w:val="es-GT" w:eastAsia="es-GT"/>
              </w:rPr>
            </w:pPr>
            <w:r w:rsidRPr="00AE4BAA">
              <w:rPr>
                <w:color w:val="000000"/>
                <w:sz w:val="22"/>
                <w:szCs w:val="22"/>
                <w:lang w:val="es-GT" w:eastAsia="es-GT"/>
              </w:rPr>
              <w:t>43.4%</w:t>
            </w:r>
          </w:p>
        </w:tc>
      </w:tr>
      <w:tr w:rsidR="0050393B" w:rsidRPr="00AE4BAA" w:rsidTr="0050393B">
        <w:trPr>
          <w:trHeight w:val="280"/>
        </w:trPr>
        <w:tc>
          <w:tcPr>
            <w:tcW w:w="74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0"/>
                <w:szCs w:val="20"/>
                <w:lang w:val="es-GT" w:eastAsia="es-GT"/>
              </w:rPr>
            </w:pPr>
            <w:r w:rsidRPr="00AE4BAA">
              <w:rPr>
                <w:color w:val="000000"/>
                <w:sz w:val="20"/>
                <w:szCs w:val="20"/>
                <w:lang w:val="es-GT" w:eastAsia="es-GT"/>
              </w:rPr>
              <w:t>29</w:t>
            </w:r>
          </w:p>
        </w:tc>
        <w:tc>
          <w:tcPr>
            <w:tcW w:w="4900" w:type="dxa"/>
            <w:tcBorders>
              <w:top w:val="nil"/>
              <w:left w:val="single" w:sz="8" w:space="0" w:color="auto"/>
              <w:bottom w:val="nil"/>
              <w:right w:val="nil"/>
            </w:tcBorders>
            <w:shd w:val="clear" w:color="auto" w:fill="auto"/>
            <w:noWrap/>
            <w:hideMark/>
          </w:tcPr>
          <w:p w:rsidR="0050393B" w:rsidRPr="00AE4BAA" w:rsidRDefault="0050393B" w:rsidP="0050393B">
            <w:pPr>
              <w:rPr>
                <w:color w:val="000000"/>
                <w:sz w:val="22"/>
                <w:szCs w:val="22"/>
                <w:lang w:val="es-GT" w:eastAsia="es-GT"/>
              </w:rPr>
            </w:pPr>
            <w:r w:rsidRPr="00AE4BAA">
              <w:rPr>
                <w:color w:val="000000"/>
                <w:sz w:val="22"/>
                <w:szCs w:val="22"/>
                <w:lang w:val="es-GT" w:eastAsia="es-GT"/>
              </w:rPr>
              <w:t>Otros Recursos del Tesoro con Afectación Específica</w:t>
            </w:r>
          </w:p>
        </w:tc>
        <w:tc>
          <w:tcPr>
            <w:tcW w:w="1240" w:type="dxa"/>
            <w:tcBorders>
              <w:top w:val="nil"/>
              <w:left w:val="single" w:sz="4" w:space="0" w:color="auto"/>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2.1</w:t>
            </w:r>
          </w:p>
        </w:tc>
        <w:tc>
          <w:tcPr>
            <w:tcW w:w="1240" w:type="dxa"/>
            <w:tcBorders>
              <w:top w:val="nil"/>
              <w:left w:val="nil"/>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1.2</w:t>
            </w:r>
          </w:p>
        </w:tc>
        <w:tc>
          <w:tcPr>
            <w:tcW w:w="126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2"/>
                <w:szCs w:val="22"/>
                <w:lang w:val="es-GT" w:eastAsia="es-GT"/>
              </w:rPr>
            </w:pPr>
            <w:r w:rsidRPr="00AE4BAA">
              <w:rPr>
                <w:color w:val="000000"/>
                <w:sz w:val="22"/>
                <w:szCs w:val="22"/>
                <w:lang w:val="es-GT" w:eastAsia="es-GT"/>
              </w:rPr>
              <w:t>58.7%</w:t>
            </w:r>
          </w:p>
        </w:tc>
      </w:tr>
      <w:tr w:rsidR="0050393B" w:rsidRPr="00AE4BAA" w:rsidTr="0050393B">
        <w:trPr>
          <w:trHeight w:val="280"/>
        </w:trPr>
        <w:tc>
          <w:tcPr>
            <w:tcW w:w="74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0"/>
                <w:szCs w:val="20"/>
                <w:lang w:val="es-GT" w:eastAsia="es-GT"/>
              </w:rPr>
            </w:pPr>
            <w:r w:rsidRPr="00AE4BAA">
              <w:rPr>
                <w:color w:val="000000"/>
                <w:sz w:val="20"/>
                <w:szCs w:val="20"/>
                <w:lang w:val="es-GT" w:eastAsia="es-GT"/>
              </w:rPr>
              <w:t>41</w:t>
            </w:r>
          </w:p>
        </w:tc>
        <w:tc>
          <w:tcPr>
            <w:tcW w:w="4900" w:type="dxa"/>
            <w:tcBorders>
              <w:top w:val="nil"/>
              <w:left w:val="single" w:sz="8" w:space="0" w:color="auto"/>
              <w:bottom w:val="nil"/>
              <w:right w:val="nil"/>
            </w:tcBorders>
            <w:shd w:val="clear" w:color="auto" w:fill="auto"/>
            <w:noWrap/>
            <w:hideMark/>
          </w:tcPr>
          <w:p w:rsidR="0050393B" w:rsidRPr="00AE4BAA" w:rsidRDefault="0050393B" w:rsidP="0050393B">
            <w:pPr>
              <w:rPr>
                <w:color w:val="000000"/>
                <w:sz w:val="22"/>
                <w:szCs w:val="22"/>
                <w:lang w:val="es-GT" w:eastAsia="es-GT"/>
              </w:rPr>
            </w:pPr>
            <w:r w:rsidRPr="00AE4BAA">
              <w:rPr>
                <w:color w:val="000000"/>
                <w:sz w:val="22"/>
                <w:szCs w:val="22"/>
                <w:lang w:val="es-GT" w:eastAsia="es-GT"/>
              </w:rPr>
              <w:t>Colocaciones Internas</w:t>
            </w:r>
          </w:p>
        </w:tc>
        <w:tc>
          <w:tcPr>
            <w:tcW w:w="1240" w:type="dxa"/>
            <w:tcBorders>
              <w:top w:val="nil"/>
              <w:left w:val="single" w:sz="4" w:space="0" w:color="auto"/>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372.5</w:t>
            </w:r>
          </w:p>
        </w:tc>
        <w:tc>
          <w:tcPr>
            <w:tcW w:w="1240" w:type="dxa"/>
            <w:tcBorders>
              <w:top w:val="nil"/>
              <w:left w:val="nil"/>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70.9</w:t>
            </w:r>
          </w:p>
        </w:tc>
        <w:tc>
          <w:tcPr>
            <w:tcW w:w="126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2"/>
                <w:szCs w:val="22"/>
                <w:lang w:val="es-GT" w:eastAsia="es-GT"/>
              </w:rPr>
            </w:pPr>
            <w:r w:rsidRPr="00AE4BAA">
              <w:rPr>
                <w:color w:val="000000"/>
                <w:sz w:val="22"/>
                <w:szCs w:val="22"/>
                <w:lang w:val="es-GT" w:eastAsia="es-GT"/>
              </w:rPr>
              <w:t>19.0%</w:t>
            </w:r>
          </w:p>
        </w:tc>
      </w:tr>
      <w:tr w:rsidR="0050393B" w:rsidRPr="00AE4BAA" w:rsidTr="0050393B">
        <w:trPr>
          <w:trHeight w:val="280"/>
        </w:trPr>
        <w:tc>
          <w:tcPr>
            <w:tcW w:w="740" w:type="dxa"/>
            <w:tcBorders>
              <w:top w:val="nil"/>
              <w:left w:val="single" w:sz="8" w:space="0" w:color="auto"/>
              <w:bottom w:val="nil"/>
              <w:right w:val="single" w:sz="8" w:space="0" w:color="auto"/>
            </w:tcBorders>
            <w:shd w:val="clear" w:color="auto" w:fill="auto"/>
            <w:noWrap/>
            <w:vAlign w:val="center"/>
            <w:hideMark/>
          </w:tcPr>
          <w:p w:rsidR="0050393B" w:rsidRPr="00AE4BAA" w:rsidRDefault="00390D05" w:rsidP="00390D05">
            <w:pPr>
              <w:jc w:val="center"/>
              <w:rPr>
                <w:color w:val="000000"/>
                <w:sz w:val="20"/>
                <w:szCs w:val="20"/>
                <w:lang w:val="es-GT" w:eastAsia="es-GT"/>
              </w:rPr>
            </w:pPr>
            <w:r>
              <w:rPr>
                <w:color w:val="000000"/>
                <w:sz w:val="20"/>
                <w:szCs w:val="20"/>
                <w:lang w:val="es-GT" w:eastAsia="es-GT"/>
              </w:rPr>
              <w:t>51</w:t>
            </w:r>
          </w:p>
        </w:tc>
        <w:tc>
          <w:tcPr>
            <w:tcW w:w="4900" w:type="dxa"/>
            <w:tcBorders>
              <w:top w:val="nil"/>
              <w:left w:val="single" w:sz="8" w:space="0" w:color="auto"/>
              <w:bottom w:val="nil"/>
              <w:right w:val="nil"/>
            </w:tcBorders>
            <w:shd w:val="clear" w:color="auto" w:fill="auto"/>
            <w:noWrap/>
            <w:hideMark/>
          </w:tcPr>
          <w:p w:rsidR="0050393B" w:rsidRPr="00AE4BAA" w:rsidRDefault="0050393B" w:rsidP="0050393B">
            <w:pPr>
              <w:rPr>
                <w:color w:val="000000"/>
                <w:sz w:val="22"/>
                <w:szCs w:val="22"/>
                <w:lang w:val="es-GT" w:eastAsia="es-GT"/>
              </w:rPr>
            </w:pPr>
            <w:r w:rsidRPr="00AE4BAA">
              <w:rPr>
                <w:color w:val="000000"/>
                <w:sz w:val="22"/>
                <w:szCs w:val="22"/>
                <w:lang w:val="es-GT" w:eastAsia="es-GT"/>
              </w:rPr>
              <w:t>Disminución de Caja y Bancos de Col. Internas</w:t>
            </w:r>
          </w:p>
        </w:tc>
        <w:tc>
          <w:tcPr>
            <w:tcW w:w="1240" w:type="dxa"/>
            <w:tcBorders>
              <w:top w:val="nil"/>
              <w:left w:val="single" w:sz="4" w:space="0" w:color="auto"/>
              <w:bottom w:val="nil"/>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1,240.0</w:t>
            </w:r>
          </w:p>
        </w:tc>
        <w:tc>
          <w:tcPr>
            <w:tcW w:w="1240" w:type="dxa"/>
            <w:tcBorders>
              <w:top w:val="nil"/>
              <w:left w:val="nil"/>
              <w:bottom w:val="nil"/>
              <w:right w:val="nil"/>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638.6</w:t>
            </w:r>
          </w:p>
        </w:tc>
        <w:tc>
          <w:tcPr>
            <w:tcW w:w="1260" w:type="dxa"/>
            <w:tcBorders>
              <w:top w:val="nil"/>
              <w:left w:val="single" w:sz="8" w:space="0" w:color="auto"/>
              <w:bottom w:val="nil"/>
              <w:right w:val="single" w:sz="8" w:space="0" w:color="auto"/>
            </w:tcBorders>
            <w:shd w:val="clear" w:color="auto" w:fill="auto"/>
            <w:noWrap/>
            <w:vAlign w:val="center"/>
            <w:hideMark/>
          </w:tcPr>
          <w:p w:rsidR="0050393B" w:rsidRPr="00AE4BAA" w:rsidRDefault="0050393B" w:rsidP="0050393B">
            <w:pPr>
              <w:jc w:val="center"/>
              <w:rPr>
                <w:color w:val="000000"/>
                <w:sz w:val="22"/>
                <w:szCs w:val="22"/>
                <w:lang w:val="es-GT" w:eastAsia="es-GT"/>
              </w:rPr>
            </w:pPr>
            <w:r w:rsidRPr="00AE4BAA">
              <w:rPr>
                <w:color w:val="000000"/>
                <w:sz w:val="22"/>
                <w:szCs w:val="22"/>
                <w:lang w:val="es-GT" w:eastAsia="es-GT"/>
              </w:rPr>
              <w:t>51.5%</w:t>
            </w:r>
          </w:p>
        </w:tc>
      </w:tr>
      <w:tr w:rsidR="0050393B" w:rsidRPr="00AE4BAA" w:rsidTr="0050393B">
        <w:trPr>
          <w:trHeight w:val="290"/>
        </w:trPr>
        <w:tc>
          <w:tcPr>
            <w:tcW w:w="740" w:type="dxa"/>
            <w:tcBorders>
              <w:top w:val="nil"/>
              <w:left w:val="single" w:sz="8" w:space="0" w:color="auto"/>
              <w:bottom w:val="single" w:sz="8" w:space="0" w:color="auto"/>
              <w:right w:val="single" w:sz="8" w:space="0" w:color="auto"/>
            </w:tcBorders>
            <w:shd w:val="clear" w:color="auto" w:fill="auto"/>
            <w:noWrap/>
            <w:vAlign w:val="center"/>
            <w:hideMark/>
          </w:tcPr>
          <w:p w:rsidR="0050393B" w:rsidRPr="00AE4BAA" w:rsidRDefault="0050393B" w:rsidP="0050393B">
            <w:pPr>
              <w:jc w:val="center"/>
              <w:rPr>
                <w:color w:val="000000"/>
                <w:sz w:val="20"/>
                <w:szCs w:val="20"/>
                <w:lang w:val="es-GT" w:eastAsia="es-GT"/>
              </w:rPr>
            </w:pPr>
            <w:r w:rsidRPr="00AE4BAA">
              <w:rPr>
                <w:color w:val="000000"/>
                <w:sz w:val="20"/>
                <w:szCs w:val="20"/>
                <w:lang w:val="es-GT" w:eastAsia="es-GT"/>
              </w:rPr>
              <w:t>52</w:t>
            </w:r>
          </w:p>
        </w:tc>
        <w:tc>
          <w:tcPr>
            <w:tcW w:w="4900" w:type="dxa"/>
            <w:tcBorders>
              <w:top w:val="nil"/>
              <w:left w:val="nil"/>
              <w:bottom w:val="single" w:sz="8" w:space="0" w:color="auto"/>
              <w:right w:val="nil"/>
            </w:tcBorders>
            <w:shd w:val="clear" w:color="auto" w:fill="auto"/>
            <w:noWrap/>
            <w:hideMark/>
          </w:tcPr>
          <w:p w:rsidR="0050393B" w:rsidRPr="00AE4BAA" w:rsidRDefault="0050393B" w:rsidP="0050393B">
            <w:pPr>
              <w:rPr>
                <w:color w:val="000000"/>
                <w:sz w:val="22"/>
                <w:szCs w:val="22"/>
                <w:lang w:val="es-GT" w:eastAsia="es-GT"/>
              </w:rPr>
            </w:pPr>
            <w:r w:rsidRPr="00AE4BAA">
              <w:rPr>
                <w:color w:val="000000"/>
                <w:sz w:val="22"/>
                <w:szCs w:val="22"/>
                <w:lang w:val="es-GT" w:eastAsia="es-GT"/>
              </w:rPr>
              <w:t>Préstamos Externos</w:t>
            </w:r>
          </w:p>
        </w:tc>
        <w:tc>
          <w:tcPr>
            <w:tcW w:w="1240" w:type="dxa"/>
            <w:tcBorders>
              <w:top w:val="nil"/>
              <w:left w:val="single" w:sz="4" w:space="0" w:color="auto"/>
              <w:bottom w:val="single" w:sz="8" w:space="0" w:color="auto"/>
              <w:right w:val="single" w:sz="4"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369.8</w:t>
            </w:r>
          </w:p>
        </w:tc>
        <w:tc>
          <w:tcPr>
            <w:tcW w:w="1240" w:type="dxa"/>
            <w:tcBorders>
              <w:top w:val="nil"/>
              <w:left w:val="nil"/>
              <w:bottom w:val="single" w:sz="8" w:space="0" w:color="auto"/>
              <w:right w:val="single" w:sz="8" w:space="0" w:color="auto"/>
            </w:tcBorders>
            <w:shd w:val="clear" w:color="auto" w:fill="auto"/>
            <w:noWrap/>
            <w:vAlign w:val="center"/>
            <w:hideMark/>
          </w:tcPr>
          <w:p w:rsidR="0050393B" w:rsidRPr="00AE4BAA" w:rsidRDefault="0050393B" w:rsidP="0050393B">
            <w:pPr>
              <w:jc w:val="right"/>
              <w:rPr>
                <w:color w:val="000000"/>
                <w:sz w:val="22"/>
                <w:szCs w:val="22"/>
                <w:lang w:val="es-GT" w:eastAsia="es-GT"/>
              </w:rPr>
            </w:pPr>
            <w:r w:rsidRPr="00AE4BAA">
              <w:rPr>
                <w:color w:val="000000"/>
                <w:sz w:val="22"/>
                <w:szCs w:val="22"/>
                <w:lang w:val="es-GT" w:eastAsia="es-GT"/>
              </w:rPr>
              <w:t>178.5</w:t>
            </w:r>
          </w:p>
        </w:tc>
        <w:tc>
          <w:tcPr>
            <w:tcW w:w="1260" w:type="dxa"/>
            <w:tcBorders>
              <w:top w:val="nil"/>
              <w:left w:val="nil"/>
              <w:bottom w:val="single" w:sz="8" w:space="0" w:color="auto"/>
              <w:right w:val="single" w:sz="8" w:space="0" w:color="auto"/>
            </w:tcBorders>
            <w:shd w:val="clear" w:color="auto" w:fill="auto"/>
            <w:noWrap/>
            <w:vAlign w:val="center"/>
            <w:hideMark/>
          </w:tcPr>
          <w:p w:rsidR="0050393B" w:rsidRPr="00AE4BAA" w:rsidRDefault="0050393B" w:rsidP="0050393B">
            <w:pPr>
              <w:jc w:val="center"/>
              <w:rPr>
                <w:color w:val="000000"/>
                <w:sz w:val="22"/>
                <w:szCs w:val="22"/>
                <w:lang w:val="es-GT" w:eastAsia="es-GT"/>
              </w:rPr>
            </w:pPr>
            <w:r w:rsidRPr="00AE4BAA">
              <w:rPr>
                <w:color w:val="000000"/>
                <w:sz w:val="22"/>
                <w:szCs w:val="22"/>
                <w:lang w:val="es-GT" w:eastAsia="es-GT"/>
              </w:rPr>
              <w:t>48.3%</w:t>
            </w:r>
          </w:p>
        </w:tc>
      </w:tr>
    </w:tbl>
    <w:p w:rsidR="0050393B" w:rsidRDefault="0050393B" w:rsidP="0050393B">
      <w:pPr>
        <w:jc w:val="both"/>
        <w:rPr>
          <w:sz w:val="18"/>
          <w:lang w:val="es-MX"/>
        </w:rPr>
      </w:pPr>
      <w:r w:rsidRPr="00CF5481">
        <w:rPr>
          <w:sz w:val="18"/>
          <w:lang w:val="es-MX"/>
        </w:rPr>
        <w:t>* Cifras preliminares.</w:t>
      </w:r>
    </w:p>
    <w:p w:rsidR="0050393B" w:rsidRPr="00CF5481" w:rsidRDefault="0050393B" w:rsidP="0050393B">
      <w:pPr>
        <w:jc w:val="both"/>
        <w:rPr>
          <w:sz w:val="18"/>
          <w:lang w:val="es-MX"/>
        </w:rPr>
      </w:pPr>
      <w:r>
        <w:rPr>
          <w:sz w:val="18"/>
          <w:lang w:val="es-MX"/>
        </w:rPr>
        <w:t xml:space="preserve">   </w:t>
      </w:r>
      <w:r w:rsidRPr="00CF5481">
        <w:rPr>
          <w:sz w:val="18"/>
          <w:lang w:val="es-MX"/>
        </w:rPr>
        <w:t>Fuente: Ministerio de Finanzas Públicas con base al SICOIN.</w:t>
      </w:r>
    </w:p>
    <w:p w:rsidR="0050393B" w:rsidRDefault="0050393B" w:rsidP="0050393B">
      <w:pPr>
        <w:jc w:val="both"/>
      </w:pPr>
    </w:p>
    <w:p w:rsidR="0050393B" w:rsidRDefault="0050393B" w:rsidP="0050393B">
      <w:pPr>
        <w:jc w:val="both"/>
      </w:pPr>
    </w:p>
    <w:p w:rsidR="0050393B" w:rsidRDefault="0050393B" w:rsidP="0050393B">
      <w:pPr>
        <w:jc w:val="both"/>
      </w:pPr>
      <w:r>
        <w:lastRenderedPageBreak/>
        <w:t>Del presupuesto vigente para el 2021 un monto de Q</w:t>
      </w:r>
      <w:r w:rsidRPr="00897850">
        <w:t>.</w:t>
      </w:r>
      <w:r>
        <w:t>1</w:t>
      </w:r>
      <w:r w:rsidRPr="00897850">
        <w:t>,</w:t>
      </w:r>
      <w:r>
        <w:t>240.</w:t>
      </w:r>
      <w:r w:rsidRPr="00897850">
        <w:t xml:space="preserve">0 millones </w:t>
      </w:r>
      <w:r>
        <w:t xml:space="preserve">es </w:t>
      </w:r>
      <w:r w:rsidRPr="00897850">
        <w:t>financiado</w:t>
      </w:r>
      <w:r>
        <w:t xml:space="preserve"> con recursos provenientes de la disminución de caja y bancos de colocaciones internas; el monto de Q.758.2 millones financiado con ingresos corrientes; el monto de Q.372.5 financiado con colocaciones internas; el monto de Q.369.8 millones financiado con préstamos externos y el monto de Q.2.1 millones financiado con otros recursos del tesoro con afectación específica. </w:t>
      </w:r>
    </w:p>
    <w:p w:rsidR="0050393B" w:rsidRDefault="0050393B" w:rsidP="0050393B">
      <w:pPr>
        <w:jc w:val="both"/>
      </w:pPr>
    </w:p>
    <w:p w:rsidR="0050393B" w:rsidRDefault="0050393B" w:rsidP="0050393B">
      <w:pPr>
        <w:jc w:val="both"/>
      </w:pPr>
    </w:p>
    <w:p w:rsidR="0050393B" w:rsidRPr="00BF2057" w:rsidRDefault="0050393B" w:rsidP="0050393B">
      <w:pPr>
        <w:jc w:val="center"/>
        <w:rPr>
          <w:b/>
          <w:szCs w:val="22"/>
          <w:lang w:val="es-MX"/>
        </w:rPr>
      </w:pPr>
      <w:r w:rsidRPr="00BF2057">
        <w:rPr>
          <w:b/>
          <w:szCs w:val="22"/>
          <w:lang w:val="es-MX"/>
        </w:rPr>
        <w:t>Cuadro 1</w:t>
      </w:r>
      <w:r>
        <w:rPr>
          <w:b/>
          <w:szCs w:val="22"/>
          <w:lang w:val="es-MX"/>
        </w:rPr>
        <w:t>6</w:t>
      </w:r>
    </w:p>
    <w:p w:rsidR="0050393B" w:rsidRPr="00BF2057" w:rsidRDefault="0050393B" w:rsidP="0050393B">
      <w:pPr>
        <w:jc w:val="center"/>
        <w:rPr>
          <w:b/>
          <w:szCs w:val="22"/>
          <w:lang w:val="es-MX"/>
        </w:rPr>
      </w:pPr>
      <w:r w:rsidRPr="00BF2057">
        <w:rPr>
          <w:b/>
          <w:szCs w:val="22"/>
          <w:lang w:val="es-MX"/>
        </w:rPr>
        <w:t>Programa de Emergencia C</w:t>
      </w:r>
      <w:r w:rsidR="00DB3B6D">
        <w:rPr>
          <w:b/>
          <w:szCs w:val="22"/>
          <w:lang w:val="es-MX"/>
        </w:rPr>
        <w:t>OVID</w:t>
      </w:r>
      <w:r w:rsidRPr="00BF2057">
        <w:rPr>
          <w:b/>
          <w:szCs w:val="22"/>
          <w:lang w:val="es-MX"/>
        </w:rPr>
        <w:t>-19</w:t>
      </w:r>
      <w:r>
        <w:rPr>
          <w:b/>
          <w:szCs w:val="22"/>
          <w:lang w:val="es-MX"/>
        </w:rPr>
        <w:t xml:space="preserve"> por Entidad y Organismo Financiero</w:t>
      </w:r>
    </w:p>
    <w:p w:rsidR="0050393B" w:rsidRPr="00BF2057" w:rsidRDefault="0050393B" w:rsidP="0050393B">
      <w:pPr>
        <w:jc w:val="center"/>
        <w:rPr>
          <w:b/>
          <w:szCs w:val="22"/>
          <w:lang w:val="es-MX"/>
        </w:rPr>
      </w:pPr>
      <w:r w:rsidRPr="00BF2057">
        <w:rPr>
          <w:b/>
          <w:szCs w:val="22"/>
          <w:lang w:val="es-MX"/>
        </w:rPr>
        <w:t>Al 30 de junio de 202</w:t>
      </w:r>
      <w:r>
        <w:rPr>
          <w:b/>
          <w:szCs w:val="22"/>
          <w:lang w:val="es-MX"/>
        </w:rPr>
        <w:t>1*</w:t>
      </w:r>
    </w:p>
    <w:p w:rsidR="0050393B" w:rsidRPr="00BF2057" w:rsidRDefault="0050393B" w:rsidP="0050393B">
      <w:pPr>
        <w:jc w:val="center"/>
        <w:rPr>
          <w:sz w:val="20"/>
          <w:lang w:val="es-MX"/>
        </w:rPr>
      </w:pPr>
      <w:r w:rsidRPr="00BF2057">
        <w:rPr>
          <w:b/>
          <w:szCs w:val="22"/>
          <w:lang w:val="es-MX"/>
        </w:rPr>
        <w:t>(Cifras en Millones de Quetzales)</w:t>
      </w:r>
    </w:p>
    <w:tbl>
      <w:tblPr>
        <w:tblW w:w="9284" w:type="dxa"/>
        <w:tblCellMar>
          <w:left w:w="70" w:type="dxa"/>
          <w:right w:w="70" w:type="dxa"/>
        </w:tblCellMar>
        <w:tblLook w:val="04A0" w:firstRow="1" w:lastRow="0" w:firstColumn="1" w:lastColumn="0" w:noHBand="0" w:noVBand="1"/>
      </w:tblPr>
      <w:tblGrid>
        <w:gridCol w:w="4465"/>
        <w:gridCol w:w="1275"/>
        <w:gridCol w:w="1154"/>
        <w:gridCol w:w="1256"/>
        <w:gridCol w:w="1134"/>
      </w:tblGrid>
      <w:tr w:rsidR="0050393B" w:rsidRPr="00493DEE" w:rsidTr="00390D05">
        <w:trPr>
          <w:trHeight w:val="375"/>
        </w:trPr>
        <w:tc>
          <w:tcPr>
            <w:tcW w:w="4465" w:type="dxa"/>
            <w:vMerge w:val="restart"/>
            <w:tcBorders>
              <w:top w:val="single" w:sz="8" w:space="0" w:color="auto"/>
              <w:left w:val="single" w:sz="8"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sz w:val="22"/>
                <w:szCs w:val="22"/>
                <w:lang w:val="es-GT" w:eastAsia="es-GT"/>
              </w:rPr>
            </w:pPr>
            <w:r w:rsidRPr="00493DEE">
              <w:rPr>
                <w:b/>
                <w:bCs/>
                <w:sz w:val="22"/>
                <w:szCs w:val="22"/>
                <w:lang w:val="es-GT" w:eastAsia="es-GT"/>
              </w:rPr>
              <w:t>Entidad</w:t>
            </w:r>
          </w:p>
        </w:tc>
        <w:tc>
          <w:tcPr>
            <w:tcW w:w="1275"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sz w:val="22"/>
                <w:szCs w:val="22"/>
                <w:lang w:val="es-GT" w:eastAsia="es-GT"/>
              </w:rPr>
            </w:pPr>
            <w:r w:rsidRPr="00493DEE">
              <w:rPr>
                <w:b/>
                <w:bCs/>
                <w:sz w:val="22"/>
                <w:szCs w:val="22"/>
                <w:lang w:val="es-GT" w:eastAsia="es-GT"/>
              </w:rPr>
              <w:t>Vigente</w:t>
            </w:r>
          </w:p>
        </w:tc>
        <w:tc>
          <w:tcPr>
            <w:tcW w:w="1154"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sz w:val="22"/>
                <w:szCs w:val="22"/>
                <w:lang w:val="es-GT" w:eastAsia="es-GT"/>
              </w:rPr>
            </w:pPr>
            <w:r w:rsidRPr="00493DEE">
              <w:rPr>
                <w:b/>
                <w:bCs/>
                <w:sz w:val="22"/>
                <w:szCs w:val="22"/>
                <w:lang w:val="es-GT" w:eastAsia="es-GT"/>
              </w:rPr>
              <w:t>Ejecutado</w:t>
            </w:r>
          </w:p>
        </w:tc>
        <w:tc>
          <w:tcPr>
            <w:tcW w:w="1256"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sz w:val="22"/>
                <w:szCs w:val="22"/>
                <w:lang w:val="es-GT" w:eastAsia="es-GT"/>
              </w:rPr>
            </w:pPr>
            <w:r w:rsidRPr="00493DEE">
              <w:rPr>
                <w:b/>
                <w:bCs/>
                <w:sz w:val="22"/>
                <w:szCs w:val="22"/>
                <w:lang w:val="es-GT" w:eastAsia="es-GT"/>
              </w:rPr>
              <w:t>Saldo por Devengar</w:t>
            </w:r>
          </w:p>
        </w:tc>
        <w:tc>
          <w:tcPr>
            <w:tcW w:w="1134" w:type="dxa"/>
            <w:vMerge w:val="restart"/>
            <w:tcBorders>
              <w:top w:val="single" w:sz="8" w:space="0" w:color="auto"/>
              <w:left w:val="single" w:sz="4" w:space="0" w:color="auto"/>
              <w:bottom w:val="single" w:sz="8" w:space="0" w:color="000000"/>
              <w:right w:val="single" w:sz="8" w:space="0" w:color="auto"/>
            </w:tcBorders>
            <w:shd w:val="clear" w:color="000000" w:fill="95B3D7"/>
            <w:vAlign w:val="center"/>
            <w:hideMark/>
          </w:tcPr>
          <w:p w:rsidR="0050393B" w:rsidRPr="00493DEE" w:rsidRDefault="0050393B" w:rsidP="0050393B">
            <w:pPr>
              <w:jc w:val="center"/>
              <w:rPr>
                <w:b/>
                <w:bCs/>
                <w:sz w:val="22"/>
                <w:szCs w:val="22"/>
                <w:lang w:val="es-GT" w:eastAsia="es-GT"/>
              </w:rPr>
            </w:pPr>
            <w:r w:rsidRPr="00493DEE">
              <w:rPr>
                <w:b/>
                <w:bCs/>
                <w:sz w:val="22"/>
                <w:szCs w:val="22"/>
                <w:lang w:val="es-GT" w:eastAsia="es-GT"/>
              </w:rPr>
              <w:t>% de Ejecución</w:t>
            </w:r>
          </w:p>
        </w:tc>
      </w:tr>
      <w:tr w:rsidR="0050393B" w:rsidRPr="00493DEE" w:rsidTr="00390D05">
        <w:trPr>
          <w:trHeight w:val="276"/>
        </w:trPr>
        <w:tc>
          <w:tcPr>
            <w:tcW w:w="4465" w:type="dxa"/>
            <w:vMerge/>
            <w:tcBorders>
              <w:top w:val="single" w:sz="8" w:space="0" w:color="auto"/>
              <w:left w:val="single" w:sz="8" w:space="0" w:color="auto"/>
              <w:bottom w:val="single" w:sz="8" w:space="0" w:color="000000"/>
              <w:right w:val="single" w:sz="4" w:space="0" w:color="auto"/>
            </w:tcBorders>
            <w:vAlign w:val="center"/>
            <w:hideMark/>
          </w:tcPr>
          <w:p w:rsidR="0050393B" w:rsidRPr="00493DEE" w:rsidRDefault="0050393B" w:rsidP="0050393B">
            <w:pPr>
              <w:rPr>
                <w:b/>
                <w:bCs/>
                <w:sz w:val="22"/>
                <w:szCs w:val="22"/>
                <w:lang w:val="es-GT" w:eastAsia="es-GT"/>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sz w:val="22"/>
                <w:szCs w:val="22"/>
                <w:lang w:val="es-GT" w:eastAsia="es-GT"/>
              </w:rPr>
            </w:pPr>
          </w:p>
        </w:tc>
        <w:tc>
          <w:tcPr>
            <w:tcW w:w="1154"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sz w:val="22"/>
                <w:szCs w:val="22"/>
                <w:lang w:val="es-GT" w:eastAsia="es-GT"/>
              </w:rPr>
            </w:pPr>
          </w:p>
        </w:tc>
        <w:tc>
          <w:tcPr>
            <w:tcW w:w="1256"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sz w:val="22"/>
                <w:szCs w:val="22"/>
                <w:lang w:val="es-GT" w:eastAsia="es-GT"/>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50393B" w:rsidRPr="00493DEE" w:rsidRDefault="0050393B" w:rsidP="0050393B">
            <w:pPr>
              <w:rPr>
                <w:b/>
                <w:bCs/>
                <w:sz w:val="22"/>
                <w:szCs w:val="22"/>
                <w:lang w:val="es-GT" w:eastAsia="es-GT"/>
              </w:rPr>
            </w:pPr>
          </w:p>
        </w:tc>
      </w:tr>
      <w:tr w:rsidR="0050393B" w:rsidRPr="00493DEE" w:rsidTr="00390D05">
        <w:trPr>
          <w:trHeight w:val="270"/>
        </w:trPr>
        <w:tc>
          <w:tcPr>
            <w:tcW w:w="4465" w:type="dxa"/>
            <w:tcBorders>
              <w:top w:val="single" w:sz="8" w:space="0" w:color="000000"/>
              <w:left w:val="single" w:sz="8" w:space="0" w:color="auto"/>
              <w:right w:val="single" w:sz="4" w:space="0" w:color="auto"/>
            </w:tcBorders>
            <w:shd w:val="clear" w:color="auto" w:fill="auto"/>
            <w:noWrap/>
            <w:vAlign w:val="bottom"/>
            <w:hideMark/>
          </w:tcPr>
          <w:p w:rsidR="0050393B" w:rsidRPr="00A82540" w:rsidRDefault="0050393B" w:rsidP="0050393B">
            <w:pPr>
              <w:jc w:val="center"/>
              <w:rPr>
                <w:b/>
                <w:bCs/>
                <w:sz w:val="22"/>
                <w:szCs w:val="20"/>
                <w:lang w:val="es-GT" w:eastAsia="es-GT"/>
              </w:rPr>
            </w:pPr>
            <w:r w:rsidRPr="00A82540">
              <w:rPr>
                <w:b/>
                <w:bCs/>
                <w:sz w:val="22"/>
                <w:szCs w:val="20"/>
                <w:lang w:val="es-GT" w:eastAsia="es-GT"/>
              </w:rPr>
              <w:t>TOTAL</w:t>
            </w:r>
          </w:p>
        </w:tc>
        <w:tc>
          <w:tcPr>
            <w:tcW w:w="1275" w:type="dxa"/>
            <w:tcBorders>
              <w:top w:val="single" w:sz="8" w:space="0" w:color="000000"/>
              <w:left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369.8</w:t>
            </w:r>
          </w:p>
        </w:tc>
        <w:tc>
          <w:tcPr>
            <w:tcW w:w="1154" w:type="dxa"/>
            <w:tcBorders>
              <w:top w:val="single" w:sz="8" w:space="0" w:color="000000"/>
              <w:left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178.5</w:t>
            </w:r>
          </w:p>
        </w:tc>
        <w:tc>
          <w:tcPr>
            <w:tcW w:w="1256" w:type="dxa"/>
            <w:tcBorders>
              <w:top w:val="single" w:sz="8" w:space="0" w:color="000000"/>
              <w:left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191.3</w:t>
            </w:r>
          </w:p>
        </w:tc>
        <w:tc>
          <w:tcPr>
            <w:tcW w:w="1134" w:type="dxa"/>
            <w:tcBorders>
              <w:top w:val="single" w:sz="8" w:space="0" w:color="000000"/>
              <w:left w:val="nil"/>
              <w:right w:val="single" w:sz="8"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48.3%</w:t>
            </w:r>
          </w:p>
        </w:tc>
      </w:tr>
      <w:tr w:rsidR="0050393B" w:rsidRPr="00493DEE" w:rsidTr="00390D05">
        <w:trPr>
          <w:trHeight w:val="290"/>
        </w:trPr>
        <w:tc>
          <w:tcPr>
            <w:tcW w:w="4465" w:type="dxa"/>
            <w:tcBorders>
              <w:left w:val="single" w:sz="8" w:space="0" w:color="auto"/>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Salud Pública y Asistencia Social</w:t>
            </w:r>
          </w:p>
        </w:tc>
        <w:tc>
          <w:tcPr>
            <w:tcW w:w="1275" w:type="dxa"/>
            <w:tcBorders>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119.3</w:t>
            </w:r>
          </w:p>
        </w:tc>
        <w:tc>
          <w:tcPr>
            <w:tcW w:w="1154" w:type="dxa"/>
            <w:tcBorders>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0.0</w:t>
            </w:r>
          </w:p>
        </w:tc>
        <w:tc>
          <w:tcPr>
            <w:tcW w:w="1256" w:type="dxa"/>
            <w:tcBorders>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119.3</w:t>
            </w:r>
          </w:p>
        </w:tc>
        <w:tc>
          <w:tcPr>
            <w:tcW w:w="1134" w:type="dxa"/>
            <w:tcBorders>
              <w:left w:val="nil"/>
              <w:bottom w:val="nil"/>
              <w:right w:val="single" w:sz="8"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0.0%</w:t>
            </w:r>
          </w:p>
        </w:tc>
      </w:tr>
      <w:tr w:rsidR="0050393B" w:rsidRPr="00493DEE" w:rsidTr="00390D05">
        <w:trPr>
          <w:trHeight w:val="260"/>
        </w:trPr>
        <w:tc>
          <w:tcPr>
            <w:tcW w:w="4465"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szCs w:val="20"/>
                <w:lang w:val="es-GT" w:eastAsia="es-GT"/>
              </w:rPr>
            </w:pPr>
            <w:r w:rsidRPr="00A82540">
              <w:rPr>
                <w:sz w:val="22"/>
                <w:szCs w:val="20"/>
                <w:lang w:val="es-GT" w:eastAsia="es-GT"/>
              </w:rPr>
              <w:t>Banco Interamericano de Desarrollo</w:t>
            </w:r>
          </w:p>
        </w:tc>
        <w:tc>
          <w:tcPr>
            <w:tcW w:w="1275" w:type="dxa"/>
            <w:tcBorders>
              <w:top w:val="nil"/>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14.1</w:t>
            </w:r>
          </w:p>
        </w:tc>
        <w:tc>
          <w:tcPr>
            <w:tcW w:w="1154"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0.0</w:t>
            </w:r>
          </w:p>
        </w:tc>
        <w:tc>
          <w:tcPr>
            <w:tcW w:w="1256"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14.1</w:t>
            </w:r>
          </w:p>
        </w:tc>
        <w:tc>
          <w:tcPr>
            <w:tcW w:w="1134" w:type="dxa"/>
            <w:tcBorders>
              <w:top w:val="nil"/>
              <w:left w:val="nil"/>
              <w:bottom w:val="nil"/>
              <w:right w:val="single" w:sz="8"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0.0%</w:t>
            </w:r>
          </w:p>
        </w:tc>
      </w:tr>
      <w:tr w:rsidR="0050393B" w:rsidRPr="00493DEE" w:rsidTr="00390D05">
        <w:trPr>
          <w:trHeight w:val="260"/>
        </w:trPr>
        <w:tc>
          <w:tcPr>
            <w:tcW w:w="4465"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szCs w:val="20"/>
                <w:lang w:val="es-GT" w:eastAsia="es-GT"/>
              </w:rPr>
            </w:pPr>
            <w:r w:rsidRPr="00A82540">
              <w:rPr>
                <w:sz w:val="22"/>
                <w:szCs w:val="20"/>
                <w:lang w:val="es-GT" w:eastAsia="es-GT"/>
              </w:rPr>
              <w:t>Banco Internacional de Reconstrucción y Fomento</w:t>
            </w:r>
          </w:p>
        </w:tc>
        <w:tc>
          <w:tcPr>
            <w:tcW w:w="1275" w:type="dxa"/>
            <w:tcBorders>
              <w:top w:val="nil"/>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105.2</w:t>
            </w:r>
          </w:p>
        </w:tc>
        <w:tc>
          <w:tcPr>
            <w:tcW w:w="1154"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0.0</w:t>
            </w:r>
          </w:p>
        </w:tc>
        <w:tc>
          <w:tcPr>
            <w:tcW w:w="1256" w:type="dxa"/>
            <w:tcBorders>
              <w:top w:val="nil"/>
              <w:left w:val="nil"/>
              <w:bottom w:val="nil"/>
              <w:right w:val="single" w:sz="4" w:space="0" w:color="auto"/>
            </w:tcBorders>
            <w:shd w:val="clear" w:color="auto" w:fill="auto"/>
            <w:noWrap/>
            <w:vAlign w:val="center"/>
            <w:hideMark/>
          </w:tcPr>
          <w:p w:rsidR="0050393B" w:rsidRPr="00A82540" w:rsidRDefault="0050393B" w:rsidP="0050393B">
            <w:pPr>
              <w:rPr>
                <w:sz w:val="22"/>
                <w:szCs w:val="20"/>
                <w:lang w:val="es-GT" w:eastAsia="es-GT"/>
              </w:rPr>
            </w:pPr>
            <w:r w:rsidRPr="00A82540">
              <w:rPr>
                <w:sz w:val="22"/>
                <w:szCs w:val="20"/>
                <w:lang w:val="es-GT" w:eastAsia="es-GT"/>
              </w:rPr>
              <w:t> </w:t>
            </w:r>
          </w:p>
        </w:tc>
        <w:tc>
          <w:tcPr>
            <w:tcW w:w="1134" w:type="dxa"/>
            <w:tcBorders>
              <w:top w:val="nil"/>
              <w:left w:val="nil"/>
              <w:bottom w:val="nil"/>
              <w:right w:val="single" w:sz="8" w:space="0" w:color="auto"/>
            </w:tcBorders>
            <w:shd w:val="clear" w:color="auto" w:fill="auto"/>
            <w:noWrap/>
            <w:vAlign w:val="center"/>
            <w:hideMark/>
          </w:tcPr>
          <w:p w:rsidR="0050393B" w:rsidRPr="00A82540" w:rsidRDefault="0050393B" w:rsidP="0050393B">
            <w:pPr>
              <w:rPr>
                <w:sz w:val="22"/>
                <w:szCs w:val="20"/>
                <w:lang w:val="es-GT" w:eastAsia="es-GT"/>
              </w:rPr>
            </w:pPr>
            <w:r w:rsidRPr="00A82540">
              <w:rPr>
                <w:sz w:val="22"/>
                <w:szCs w:val="20"/>
                <w:lang w:val="es-GT" w:eastAsia="es-GT"/>
              </w:rPr>
              <w:t> </w:t>
            </w:r>
          </w:p>
        </w:tc>
      </w:tr>
      <w:tr w:rsidR="0050393B" w:rsidRPr="00493DEE" w:rsidTr="00390D05">
        <w:trPr>
          <w:trHeight w:val="300"/>
        </w:trPr>
        <w:tc>
          <w:tcPr>
            <w:tcW w:w="4465"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Agricultura, Ganadería y Alimentación</w:t>
            </w:r>
          </w:p>
        </w:tc>
        <w:tc>
          <w:tcPr>
            <w:tcW w:w="1275" w:type="dxa"/>
            <w:tcBorders>
              <w:top w:val="nil"/>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148.3</w:t>
            </w:r>
          </w:p>
        </w:tc>
        <w:tc>
          <w:tcPr>
            <w:tcW w:w="1154"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76.4</w:t>
            </w:r>
          </w:p>
        </w:tc>
        <w:tc>
          <w:tcPr>
            <w:tcW w:w="1256"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72.0</w:t>
            </w:r>
          </w:p>
        </w:tc>
        <w:tc>
          <w:tcPr>
            <w:tcW w:w="1134" w:type="dxa"/>
            <w:tcBorders>
              <w:top w:val="nil"/>
              <w:left w:val="nil"/>
              <w:bottom w:val="nil"/>
              <w:right w:val="single" w:sz="8"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51.5%</w:t>
            </w:r>
          </w:p>
        </w:tc>
      </w:tr>
      <w:tr w:rsidR="0050393B" w:rsidRPr="00493DEE" w:rsidTr="00390D05">
        <w:trPr>
          <w:trHeight w:val="260"/>
        </w:trPr>
        <w:tc>
          <w:tcPr>
            <w:tcW w:w="4465"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szCs w:val="20"/>
                <w:lang w:val="es-GT" w:eastAsia="es-GT"/>
              </w:rPr>
            </w:pPr>
            <w:r w:rsidRPr="00A82540">
              <w:rPr>
                <w:sz w:val="22"/>
                <w:szCs w:val="20"/>
                <w:lang w:val="es-GT" w:eastAsia="es-GT"/>
              </w:rPr>
              <w:t>Banco Internacional de Reconstrucción y Fomento</w:t>
            </w:r>
          </w:p>
        </w:tc>
        <w:tc>
          <w:tcPr>
            <w:tcW w:w="1275" w:type="dxa"/>
            <w:tcBorders>
              <w:top w:val="nil"/>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148.3</w:t>
            </w:r>
          </w:p>
        </w:tc>
        <w:tc>
          <w:tcPr>
            <w:tcW w:w="1154"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76.4</w:t>
            </w:r>
          </w:p>
        </w:tc>
        <w:tc>
          <w:tcPr>
            <w:tcW w:w="1256"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72.0</w:t>
            </w:r>
          </w:p>
        </w:tc>
        <w:tc>
          <w:tcPr>
            <w:tcW w:w="1134" w:type="dxa"/>
            <w:tcBorders>
              <w:top w:val="nil"/>
              <w:left w:val="nil"/>
              <w:bottom w:val="nil"/>
              <w:right w:val="single" w:sz="8" w:space="0" w:color="auto"/>
            </w:tcBorders>
            <w:shd w:val="clear" w:color="auto" w:fill="auto"/>
            <w:noWrap/>
            <w:vAlign w:val="center"/>
            <w:hideMark/>
          </w:tcPr>
          <w:p w:rsidR="0050393B" w:rsidRPr="00A82540" w:rsidRDefault="0050393B" w:rsidP="0050393B">
            <w:pPr>
              <w:jc w:val="right"/>
              <w:rPr>
                <w:sz w:val="22"/>
                <w:szCs w:val="20"/>
                <w:lang w:val="es-GT" w:eastAsia="es-GT"/>
              </w:rPr>
            </w:pPr>
            <w:r w:rsidRPr="00A82540">
              <w:rPr>
                <w:sz w:val="22"/>
                <w:szCs w:val="20"/>
                <w:lang w:val="es-GT" w:eastAsia="es-GT"/>
              </w:rPr>
              <w:t>51.5%</w:t>
            </w:r>
          </w:p>
        </w:tc>
      </w:tr>
      <w:tr w:rsidR="0050393B" w:rsidRPr="00493DEE" w:rsidTr="00390D05">
        <w:trPr>
          <w:trHeight w:val="300"/>
        </w:trPr>
        <w:tc>
          <w:tcPr>
            <w:tcW w:w="4465" w:type="dxa"/>
            <w:tcBorders>
              <w:top w:val="nil"/>
              <w:left w:val="single" w:sz="8" w:space="0" w:color="auto"/>
              <w:bottom w:val="nil"/>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Desarrollo Social</w:t>
            </w:r>
          </w:p>
        </w:tc>
        <w:tc>
          <w:tcPr>
            <w:tcW w:w="1275" w:type="dxa"/>
            <w:tcBorders>
              <w:top w:val="nil"/>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102.2</w:t>
            </w:r>
          </w:p>
        </w:tc>
        <w:tc>
          <w:tcPr>
            <w:tcW w:w="1154"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102.2</w:t>
            </w:r>
          </w:p>
        </w:tc>
        <w:tc>
          <w:tcPr>
            <w:tcW w:w="1256" w:type="dxa"/>
            <w:tcBorders>
              <w:top w:val="nil"/>
              <w:left w:val="nil"/>
              <w:bottom w:val="nil"/>
              <w:right w:val="single" w:sz="4"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0.0</w:t>
            </w:r>
          </w:p>
        </w:tc>
        <w:tc>
          <w:tcPr>
            <w:tcW w:w="1134" w:type="dxa"/>
            <w:tcBorders>
              <w:top w:val="nil"/>
              <w:left w:val="nil"/>
              <w:bottom w:val="nil"/>
              <w:right w:val="single" w:sz="8" w:space="0" w:color="auto"/>
            </w:tcBorders>
            <w:shd w:val="clear" w:color="auto" w:fill="auto"/>
            <w:noWrap/>
            <w:vAlign w:val="center"/>
            <w:hideMark/>
          </w:tcPr>
          <w:p w:rsidR="0050393B" w:rsidRPr="00A82540" w:rsidRDefault="0050393B" w:rsidP="0050393B">
            <w:pPr>
              <w:jc w:val="right"/>
              <w:rPr>
                <w:b/>
                <w:bCs/>
                <w:sz w:val="22"/>
                <w:szCs w:val="20"/>
                <w:lang w:val="es-GT" w:eastAsia="es-GT"/>
              </w:rPr>
            </w:pPr>
            <w:r w:rsidRPr="00A82540">
              <w:rPr>
                <w:b/>
                <w:bCs/>
                <w:sz w:val="22"/>
                <w:szCs w:val="20"/>
                <w:lang w:val="es-GT" w:eastAsia="es-GT"/>
              </w:rPr>
              <w:t>100.0%</w:t>
            </w:r>
          </w:p>
        </w:tc>
      </w:tr>
      <w:tr w:rsidR="0050393B" w:rsidRPr="00493DEE" w:rsidTr="00390D05">
        <w:trPr>
          <w:trHeight w:val="270"/>
        </w:trPr>
        <w:tc>
          <w:tcPr>
            <w:tcW w:w="4465" w:type="dxa"/>
            <w:tcBorders>
              <w:top w:val="nil"/>
              <w:left w:val="single" w:sz="8" w:space="0" w:color="auto"/>
              <w:bottom w:val="single" w:sz="8" w:space="0" w:color="auto"/>
              <w:right w:val="single" w:sz="4" w:space="0" w:color="auto"/>
            </w:tcBorders>
            <w:shd w:val="clear" w:color="auto" w:fill="auto"/>
            <w:noWrap/>
            <w:vAlign w:val="bottom"/>
            <w:hideMark/>
          </w:tcPr>
          <w:p w:rsidR="0050393B" w:rsidRPr="001E5ABB" w:rsidRDefault="0050393B" w:rsidP="0050393B">
            <w:pPr>
              <w:rPr>
                <w:sz w:val="22"/>
                <w:szCs w:val="20"/>
                <w:lang w:val="es-GT" w:eastAsia="es-GT"/>
              </w:rPr>
            </w:pPr>
            <w:r w:rsidRPr="001E5ABB">
              <w:rPr>
                <w:sz w:val="22"/>
                <w:szCs w:val="20"/>
                <w:lang w:val="es-GT" w:eastAsia="es-GT"/>
              </w:rPr>
              <w:t>Banco Internacional de Reconstrucción y Fomento</w:t>
            </w:r>
          </w:p>
        </w:tc>
        <w:tc>
          <w:tcPr>
            <w:tcW w:w="1275" w:type="dxa"/>
            <w:tcBorders>
              <w:top w:val="nil"/>
              <w:left w:val="nil"/>
              <w:bottom w:val="single" w:sz="8" w:space="0" w:color="auto"/>
              <w:right w:val="single" w:sz="4" w:space="0" w:color="auto"/>
            </w:tcBorders>
            <w:shd w:val="clear" w:color="auto" w:fill="auto"/>
            <w:noWrap/>
            <w:vAlign w:val="center"/>
            <w:hideMark/>
          </w:tcPr>
          <w:p w:rsidR="0050393B" w:rsidRPr="001E5ABB" w:rsidRDefault="0050393B" w:rsidP="0050393B">
            <w:pPr>
              <w:jc w:val="right"/>
              <w:rPr>
                <w:sz w:val="22"/>
                <w:szCs w:val="20"/>
                <w:lang w:val="es-GT" w:eastAsia="es-GT"/>
              </w:rPr>
            </w:pPr>
            <w:r w:rsidRPr="001E5ABB">
              <w:rPr>
                <w:sz w:val="22"/>
                <w:szCs w:val="20"/>
                <w:lang w:val="es-GT" w:eastAsia="es-GT"/>
              </w:rPr>
              <w:t>102.2</w:t>
            </w:r>
          </w:p>
        </w:tc>
        <w:tc>
          <w:tcPr>
            <w:tcW w:w="1154" w:type="dxa"/>
            <w:tcBorders>
              <w:top w:val="nil"/>
              <w:left w:val="nil"/>
              <w:bottom w:val="single" w:sz="8" w:space="0" w:color="auto"/>
              <w:right w:val="single" w:sz="4" w:space="0" w:color="auto"/>
            </w:tcBorders>
            <w:shd w:val="clear" w:color="auto" w:fill="auto"/>
            <w:noWrap/>
            <w:vAlign w:val="center"/>
            <w:hideMark/>
          </w:tcPr>
          <w:p w:rsidR="0050393B" w:rsidRPr="001E5ABB" w:rsidRDefault="0050393B" w:rsidP="0050393B">
            <w:pPr>
              <w:jc w:val="right"/>
              <w:rPr>
                <w:sz w:val="22"/>
                <w:szCs w:val="20"/>
                <w:lang w:val="es-GT" w:eastAsia="es-GT"/>
              </w:rPr>
            </w:pPr>
            <w:r w:rsidRPr="001E5ABB">
              <w:rPr>
                <w:sz w:val="22"/>
                <w:szCs w:val="20"/>
                <w:lang w:val="es-GT" w:eastAsia="es-GT"/>
              </w:rPr>
              <w:t>102.2</w:t>
            </w:r>
          </w:p>
        </w:tc>
        <w:tc>
          <w:tcPr>
            <w:tcW w:w="1256" w:type="dxa"/>
            <w:tcBorders>
              <w:top w:val="nil"/>
              <w:left w:val="nil"/>
              <w:bottom w:val="single" w:sz="8" w:space="0" w:color="auto"/>
              <w:right w:val="single" w:sz="4" w:space="0" w:color="auto"/>
            </w:tcBorders>
            <w:shd w:val="clear" w:color="auto" w:fill="auto"/>
            <w:noWrap/>
            <w:vAlign w:val="center"/>
            <w:hideMark/>
          </w:tcPr>
          <w:p w:rsidR="0050393B" w:rsidRPr="001E5ABB" w:rsidRDefault="0050393B" w:rsidP="0050393B">
            <w:pPr>
              <w:jc w:val="right"/>
              <w:rPr>
                <w:sz w:val="22"/>
                <w:szCs w:val="20"/>
                <w:lang w:val="es-GT" w:eastAsia="es-GT"/>
              </w:rPr>
            </w:pPr>
            <w:r w:rsidRPr="001E5ABB">
              <w:rPr>
                <w:sz w:val="22"/>
                <w:szCs w:val="20"/>
                <w:lang w:val="es-GT" w:eastAsia="es-GT"/>
              </w:rPr>
              <w:t>0.0</w:t>
            </w:r>
          </w:p>
        </w:tc>
        <w:tc>
          <w:tcPr>
            <w:tcW w:w="1134" w:type="dxa"/>
            <w:tcBorders>
              <w:top w:val="nil"/>
              <w:left w:val="nil"/>
              <w:bottom w:val="single" w:sz="8" w:space="0" w:color="auto"/>
              <w:right w:val="single" w:sz="8" w:space="0" w:color="auto"/>
            </w:tcBorders>
            <w:shd w:val="clear" w:color="auto" w:fill="auto"/>
            <w:noWrap/>
            <w:vAlign w:val="center"/>
            <w:hideMark/>
          </w:tcPr>
          <w:p w:rsidR="0050393B" w:rsidRPr="001E5ABB" w:rsidRDefault="0050393B" w:rsidP="0050393B">
            <w:pPr>
              <w:jc w:val="right"/>
              <w:rPr>
                <w:sz w:val="22"/>
                <w:szCs w:val="20"/>
                <w:lang w:val="es-GT" w:eastAsia="es-GT"/>
              </w:rPr>
            </w:pPr>
            <w:r w:rsidRPr="001E5ABB">
              <w:rPr>
                <w:sz w:val="22"/>
                <w:szCs w:val="20"/>
                <w:lang w:val="es-GT" w:eastAsia="es-GT"/>
              </w:rPr>
              <w:t>100.0%</w:t>
            </w:r>
          </w:p>
        </w:tc>
      </w:tr>
    </w:tbl>
    <w:p w:rsidR="0050393B" w:rsidRDefault="0050393B" w:rsidP="0050393B">
      <w:pPr>
        <w:jc w:val="both"/>
        <w:rPr>
          <w:sz w:val="18"/>
          <w:lang w:val="es-MX"/>
        </w:rPr>
      </w:pPr>
      <w:r w:rsidRPr="00CF5481">
        <w:rPr>
          <w:sz w:val="18"/>
          <w:lang w:val="es-MX"/>
        </w:rPr>
        <w:t>* Cifras preliminares.</w:t>
      </w:r>
    </w:p>
    <w:p w:rsidR="0050393B" w:rsidRPr="00CF5481" w:rsidRDefault="0050393B" w:rsidP="0050393B">
      <w:pPr>
        <w:jc w:val="both"/>
        <w:rPr>
          <w:sz w:val="18"/>
          <w:lang w:val="es-MX"/>
        </w:rPr>
      </w:pPr>
      <w:r>
        <w:rPr>
          <w:sz w:val="18"/>
          <w:lang w:val="es-MX"/>
        </w:rPr>
        <w:t xml:space="preserve">    </w:t>
      </w:r>
      <w:r w:rsidRPr="00CF5481">
        <w:rPr>
          <w:sz w:val="18"/>
          <w:lang w:val="es-MX"/>
        </w:rPr>
        <w:t>Fuente: Ministerio de Finanzas Públicas</w:t>
      </w:r>
      <w:r>
        <w:rPr>
          <w:sz w:val="18"/>
          <w:lang w:val="es-MX"/>
        </w:rPr>
        <w:t xml:space="preserve">, </w:t>
      </w:r>
      <w:r w:rsidRPr="00CF5481">
        <w:rPr>
          <w:sz w:val="18"/>
          <w:lang w:val="es-MX"/>
        </w:rPr>
        <w:t>SICOIN.</w:t>
      </w:r>
    </w:p>
    <w:p w:rsidR="0050393B" w:rsidRDefault="0050393B" w:rsidP="0050393B">
      <w:pPr>
        <w:jc w:val="both"/>
        <w:rPr>
          <w:sz w:val="18"/>
          <w:lang w:val="es-MX"/>
        </w:rPr>
      </w:pPr>
    </w:p>
    <w:p w:rsidR="00DB3B6D" w:rsidRDefault="00DB3B6D" w:rsidP="0050393B">
      <w:pPr>
        <w:jc w:val="both"/>
        <w:rPr>
          <w:sz w:val="18"/>
          <w:lang w:val="es-MX"/>
        </w:rPr>
      </w:pPr>
    </w:p>
    <w:p w:rsidR="0050393B" w:rsidRDefault="0050393B" w:rsidP="0050393B">
      <w:pPr>
        <w:jc w:val="both"/>
      </w:pPr>
      <w:r w:rsidRPr="00DD5276">
        <w:t>El Programa de Emergencia C</w:t>
      </w:r>
      <w:r w:rsidR="00DB3B6D">
        <w:t>OVID</w:t>
      </w:r>
      <w:r w:rsidRPr="00DD5276">
        <w:t xml:space="preserve">-19, </w:t>
      </w:r>
      <w:r>
        <w:t xml:space="preserve">es </w:t>
      </w:r>
      <w:r w:rsidRPr="00DD5276">
        <w:t xml:space="preserve">financiado con </w:t>
      </w:r>
      <w:r>
        <w:t xml:space="preserve">recursos de la </w:t>
      </w:r>
      <w:r w:rsidRPr="00DD5276">
        <w:t xml:space="preserve">fuente 52 </w:t>
      </w:r>
      <w:r>
        <w:t>“P</w:t>
      </w:r>
      <w:r w:rsidRPr="00DD5276">
        <w:t>réstamos externos</w:t>
      </w:r>
      <w:r>
        <w:t>”</w:t>
      </w:r>
      <w:r w:rsidRPr="00DD5276">
        <w:t xml:space="preserve"> por un monto de Q.</w:t>
      </w:r>
      <w:r>
        <w:t>369.8</w:t>
      </w:r>
      <w:r w:rsidRPr="00DD5276">
        <w:t xml:space="preserve"> millones, recursos que provienen del Banco Interamericano de Desarrollo</w:t>
      </w:r>
      <w:r>
        <w:t xml:space="preserve"> por un monto de </w:t>
      </w:r>
      <w:r w:rsidRPr="00DD5276">
        <w:t>Q.</w:t>
      </w:r>
      <w:r>
        <w:t>14.1</w:t>
      </w:r>
      <w:r w:rsidRPr="00DD5276">
        <w:t xml:space="preserve"> millones y Banco </w:t>
      </w:r>
      <w:r>
        <w:t>Internacional de Reconstrucción y Fomento</w:t>
      </w:r>
      <w:r w:rsidRPr="00DD5276">
        <w:t xml:space="preserve"> por un monto de Q.</w:t>
      </w:r>
      <w:r>
        <w:t>355.7</w:t>
      </w:r>
      <w:r w:rsidRPr="00DD5276">
        <w:t xml:space="preserve"> millones.</w:t>
      </w:r>
    </w:p>
    <w:p w:rsidR="0050393B" w:rsidRPr="00F22C67" w:rsidRDefault="0050393B" w:rsidP="0050393B">
      <w:pPr>
        <w:jc w:val="both"/>
      </w:pPr>
    </w:p>
    <w:p w:rsidR="0050393B" w:rsidRPr="00BF2057" w:rsidRDefault="0050393B" w:rsidP="0050393B">
      <w:pPr>
        <w:jc w:val="center"/>
        <w:rPr>
          <w:b/>
          <w:szCs w:val="22"/>
          <w:lang w:val="es-MX"/>
        </w:rPr>
      </w:pPr>
      <w:r w:rsidRPr="00BF2057">
        <w:rPr>
          <w:b/>
          <w:szCs w:val="22"/>
          <w:lang w:val="es-MX"/>
        </w:rPr>
        <w:t>Cuadro 1</w:t>
      </w:r>
      <w:r>
        <w:rPr>
          <w:b/>
          <w:szCs w:val="22"/>
          <w:lang w:val="es-MX"/>
        </w:rPr>
        <w:t>7</w:t>
      </w:r>
    </w:p>
    <w:p w:rsidR="0050393B" w:rsidRPr="00BF2057" w:rsidRDefault="0050393B" w:rsidP="0050393B">
      <w:pPr>
        <w:jc w:val="center"/>
        <w:rPr>
          <w:b/>
          <w:szCs w:val="22"/>
          <w:lang w:val="es-MX"/>
        </w:rPr>
      </w:pPr>
      <w:r w:rsidRPr="00BF2057">
        <w:rPr>
          <w:b/>
          <w:szCs w:val="22"/>
          <w:lang w:val="es-MX"/>
        </w:rPr>
        <w:t>Programa de Emergencia C</w:t>
      </w:r>
      <w:r w:rsidR="00DB3B6D">
        <w:rPr>
          <w:b/>
          <w:szCs w:val="22"/>
          <w:lang w:val="es-MX"/>
        </w:rPr>
        <w:t>OVID</w:t>
      </w:r>
      <w:r w:rsidRPr="00BF2057">
        <w:rPr>
          <w:b/>
          <w:szCs w:val="22"/>
          <w:lang w:val="es-MX"/>
        </w:rPr>
        <w:t>-19</w:t>
      </w:r>
      <w:r>
        <w:rPr>
          <w:b/>
          <w:szCs w:val="22"/>
          <w:lang w:val="es-MX"/>
        </w:rPr>
        <w:t xml:space="preserve"> por Organismo Financiero</w:t>
      </w:r>
    </w:p>
    <w:p w:rsidR="0050393B" w:rsidRPr="00BF2057" w:rsidRDefault="0050393B" w:rsidP="0050393B">
      <w:pPr>
        <w:jc w:val="center"/>
        <w:rPr>
          <w:b/>
          <w:szCs w:val="22"/>
          <w:lang w:val="es-MX"/>
        </w:rPr>
      </w:pPr>
      <w:r w:rsidRPr="00BF2057">
        <w:rPr>
          <w:b/>
          <w:szCs w:val="22"/>
          <w:lang w:val="es-MX"/>
        </w:rPr>
        <w:t>Al 30 de junio de 202</w:t>
      </w:r>
      <w:r>
        <w:rPr>
          <w:b/>
          <w:szCs w:val="22"/>
          <w:lang w:val="es-MX"/>
        </w:rPr>
        <w:t>1*</w:t>
      </w:r>
    </w:p>
    <w:p w:rsidR="0050393B" w:rsidRDefault="0050393B" w:rsidP="0050393B">
      <w:pPr>
        <w:jc w:val="center"/>
        <w:rPr>
          <w:rFonts w:ascii="Calibri" w:eastAsia="Calibri" w:hAnsi="Calibri"/>
          <w:sz w:val="20"/>
          <w:szCs w:val="20"/>
          <w:lang w:val="es-MX" w:eastAsia="es-MX"/>
        </w:rPr>
      </w:pPr>
      <w:r w:rsidRPr="00BF2057">
        <w:rPr>
          <w:b/>
          <w:szCs w:val="22"/>
          <w:lang w:val="es-MX"/>
        </w:rPr>
        <w:t>(Cifras en Millones de Quetzales)</w:t>
      </w:r>
      <w:r>
        <w:rPr>
          <w:lang w:val="es-MX"/>
        </w:rPr>
        <w:fldChar w:fldCharType="begin"/>
      </w:r>
      <w:r>
        <w:rPr>
          <w:lang w:val="es-MX"/>
        </w:rPr>
        <w:instrText xml:space="preserve"> LINK Excel.Sheet.12 "C:\\Users\\deefoper19\\Desktop\\BACKUP EMATUL\\Archivos Compartidos\\2020\\Excel\\Programa 94\\Gasto COVID Informe Medio Año.xlsx" "COVID por Organismo!F5C2:F9C6" \a \f 4 \h  \* MERGEFORMAT </w:instrText>
      </w:r>
      <w:r>
        <w:rPr>
          <w:lang w:val="es-MX"/>
        </w:rPr>
        <w:fldChar w:fldCharType="separate"/>
      </w:r>
    </w:p>
    <w:p w:rsidR="0050393B" w:rsidRPr="00CF5481" w:rsidRDefault="0050393B" w:rsidP="0050393B">
      <w:pPr>
        <w:jc w:val="both"/>
        <w:rPr>
          <w:sz w:val="18"/>
          <w:lang w:val="es-MX"/>
        </w:rPr>
      </w:pPr>
      <w:r>
        <w:rPr>
          <w:lang w:val="es-MX"/>
        </w:rPr>
        <w:fldChar w:fldCharType="end"/>
      </w:r>
    </w:p>
    <w:tbl>
      <w:tblPr>
        <w:tblW w:w="9284" w:type="dxa"/>
        <w:tblCellMar>
          <w:left w:w="70" w:type="dxa"/>
          <w:right w:w="70" w:type="dxa"/>
        </w:tblCellMar>
        <w:tblLook w:val="04A0" w:firstRow="1" w:lastRow="0" w:firstColumn="1" w:lastColumn="0" w:noHBand="0" w:noVBand="1"/>
      </w:tblPr>
      <w:tblGrid>
        <w:gridCol w:w="4039"/>
        <w:gridCol w:w="1418"/>
        <w:gridCol w:w="1276"/>
        <w:gridCol w:w="1397"/>
        <w:gridCol w:w="1154"/>
      </w:tblGrid>
      <w:tr w:rsidR="0050393B" w:rsidRPr="00493DEE" w:rsidTr="00390D05">
        <w:trPr>
          <w:trHeight w:val="375"/>
        </w:trPr>
        <w:tc>
          <w:tcPr>
            <w:tcW w:w="4039" w:type="dxa"/>
            <w:vMerge w:val="restart"/>
            <w:tcBorders>
              <w:top w:val="single" w:sz="8" w:space="0" w:color="auto"/>
              <w:left w:val="single" w:sz="8"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lang w:val="es-GT" w:eastAsia="es-GT"/>
              </w:rPr>
            </w:pPr>
            <w:r w:rsidRPr="00493DEE">
              <w:rPr>
                <w:b/>
                <w:bCs/>
                <w:lang w:val="es-GT" w:eastAsia="es-GT"/>
              </w:rPr>
              <w:t>Entidad</w:t>
            </w:r>
          </w:p>
        </w:tc>
        <w:tc>
          <w:tcPr>
            <w:tcW w:w="1418"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lang w:val="es-GT" w:eastAsia="es-GT"/>
              </w:rPr>
            </w:pPr>
            <w:r w:rsidRPr="00493DEE">
              <w:rPr>
                <w:b/>
                <w:bCs/>
                <w:lang w:val="es-GT" w:eastAsia="es-GT"/>
              </w:rPr>
              <w:t>Vigente</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lang w:val="es-GT" w:eastAsia="es-GT"/>
              </w:rPr>
            </w:pPr>
            <w:r w:rsidRPr="00493DEE">
              <w:rPr>
                <w:b/>
                <w:bCs/>
                <w:lang w:val="es-GT" w:eastAsia="es-GT"/>
              </w:rPr>
              <w:t>Ejecutado</w:t>
            </w:r>
          </w:p>
        </w:tc>
        <w:tc>
          <w:tcPr>
            <w:tcW w:w="1397" w:type="dxa"/>
            <w:vMerge w:val="restart"/>
            <w:tcBorders>
              <w:top w:val="single" w:sz="8" w:space="0" w:color="auto"/>
              <w:left w:val="single" w:sz="4" w:space="0" w:color="auto"/>
              <w:bottom w:val="single" w:sz="8" w:space="0" w:color="000000"/>
              <w:right w:val="single" w:sz="4" w:space="0" w:color="auto"/>
            </w:tcBorders>
            <w:shd w:val="clear" w:color="000000" w:fill="95B3D7"/>
            <w:vAlign w:val="center"/>
            <w:hideMark/>
          </w:tcPr>
          <w:p w:rsidR="0050393B" w:rsidRPr="00493DEE" w:rsidRDefault="0050393B" w:rsidP="0050393B">
            <w:pPr>
              <w:jc w:val="center"/>
              <w:rPr>
                <w:b/>
                <w:bCs/>
                <w:lang w:val="es-GT" w:eastAsia="es-GT"/>
              </w:rPr>
            </w:pPr>
            <w:r w:rsidRPr="00493DEE">
              <w:rPr>
                <w:b/>
                <w:bCs/>
                <w:lang w:val="es-GT" w:eastAsia="es-GT"/>
              </w:rPr>
              <w:t>Saldo por Devengar</w:t>
            </w:r>
          </w:p>
        </w:tc>
        <w:tc>
          <w:tcPr>
            <w:tcW w:w="1154" w:type="dxa"/>
            <w:vMerge w:val="restart"/>
            <w:tcBorders>
              <w:top w:val="single" w:sz="8" w:space="0" w:color="auto"/>
              <w:left w:val="single" w:sz="4" w:space="0" w:color="auto"/>
              <w:bottom w:val="single" w:sz="8" w:space="0" w:color="000000"/>
              <w:right w:val="single" w:sz="8" w:space="0" w:color="auto"/>
            </w:tcBorders>
            <w:shd w:val="clear" w:color="000000" w:fill="95B3D7"/>
            <w:vAlign w:val="center"/>
            <w:hideMark/>
          </w:tcPr>
          <w:p w:rsidR="0050393B" w:rsidRPr="00493DEE" w:rsidRDefault="0050393B" w:rsidP="0050393B">
            <w:pPr>
              <w:jc w:val="center"/>
              <w:rPr>
                <w:b/>
                <w:bCs/>
                <w:lang w:val="es-GT" w:eastAsia="es-GT"/>
              </w:rPr>
            </w:pPr>
            <w:r w:rsidRPr="00493DEE">
              <w:rPr>
                <w:b/>
                <w:bCs/>
                <w:lang w:val="es-GT" w:eastAsia="es-GT"/>
              </w:rPr>
              <w:t>% de Ejecución</w:t>
            </w:r>
          </w:p>
        </w:tc>
      </w:tr>
      <w:tr w:rsidR="0050393B" w:rsidRPr="00493DEE" w:rsidTr="00390D05">
        <w:trPr>
          <w:trHeight w:val="320"/>
        </w:trPr>
        <w:tc>
          <w:tcPr>
            <w:tcW w:w="4039" w:type="dxa"/>
            <w:vMerge/>
            <w:tcBorders>
              <w:top w:val="single" w:sz="8" w:space="0" w:color="auto"/>
              <w:left w:val="single" w:sz="8" w:space="0" w:color="auto"/>
              <w:bottom w:val="single" w:sz="8" w:space="0" w:color="000000"/>
              <w:right w:val="single" w:sz="4" w:space="0" w:color="auto"/>
            </w:tcBorders>
            <w:vAlign w:val="center"/>
            <w:hideMark/>
          </w:tcPr>
          <w:p w:rsidR="0050393B" w:rsidRPr="00493DEE" w:rsidRDefault="0050393B" w:rsidP="0050393B">
            <w:pPr>
              <w:rPr>
                <w:b/>
                <w:bCs/>
                <w:lang w:val="es-GT" w:eastAsia="es-GT"/>
              </w:rPr>
            </w:pPr>
          </w:p>
        </w:tc>
        <w:tc>
          <w:tcPr>
            <w:tcW w:w="1418"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lang w:val="es-GT" w:eastAsia="es-GT"/>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lang w:val="es-GT" w:eastAsia="es-GT"/>
              </w:rPr>
            </w:pPr>
          </w:p>
        </w:tc>
        <w:tc>
          <w:tcPr>
            <w:tcW w:w="1397" w:type="dxa"/>
            <w:vMerge/>
            <w:tcBorders>
              <w:top w:val="single" w:sz="8" w:space="0" w:color="auto"/>
              <w:left w:val="single" w:sz="4" w:space="0" w:color="auto"/>
              <w:bottom w:val="single" w:sz="8" w:space="0" w:color="000000"/>
              <w:right w:val="single" w:sz="4" w:space="0" w:color="auto"/>
            </w:tcBorders>
            <w:vAlign w:val="center"/>
            <w:hideMark/>
          </w:tcPr>
          <w:p w:rsidR="0050393B" w:rsidRPr="00493DEE" w:rsidRDefault="0050393B" w:rsidP="0050393B">
            <w:pPr>
              <w:rPr>
                <w:b/>
                <w:bCs/>
                <w:lang w:val="es-GT" w:eastAsia="es-GT"/>
              </w:rPr>
            </w:pPr>
          </w:p>
        </w:tc>
        <w:tc>
          <w:tcPr>
            <w:tcW w:w="1154" w:type="dxa"/>
            <w:vMerge/>
            <w:tcBorders>
              <w:top w:val="single" w:sz="8" w:space="0" w:color="auto"/>
              <w:left w:val="single" w:sz="4" w:space="0" w:color="auto"/>
              <w:bottom w:val="single" w:sz="8" w:space="0" w:color="000000"/>
              <w:right w:val="single" w:sz="8" w:space="0" w:color="auto"/>
            </w:tcBorders>
            <w:vAlign w:val="center"/>
            <w:hideMark/>
          </w:tcPr>
          <w:p w:rsidR="0050393B" w:rsidRPr="00493DEE" w:rsidRDefault="0050393B" w:rsidP="0050393B">
            <w:pPr>
              <w:rPr>
                <w:b/>
                <w:bCs/>
                <w:lang w:val="es-GT" w:eastAsia="es-GT"/>
              </w:rPr>
            </w:pPr>
          </w:p>
        </w:tc>
      </w:tr>
      <w:tr w:rsidR="0050393B" w:rsidRPr="00493DEE" w:rsidTr="00390D05">
        <w:trPr>
          <w:trHeight w:val="310"/>
        </w:trPr>
        <w:tc>
          <w:tcPr>
            <w:tcW w:w="4039" w:type="dxa"/>
            <w:tcBorders>
              <w:top w:val="single" w:sz="8" w:space="0" w:color="000000"/>
              <w:left w:val="single" w:sz="8" w:space="0" w:color="auto"/>
              <w:right w:val="single" w:sz="4" w:space="0" w:color="auto"/>
            </w:tcBorders>
            <w:shd w:val="clear" w:color="auto" w:fill="auto"/>
            <w:noWrap/>
            <w:vAlign w:val="bottom"/>
            <w:hideMark/>
          </w:tcPr>
          <w:p w:rsidR="0050393B" w:rsidRPr="00A82540" w:rsidRDefault="0050393B" w:rsidP="0050393B">
            <w:pPr>
              <w:jc w:val="center"/>
              <w:rPr>
                <w:b/>
                <w:bCs/>
                <w:sz w:val="22"/>
                <w:lang w:val="es-GT" w:eastAsia="es-GT"/>
              </w:rPr>
            </w:pPr>
            <w:r w:rsidRPr="00A82540">
              <w:rPr>
                <w:b/>
                <w:bCs/>
                <w:sz w:val="22"/>
                <w:lang w:val="es-GT" w:eastAsia="es-GT"/>
              </w:rPr>
              <w:t>TOTAL</w:t>
            </w:r>
          </w:p>
        </w:tc>
        <w:tc>
          <w:tcPr>
            <w:tcW w:w="1418" w:type="dxa"/>
            <w:tcBorders>
              <w:top w:val="single" w:sz="8" w:space="0" w:color="000000"/>
              <w:left w:val="single" w:sz="4" w:space="0" w:color="auto"/>
              <w:right w:val="single" w:sz="4" w:space="0" w:color="auto"/>
            </w:tcBorders>
            <w:shd w:val="clear" w:color="auto" w:fill="auto"/>
            <w:noWrap/>
            <w:vAlign w:val="center"/>
            <w:hideMark/>
          </w:tcPr>
          <w:p w:rsidR="0050393B" w:rsidRPr="00A82540" w:rsidRDefault="0050393B" w:rsidP="0050393B">
            <w:pPr>
              <w:jc w:val="right"/>
              <w:rPr>
                <w:b/>
                <w:bCs/>
                <w:sz w:val="22"/>
                <w:lang w:val="es-GT" w:eastAsia="es-GT"/>
              </w:rPr>
            </w:pPr>
            <w:r w:rsidRPr="00A82540">
              <w:rPr>
                <w:b/>
                <w:bCs/>
                <w:sz w:val="22"/>
                <w:lang w:val="es-GT" w:eastAsia="es-GT"/>
              </w:rPr>
              <w:t>369.8</w:t>
            </w:r>
          </w:p>
        </w:tc>
        <w:tc>
          <w:tcPr>
            <w:tcW w:w="1276" w:type="dxa"/>
            <w:tcBorders>
              <w:top w:val="single" w:sz="8" w:space="0" w:color="000000"/>
              <w:left w:val="nil"/>
              <w:right w:val="single" w:sz="4" w:space="0" w:color="auto"/>
            </w:tcBorders>
            <w:shd w:val="clear" w:color="auto" w:fill="auto"/>
            <w:noWrap/>
            <w:vAlign w:val="center"/>
            <w:hideMark/>
          </w:tcPr>
          <w:p w:rsidR="0050393B" w:rsidRPr="00A82540" w:rsidRDefault="0050393B" w:rsidP="0050393B">
            <w:pPr>
              <w:jc w:val="right"/>
              <w:rPr>
                <w:b/>
                <w:bCs/>
                <w:sz w:val="22"/>
                <w:lang w:val="es-GT" w:eastAsia="es-GT"/>
              </w:rPr>
            </w:pPr>
            <w:r w:rsidRPr="00A82540">
              <w:rPr>
                <w:b/>
                <w:bCs/>
                <w:sz w:val="22"/>
                <w:lang w:val="es-GT" w:eastAsia="es-GT"/>
              </w:rPr>
              <w:t>178.5</w:t>
            </w:r>
          </w:p>
        </w:tc>
        <w:tc>
          <w:tcPr>
            <w:tcW w:w="1397" w:type="dxa"/>
            <w:tcBorders>
              <w:top w:val="single" w:sz="8" w:space="0" w:color="000000"/>
              <w:left w:val="nil"/>
              <w:right w:val="single" w:sz="4" w:space="0" w:color="auto"/>
            </w:tcBorders>
            <w:shd w:val="clear" w:color="auto" w:fill="auto"/>
            <w:noWrap/>
            <w:vAlign w:val="center"/>
            <w:hideMark/>
          </w:tcPr>
          <w:p w:rsidR="0050393B" w:rsidRPr="00A82540" w:rsidRDefault="0050393B" w:rsidP="0050393B">
            <w:pPr>
              <w:jc w:val="right"/>
              <w:rPr>
                <w:b/>
                <w:bCs/>
                <w:sz w:val="22"/>
                <w:lang w:val="es-GT" w:eastAsia="es-GT"/>
              </w:rPr>
            </w:pPr>
            <w:r w:rsidRPr="00A82540">
              <w:rPr>
                <w:b/>
                <w:bCs/>
                <w:sz w:val="22"/>
                <w:lang w:val="es-GT" w:eastAsia="es-GT"/>
              </w:rPr>
              <w:t>191.3</w:t>
            </w:r>
          </w:p>
        </w:tc>
        <w:tc>
          <w:tcPr>
            <w:tcW w:w="1154" w:type="dxa"/>
            <w:tcBorders>
              <w:top w:val="single" w:sz="8" w:space="0" w:color="000000"/>
              <w:left w:val="single" w:sz="4" w:space="0" w:color="auto"/>
              <w:right w:val="single" w:sz="8" w:space="0" w:color="auto"/>
            </w:tcBorders>
            <w:shd w:val="clear" w:color="auto" w:fill="auto"/>
            <w:noWrap/>
            <w:vAlign w:val="center"/>
            <w:hideMark/>
          </w:tcPr>
          <w:p w:rsidR="0050393B" w:rsidRPr="00A82540" w:rsidRDefault="0050393B" w:rsidP="0050393B">
            <w:pPr>
              <w:jc w:val="right"/>
              <w:rPr>
                <w:b/>
                <w:bCs/>
                <w:sz w:val="22"/>
                <w:lang w:val="es-GT" w:eastAsia="es-GT"/>
              </w:rPr>
            </w:pPr>
            <w:r w:rsidRPr="00A82540">
              <w:rPr>
                <w:b/>
                <w:bCs/>
                <w:sz w:val="22"/>
                <w:lang w:val="es-GT" w:eastAsia="es-GT"/>
              </w:rPr>
              <w:t>48.3%</w:t>
            </w:r>
          </w:p>
        </w:tc>
      </w:tr>
      <w:tr w:rsidR="0050393B" w:rsidRPr="00493DEE" w:rsidTr="00390D05">
        <w:trPr>
          <w:trHeight w:val="310"/>
        </w:trPr>
        <w:tc>
          <w:tcPr>
            <w:tcW w:w="4039" w:type="dxa"/>
            <w:tcBorders>
              <w:left w:val="single" w:sz="8" w:space="0" w:color="auto"/>
              <w:bottom w:val="nil"/>
              <w:right w:val="single" w:sz="4" w:space="0" w:color="auto"/>
            </w:tcBorders>
            <w:shd w:val="clear" w:color="auto" w:fill="auto"/>
            <w:noWrap/>
            <w:vAlign w:val="bottom"/>
            <w:hideMark/>
          </w:tcPr>
          <w:p w:rsidR="0050393B" w:rsidRPr="00A82540" w:rsidRDefault="0050393B" w:rsidP="0050393B">
            <w:pPr>
              <w:rPr>
                <w:sz w:val="22"/>
                <w:lang w:val="es-GT" w:eastAsia="es-GT"/>
              </w:rPr>
            </w:pPr>
            <w:r w:rsidRPr="00A82540">
              <w:rPr>
                <w:sz w:val="22"/>
                <w:lang w:val="es-GT" w:eastAsia="es-GT"/>
              </w:rPr>
              <w:t>Banco Interamericano de Desarrollo</w:t>
            </w:r>
          </w:p>
        </w:tc>
        <w:tc>
          <w:tcPr>
            <w:tcW w:w="1418" w:type="dxa"/>
            <w:tcBorders>
              <w:left w:val="single" w:sz="4" w:space="0" w:color="auto"/>
              <w:bottom w:val="nil"/>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14.1</w:t>
            </w:r>
          </w:p>
        </w:tc>
        <w:tc>
          <w:tcPr>
            <w:tcW w:w="1276" w:type="dxa"/>
            <w:tcBorders>
              <w:left w:val="nil"/>
              <w:bottom w:val="nil"/>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0.0</w:t>
            </w:r>
          </w:p>
        </w:tc>
        <w:tc>
          <w:tcPr>
            <w:tcW w:w="1397" w:type="dxa"/>
            <w:tcBorders>
              <w:left w:val="nil"/>
              <w:bottom w:val="nil"/>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14.1</w:t>
            </w:r>
          </w:p>
        </w:tc>
        <w:tc>
          <w:tcPr>
            <w:tcW w:w="1154" w:type="dxa"/>
            <w:tcBorders>
              <w:left w:val="nil"/>
              <w:bottom w:val="nil"/>
              <w:right w:val="single" w:sz="8"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0.0%</w:t>
            </w:r>
          </w:p>
        </w:tc>
      </w:tr>
      <w:tr w:rsidR="0050393B" w:rsidRPr="00493DEE" w:rsidTr="00390D05">
        <w:trPr>
          <w:trHeight w:val="640"/>
        </w:trPr>
        <w:tc>
          <w:tcPr>
            <w:tcW w:w="4039" w:type="dxa"/>
            <w:tcBorders>
              <w:top w:val="nil"/>
              <w:left w:val="single" w:sz="8" w:space="0" w:color="auto"/>
              <w:bottom w:val="single" w:sz="8" w:space="0" w:color="auto"/>
              <w:right w:val="single" w:sz="4" w:space="0" w:color="auto"/>
            </w:tcBorders>
            <w:shd w:val="clear" w:color="auto" w:fill="auto"/>
            <w:hideMark/>
          </w:tcPr>
          <w:p w:rsidR="0050393B" w:rsidRPr="00A82540" w:rsidRDefault="0050393B" w:rsidP="0050393B">
            <w:pPr>
              <w:rPr>
                <w:sz w:val="22"/>
                <w:lang w:val="es-GT" w:eastAsia="es-GT"/>
              </w:rPr>
            </w:pPr>
            <w:r w:rsidRPr="00A82540">
              <w:rPr>
                <w:sz w:val="22"/>
                <w:lang w:val="es-GT" w:eastAsia="es-GT"/>
              </w:rPr>
              <w:t>Banco Internacional de Reconstrucción y Fomento</w:t>
            </w:r>
          </w:p>
        </w:tc>
        <w:tc>
          <w:tcPr>
            <w:tcW w:w="1418" w:type="dxa"/>
            <w:tcBorders>
              <w:top w:val="nil"/>
              <w:left w:val="nil"/>
              <w:bottom w:val="single" w:sz="8" w:space="0" w:color="auto"/>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355.7</w:t>
            </w:r>
          </w:p>
        </w:tc>
        <w:tc>
          <w:tcPr>
            <w:tcW w:w="1276" w:type="dxa"/>
            <w:tcBorders>
              <w:top w:val="nil"/>
              <w:left w:val="nil"/>
              <w:bottom w:val="single" w:sz="8" w:space="0" w:color="auto"/>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178.5</w:t>
            </w:r>
          </w:p>
        </w:tc>
        <w:tc>
          <w:tcPr>
            <w:tcW w:w="1397" w:type="dxa"/>
            <w:tcBorders>
              <w:top w:val="nil"/>
              <w:left w:val="nil"/>
              <w:bottom w:val="single" w:sz="8" w:space="0" w:color="auto"/>
              <w:right w:val="single" w:sz="4"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177.2</w:t>
            </w:r>
          </w:p>
        </w:tc>
        <w:tc>
          <w:tcPr>
            <w:tcW w:w="1154" w:type="dxa"/>
            <w:tcBorders>
              <w:top w:val="nil"/>
              <w:left w:val="nil"/>
              <w:bottom w:val="single" w:sz="8" w:space="0" w:color="auto"/>
              <w:right w:val="single" w:sz="8" w:space="0" w:color="auto"/>
            </w:tcBorders>
            <w:shd w:val="clear" w:color="auto" w:fill="auto"/>
            <w:noWrap/>
            <w:vAlign w:val="center"/>
            <w:hideMark/>
          </w:tcPr>
          <w:p w:rsidR="0050393B" w:rsidRPr="00A82540" w:rsidRDefault="0050393B" w:rsidP="0050393B">
            <w:pPr>
              <w:jc w:val="right"/>
              <w:rPr>
                <w:sz w:val="22"/>
                <w:lang w:val="es-GT" w:eastAsia="es-GT"/>
              </w:rPr>
            </w:pPr>
            <w:r w:rsidRPr="00A82540">
              <w:rPr>
                <w:sz w:val="22"/>
                <w:lang w:val="es-GT" w:eastAsia="es-GT"/>
              </w:rPr>
              <w:t>50.2%</w:t>
            </w:r>
          </w:p>
        </w:tc>
      </w:tr>
    </w:tbl>
    <w:p w:rsidR="0050393B" w:rsidRDefault="0050393B" w:rsidP="0050393B">
      <w:pPr>
        <w:jc w:val="both"/>
        <w:rPr>
          <w:sz w:val="18"/>
          <w:lang w:val="es-MX"/>
        </w:rPr>
      </w:pPr>
      <w:r w:rsidRPr="00CF5481">
        <w:rPr>
          <w:sz w:val="18"/>
          <w:lang w:val="es-MX"/>
        </w:rPr>
        <w:t>* Cifras preliminares.</w:t>
      </w:r>
    </w:p>
    <w:p w:rsidR="0050393B" w:rsidRPr="00CF5481" w:rsidRDefault="0050393B" w:rsidP="0050393B">
      <w:pPr>
        <w:jc w:val="both"/>
        <w:rPr>
          <w:sz w:val="18"/>
          <w:lang w:val="es-MX"/>
        </w:rPr>
      </w:pPr>
      <w:r>
        <w:rPr>
          <w:sz w:val="18"/>
          <w:lang w:val="es-MX"/>
        </w:rPr>
        <w:t xml:space="preserve">   </w:t>
      </w:r>
      <w:r w:rsidRPr="00CF5481">
        <w:rPr>
          <w:sz w:val="18"/>
          <w:lang w:val="es-MX"/>
        </w:rPr>
        <w:t>Fuente: Ministerio de Finanzas Públicas</w:t>
      </w:r>
      <w:r>
        <w:rPr>
          <w:sz w:val="18"/>
          <w:lang w:val="es-MX"/>
        </w:rPr>
        <w:t>,</w:t>
      </w:r>
      <w:r w:rsidRPr="00CF5481">
        <w:rPr>
          <w:sz w:val="18"/>
          <w:lang w:val="es-MX"/>
        </w:rPr>
        <w:t xml:space="preserve"> SICOIN.</w:t>
      </w:r>
    </w:p>
    <w:p w:rsidR="0050393B" w:rsidRDefault="0050393B" w:rsidP="0050393B">
      <w:pPr>
        <w:jc w:val="both"/>
        <w:rPr>
          <w:sz w:val="18"/>
          <w:lang w:val="es-MX"/>
        </w:rPr>
      </w:pPr>
    </w:p>
    <w:p w:rsidR="0050393B" w:rsidRDefault="0050393B" w:rsidP="0050393B">
      <w:pPr>
        <w:jc w:val="both"/>
        <w:rPr>
          <w:sz w:val="18"/>
          <w:lang w:val="es-MX"/>
        </w:rPr>
      </w:pPr>
    </w:p>
    <w:p w:rsidR="0050393B" w:rsidRPr="005E55DE" w:rsidRDefault="0050393B" w:rsidP="004C636B">
      <w:pPr>
        <w:pStyle w:val="Ttulo3"/>
        <w:numPr>
          <w:ilvl w:val="0"/>
          <w:numId w:val="7"/>
        </w:numPr>
        <w:ind w:left="426"/>
        <w:rPr>
          <w:rFonts w:ascii="Times New Roman" w:hAnsi="Times New Roman"/>
          <w:color w:val="auto"/>
          <w:lang w:val="es-MX"/>
        </w:rPr>
      </w:pPr>
      <w:bookmarkStart w:id="24" w:name="_Toc83713632"/>
      <w:r w:rsidRPr="005E55DE">
        <w:rPr>
          <w:rFonts w:ascii="Times New Roman" w:hAnsi="Times New Roman"/>
          <w:color w:val="auto"/>
          <w:lang w:val="es-MX"/>
        </w:rPr>
        <w:t>Déficit Fiscal</w:t>
      </w:r>
      <w:bookmarkEnd w:id="24"/>
    </w:p>
    <w:p w:rsidR="0050393B" w:rsidRPr="00FB641E" w:rsidRDefault="0050393B" w:rsidP="0050393B">
      <w:pPr>
        <w:jc w:val="both"/>
        <w:rPr>
          <w:lang w:val="es-MX"/>
        </w:rPr>
      </w:pPr>
    </w:p>
    <w:p w:rsidR="0050393B" w:rsidRPr="00FB641E" w:rsidRDefault="0050393B" w:rsidP="0050393B">
      <w:pPr>
        <w:jc w:val="both"/>
        <w:rPr>
          <w:lang w:val="es-MX"/>
        </w:rPr>
      </w:pPr>
      <w:r>
        <w:rPr>
          <w:lang w:val="es-MX"/>
        </w:rPr>
        <w:t xml:space="preserve">La Política General de Gobierno 2020-2024 </w:t>
      </w:r>
      <w:r w:rsidRPr="00CD2CCE">
        <w:rPr>
          <w:lang w:val="es-MX"/>
        </w:rPr>
        <w:t>parte del análisis de la situación</w:t>
      </w:r>
      <w:r>
        <w:rPr>
          <w:lang w:val="es-MX"/>
        </w:rPr>
        <w:t xml:space="preserve"> </w:t>
      </w:r>
      <w:r w:rsidRPr="00CD2CCE">
        <w:rPr>
          <w:lang w:val="es-MX"/>
        </w:rPr>
        <w:t>sociopolítica y económica actual</w:t>
      </w:r>
      <w:r>
        <w:rPr>
          <w:lang w:val="es-MX"/>
        </w:rPr>
        <w:t xml:space="preserve">, proponiendo </w:t>
      </w:r>
      <w:r w:rsidRPr="00CD2CCE">
        <w:rPr>
          <w:lang w:val="es-MX"/>
        </w:rPr>
        <w:t>enfrentar</w:t>
      </w:r>
      <w:r>
        <w:rPr>
          <w:lang w:val="es-MX"/>
        </w:rPr>
        <w:t xml:space="preserve"> </w:t>
      </w:r>
      <w:r w:rsidRPr="00CD2CCE">
        <w:rPr>
          <w:lang w:val="es-MX"/>
        </w:rPr>
        <w:t>y solucionar problemas como la corrupción, la</w:t>
      </w:r>
      <w:r>
        <w:rPr>
          <w:lang w:val="es-MX"/>
        </w:rPr>
        <w:t xml:space="preserve"> </w:t>
      </w:r>
      <w:r w:rsidRPr="00CD2CCE">
        <w:rPr>
          <w:lang w:val="es-MX"/>
        </w:rPr>
        <w:t>violencia, la agudización de la pobreza, la debilidad</w:t>
      </w:r>
      <w:r>
        <w:rPr>
          <w:lang w:val="es-MX"/>
        </w:rPr>
        <w:t xml:space="preserve"> </w:t>
      </w:r>
      <w:r w:rsidRPr="00CD2CCE">
        <w:rPr>
          <w:lang w:val="es-MX"/>
        </w:rPr>
        <w:t>institucional</w:t>
      </w:r>
      <w:r>
        <w:rPr>
          <w:lang w:val="es-MX"/>
        </w:rPr>
        <w:t xml:space="preserve"> y</w:t>
      </w:r>
      <w:r w:rsidRPr="00CD2CCE">
        <w:rPr>
          <w:lang w:val="es-MX"/>
        </w:rPr>
        <w:t xml:space="preserve"> la ineficacia del Estado</w:t>
      </w:r>
      <w:r w:rsidR="00390D05">
        <w:rPr>
          <w:lang w:val="es-MX"/>
        </w:rPr>
        <w:t>;</w:t>
      </w:r>
      <w:r>
        <w:rPr>
          <w:lang w:val="es-MX"/>
        </w:rPr>
        <w:t xml:space="preserve"> todo esto</w:t>
      </w:r>
      <w:r w:rsidRPr="00CD2CCE">
        <w:rPr>
          <w:lang w:val="es-MX"/>
        </w:rPr>
        <w:t xml:space="preserve"> para garantizar el</w:t>
      </w:r>
      <w:r>
        <w:rPr>
          <w:lang w:val="es-MX"/>
        </w:rPr>
        <w:t xml:space="preserve"> </w:t>
      </w:r>
      <w:r w:rsidRPr="00CD2CCE">
        <w:rPr>
          <w:lang w:val="es-MX"/>
        </w:rPr>
        <w:t>ejercicio de los derechos humanos</w:t>
      </w:r>
      <w:r>
        <w:rPr>
          <w:lang w:val="es-MX"/>
        </w:rPr>
        <w:t xml:space="preserve"> y contribuir al desarrollo económico y social de la nación. Congruente con dichos objetivos, </w:t>
      </w:r>
      <w:r w:rsidRPr="001F2900">
        <w:rPr>
          <w:lang w:val="es-MX"/>
        </w:rPr>
        <w:t>la política fiscal</w:t>
      </w:r>
      <w:r>
        <w:rPr>
          <w:lang w:val="es-MX"/>
        </w:rPr>
        <w:t xml:space="preserve"> persigue</w:t>
      </w:r>
      <w:r w:rsidRPr="001F2900">
        <w:rPr>
          <w:lang w:val="es-MX"/>
        </w:rPr>
        <w:t xml:space="preserve"> elevar </w:t>
      </w:r>
      <w:r>
        <w:rPr>
          <w:lang w:val="es-MX"/>
        </w:rPr>
        <w:t>el nivel de</w:t>
      </w:r>
      <w:r w:rsidRPr="001F2900">
        <w:rPr>
          <w:lang w:val="es-MX"/>
        </w:rPr>
        <w:t xml:space="preserve"> recaudación de los ingresos tributarios</w:t>
      </w:r>
      <w:r>
        <w:rPr>
          <w:lang w:val="es-MX"/>
        </w:rPr>
        <w:t>;</w:t>
      </w:r>
      <w:r w:rsidRPr="001F2900">
        <w:rPr>
          <w:lang w:val="es-MX"/>
        </w:rPr>
        <w:t xml:space="preserve"> combatir la evasión</w:t>
      </w:r>
      <w:r>
        <w:rPr>
          <w:lang w:val="es-MX"/>
        </w:rPr>
        <w:t>, elusión</w:t>
      </w:r>
      <w:r w:rsidRPr="001F2900">
        <w:rPr>
          <w:lang w:val="es-MX"/>
        </w:rPr>
        <w:t xml:space="preserve"> y contrabando aduanero</w:t>
      </w:r>
      <w:r>
        <w:rPr>
          <w:lang w:val="es-MX"/>
        </w:rPr>
        <w:t>;</w:t>
      </w:r>
      <w:r w:rsidRPr="001F2900">
        <w:rPr>
          <w:lang w:val="es-MX"/>
        </w:rPr>
        <w:t xml:space="preserve"> lograr la sostenibilidad de los niveles de endeudamiento</w:t>
      </w:r>
      <w:r>
        <w:rPr>
          <w:lang w:val="es-MX"/>
        </w:rPr>
        <w:t>;</w:t>
      </w:r>
      <w:r w:rsidRPr="001F2900">
        <w:rPr>
          <w:lang w:val="es-MX"/>
        </w:rPr>
        <w:t xml:space="preserve"> así como alcanzar la transparencia y calidad del gasto público, </w:t>
      </w:r>
      <w:r>
        <w:rPr>
          <w:lang w:val="es-MX"/>
        </w:rPr>
        <w:t xml:space="preserve">asignando los recursos presupuestarios en </w:t>
      </w:r>
      <w:r w:rsidR="00390D05">
        <w:rPr>
          <w:lang w:val="es-MX"/>
        </w:rPr>
        <w:t xml:space="preserve">los </w:t>
      </w:r>
      <w:r>
        <w:rPr>
          <w:lang w:val="es-MX"/>
        </w:rPr>
        <w:t xml:space="preserve">sectores prioritarios como educación, salud, seguridad interna y vivienda, </w:t>
      </w:r>
      <w:r w:rsidRPr="001F2900">
        <w:rPr>
          <w:lang w:val="es-MX"/>
        </w:rPr>
        <w:t xml:space="preserve">enfocados en el logro de </w:t>
      </w:r>
      <w:r>
        <w:rPr>
          <w:lang w:val="es-MX"/>
        </w:rPr>
        <w:t xml:space="preserve">metas y </w:t>
      </w:r>
      <w:r w:rsidRPr="001F2900">
        <w:rPr>
          <w:lang w:val="es-MX"/>
        </w:rPr>
        <w:t xml:space="preserve">resultados </w:t>
      </w:r>
      <w:r>
        <w:rPr>
          <w:lang w:val="es-MX"/>
        </w:rPr>
        <w:t>que impacten en un mayor número de personas de la sociedad guatemalteca.</w:t>
      </w:r>
    </w:p>
    <w:p w:rsidR="0050393B" w:rsidRDefault="0050393B" w:rsidP="0050393B">
      <w:pPr>
        <w:jc w:val="both"/>
        <w:rPr>
          <w:lang w:val="es-MX"/>
        </w:rPr>
      </w:pPr>
    </w:p>
    <w:p w:rsidR="0050393B" w:rsidRDefault="0050393B" w:rsidP="0050393B">
      <w:pPr>
        <w:jc w:val="both"/>
        <w:rPr>
          <w:lang w:val="es-MX"/>
        </w:rPr>
      </w:pPr>
      <w:r>
        <w:rPr>
          <w:lang w:val="es-MX"/>
        </w:rPr>
        <w:t>Para el primer semestre del presente año el resultado presupuestario muestra un déficit de 1.6% equivalente a Q.1,903.1 millones, según el presupuesto vigente al final del ejercicio el resultado presupuestario será un déficit de Q.35,114.0 millones</w:t>
      </w:r>
      <w:r w:rsidR="00390D05">
        <w:rPr>
          <w:lang w:val="es-MX"/>
        </w:rPr>
        <w:t>.</w:t>
      </w:r>
    </w:p>
    <w:p w:rsidR="00C77E15" w:rsidRDefault="00C77E15" w:rsidP="0050393B">
      <w:pPr>
        <w:rPr>
          <w:b/>
          <w:sz w:val="22"/>
          <w:lang w:val="es-MX"/>
        </w:rPr>
      </w:pPr>
    </w:p>
    <w:p w:rsidR="0050393B" w:rsidRPr="00D11334" w:rsidRDefault="0050393B" w:rsidP="0050393B">
      <w:pPr>
        <w:jc w:val="center"/>
        <w:rPr>
          <w:b/>
          <w:lang w:val="es-MX"/>
        </w:rPr>
      </w:pPr>
      <w:r w:rsidRPr="00D11334">
        <w:rPr>
          <w:b/>
          <w:lang w:val="es-MX"/>
        </w:rPr>
        <w:t>Gráfica 1</w:t>
      </w:r>
      <w:r w:rsidR="00A249D5">
        <w:rPr>
          <w:b/>
          <w:lang w:val="es-MX"/>
        </w:rPr>
        <w:t>4</w:t>
      </w:r>
    </w:p>
    <w:p w:rsidR="0050393B" w:rsidRPr="00D11334" w:rsidRDefault="0050393B" w:rsidP="0050393B">
      <w:pPr>
        <w:jc w:val="center"/>
        <w:rPr>
          <w:b/>
          <w:szCs w:val="22"/>
          <w:lang w:val="es-MX"/>
        </w:rPr>
      </w:pPr>
      <w:r>
        <w:rPr>
          <w:b/>
          <w:szCs w:val="22"/>
          <w:lang w:val="es-MX"/>
        </w:rPr>
        <w:t>Resultado Presupuestario</w:t>
      </w:r>
    </w:p>
    <w:p w:rsidR="0050393B" w:rsidRPr="00D11334" w:rsidRDefault="0050393B" w:rsidP="0050393B">
      <w:pPr>
        <w:jc w:val="center"/>
        <w:rPr>
          <w:b/>
          <w:szCs w:val="22"/>
          <w:lang w:val="es-MX"/>
        </w:rPr>
      </w:pPr>
      <w:r w:rsidRPr="00D11334">
        <w:rPr>
          <w:b/>
          <w:szCs w:val="22"/>
          <w:lang w:val="es-MX"/>
        </w:rPr>
        <w:t>Al 30 de junio de cada año</w:t>
      </w:r>
      <w:r>
        <w:rPr>
          <w:b/>
          <w:szCs w:val="22"/>
          <w:lang w:val="es-MX"/>
        </w:rPr>
        <w:t>*</w:t>
      </w:r>
    </w:p>
    <w:p w:rsidR="0050393B" w:rsidRPr="00D11334" w:rsidRDefault="0050393B" w:rsidP="0050393B">
      <w:pPr>
        <w:jc w:val="center"/>
        <w:rPr>
          <w:b/>
          <w:szCs w:val="22"/>
          <w:lang w:val="es-MX"/>
        </w:rPr>
      </w:pPr>
      <w:r w:rsidRPr="00D11334">
        <w:rPr>
          <w:b/>
          <w:szCs w:val="22"/>
          <w:lang w:val="es-MX"/>
        </w:rPr>
        <w:t>(Cifras en Millones de Quetzales y Porcentajes del PIB)</w:t>
      </w:r>
    </w:p>
    <w:p w:rsidR="0050393B" w:rsidRPr="009469D4" w:rsidRDefault="0050393B" w:rsidP="0050393B">
      <w:pPr>
        <w:jc w:val="center"/>
        <w:rPr>
          <w:lang w:val="es-MX"/>
        </w:rPr>
      </w:pPr>
      <w:r>
        <w:rPr>
          <w:noProof/>
          <w:lang w:val="es-GT" w:eastAsia="es-GT"/>
        </w:rPr>
        <w:drawing>
          <wp:inline distT="0" distB="0" distL="0" distR="0" wp14:anchorId="7CAC944C" wp14:editId="03C217A2">
            <wp:extent cx="5762625" cy="3867150"/>
            <wp:effectExtent l="0" t="0" r="9525" b="19050"/>
            <wp:docPr id="17" name="Gráfico 17">
              <a:extLst xmlns:a="http://schemas.openxmlformats.org/drawingml/2006/main">
                <a:ext uri="{FF2B5EF4-FFF2-40B4-BE49-F238E27FC236}">
                  <a16:creationId xmlns:a16="http://schemas.microsoft.com/office/drawing/2014/main" id="{8CEBD403-5276-4FE2-A2BE-E30AC9C14C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0393B" w:rsidRDefault="0050393B" w:rsidP="0050393B">
      <w:pPr>
        <w:jc w:val="both"/>
        <w:rPr>
          <w:sz w:val="18"/>
          <w:lang w:val="es-MX"/>
        </w:rPr>
      </w:pPr>
      <w:r w:rsidRPr="001F107D">
        <w:rPr>
          <w:sz w:val="18"/>
          <w:lang w:val="es-MX"/>
        </w:rPr>
        <w:t xml:space="preserve">* </w:t>
      </w:r>
      <w:r>
        <w:rPr>
          <w:sz w:val="18"/>
          <w:lang w:val="es-MX"/>
        </w:rPr>
        <w:t>Para 2021, cifras preliminares</w:t>
      </w:r>
    </w:p>
    <w:p w:rsidR="0050393B" w:rsidRPr="001F107D" w:rsidRDefault="0050393B" w:rsidP="0050393B">
      <w:pPr>
        <w:jc w:val="both"/>
        <w:rPr>
          <w:sz w:val="18"/>
          <w:lang w:val="es-MX"/>
        </w:rPr>
      </w:pPr>
      <w:r w:rsidRPr="001F107D">
        <w:rPr>
          <w:sz w:val="18"/>
          <w:lang w:val="es-MX"/>
        </w:rPr>
        <w:t xml:space="preserve">   Fuente: Ministerio de Finanzas Públicas con base al SICOIN.</w:t>
      </w:r>
    </w:p>
    <w:p w:rsidR="0050393B" w:rsidRPr="001F107D" w:rsidRDefault="0050393B" w:rsidP="0050393B">
      <w:pPr>
        <w:jc w:val="both"/>
        <w:rPr>
          <w:sz w:val="18"/>
          <w:lang w:val="es-MX"/>
        </w:rPr>
      </w:pPr>
    </w:p>
    <w:p w:rsidR="0050393B" w:rsidRPr="00446DA9" w:rsidRDefault="0050393B" w:rsidP="0050393B">
      <w:pPr>
        <w:jc w:val="center"/>
        <w:rPr>
          <w:b/>
          <w:szCs w:val="20"/>
          <w:lang w:val="es-MX"/>
        </w:rPr>
      </w:pPr>
      <w:r w:rsidRPr="00446DA9">
        <w:rPr>
          <w:b/>
          <w:szCs w:val="20"/>
          <w:lang w:val="es-MX"/>
        </w:rPr>
        <w:t>Cuadro 18</w:t>
      </w:r>
    </w:p>
    <w:p w:rsidR="0050393B" w:rsidRPr="00446DA9" w:rsidRDefault="0050393B" w:rsidP="0050393B">
      <w:pPr>
        <w:jc w:val="center"/>
        <w:rPr>
          <w:b/>
          <w:szCs w:val="20"/>
          <w:lang w:val="es-MX"/>
        </w:rPr>
      </w:pPr>
      <w:r w:rsidRPr="00446DA9">
        <w:rPr>
          <w:b/>
          <w:szCs w:val="20"/>
          <w:lang w:val="es-MX"/>
        </w:rPr>
        <w:t>Situación Financiera de la Administración Central</w:t>
      </w:r>
    </w:p>
    <w:p w:rsidR="0050393B" w:rsidRPr="00446DA9" w:rsidRDefault="0050393B" w:rsidP="0050393B">
      <w:pPr>
        <w:jc w:val="center"/>
        <w:rPr>
          <w:b/>
          <w:szCs w:val="20"/>
          <w:lang w:val="es-MX"/>
        </w:rPr>
      </w:pPr>
      <w:r w:rsidRPr="00446DA9">
        <w:rPr>
          <w:b/>
          <w:szCs w:val="20"/>
          <w:lang w:val="es-MX"/>
        </w:rPr>
        <w:t>Al 30 de junio de 2021</w:t>
      </w:r>
    </w:p>
    <w:p w:rsidR="0050393B" w:rsidRPr="00446DA9" w:rsidRDefault="0050393B" w:rsidP="0050393B">
      <w:pPr>
        <w:jc w:val="center"/>
        <w:rPr>
          <w:szCs w:val="20"/>
          <w:lang w:val="es-MX"/>
        </w:rPr>
      </w:pPr>
      <w:r w:rsidRPr="00446DA9">
        <w:rPr>
          <w:b/>
          <w:szCs w:val="20"/>
          <w:lang w:val="es-MX"/>
        </w:rPr>
        <w:t>(Cifras en Millones de Quetzales)</w:t>
      </w:r>
    </w:p>
    <w:tbl>
      <w:tblPr>
        <w:tblW w:w="9284" w:type="dxa"/>
        <w:tblCellMar>
          <w:left w:w="70" w:type="dxa"/>
          <w:right w:w="70" w:type="dxa"/>
        </w:tblCellMar>
        <w:tblLook w:val="04A0" w:firstRow="1" w:lastRow="0" w:firstColumn="1" w:lastColumn="0" w:noHBand="0" w:noVBand="1"/>
      </w:tblPr>
      <w:tblGrid>
        <w:gridCol w:w="4606"/>
        <w:gridCol w:w="1843"/>
        <w:gridCol w:w="1418"/>
        <w:gridCol w:w="1417"/>
      </w:tblGrid>
      <w:tr w:rsidR="0050393B" w:rsidRPr="00B707D6" w:rsidTr="00446DA9">
        <w:trPr>
          <w:trHeight w:val="420"/>
        </w:trPr>
        <w:tc>
          <w:tcPr>
            <w:tcW w:w="4606" w:type="dxa"/>
            <w:tcBorders>
              <w:top w:val="single" w:sz="8" w:space="0" w:color="auto"/>
              <w:left w:val="nil"/>
              <w:bottom w:val="single" w:sz="8" w:space="0" w:color="auto"/>
              <w:right w:val="nil"/>
            </w:tcBorders>
            <w:shd w:val="clear" w:color="000000" w:fill="95B3D7"/>
            <w:noWrap/>
            <w:vAlign w:val="center"/>
            <w:hideMark/>
          </w:tcPr>
          <w:p w:rsidR="0050393B" w:rsidRPr="006D3A03" w:rsidRDefault="0050393B" w:rsidP="0050393B">
            <w:pPr>
              <w:jc w:val="center"/>
              <w:rPr>
                <w:b/>
                <w:bCs/>
                <w:sz w:val="22"/>
                <w:szCs w:val="18"/>
                <w:lang w:val="es-GT" w:eastAsia="es-GT"/>
              </w:rPr>
            </w:pPr>
            <w:r w:rsidRPr="006D3A03">
              <w:rPr>
                <w:b/>
                <w:bCs/>
                <w:sz w:val="22"/>
                <w:szCs w:val="18"/>
                <w:lang w:val="es-GT" w:eastAsia="es-GT"/>
              </w:rPr>
              <w:t>Concepto</w:t>
            </w:r>
          </w:p>
        </w:tc>
        <w:tc>
          <w:tcPr>
            <w:tcW w:w="1843" w:type="dxa"/>
            <w:tcBorders>
              <w:top w:val="single" w:sz="8" w:space="0" w:color="auto"/>
              <w:left w:val="nil"/>
              <w:bottom w:val="single" w:sz="8" w:space="0" w:color="auto"/>
              <w:right w:val="nil"/>
            </w:tcBorders>
            <w:shd w:val="clear" w:color="000000" w:fill="95B3D7"/>
            <w:vAlign w:val="center"/>
            <w:hideMark/>
          </w:tcPr>
          <w:p w:rsidR="0050393B" w:rsidRPr="006D3A03" w:rsidRDefault="0050393B" w:rsidP="0050393B">
            <w:pPr>
              <w:jc w:val="center"/>
              <w:rPr>
                <w:b/>
                <w:bCs/>
                <w:sz w:val="22"/>
                <w:szCs w:val="18"/>
                <w:lang w:val="es-GT" w:eastAsia="es-GT"/>
              </w:rPr>
            </w:pPr>
            <w:r w:rsidRPr="006D3A03">
              <w:rPr>
                <w:b/>
                <w:bCs/>
                <w:sz w:val="22"/>
                <w:szCs w:val="18"/>
                <w:lang w:val="es-GT" w:eastAsia="es-GT"/>
              </w:rPr>
              <w:t>Vigente</w:t>
            </w:r>
          </w:p>
        </w:tc>
        <w:tc>
          <w:tcPr>
            <w:tcW w:w="1418" w:type="dxa"/>
            <w:tcBorders>
              <w:top w:val="single" w:sz="8" w:space="0" w:color="auto"/>
              <w:left w:val="nil"/>
              <w:bottom w:val="single" w:sz="8" w:space="0" w:color="auto"/>
              <w:right w:val="nil"/>
            </w:tcBorders>
            <w:shd w:val="clear" w:color="000000" w:fill="95B3D7"/>
            <w:vAlign w:val="center"/>
            <w:hideMark/>
          </w:tcPr>
          <w:p w:rsidR="0050393B" w:rsidRPr="006D3A03" w:rsidRDefault="0050393B" w:rsidP="00446DA9">
            <w:pPr>
              <w:jc w:val="center"/>
              <w:rPr>
                <w:b/>
                <w:bCs/>
                <w:sz w:val="22"/>
                <w:szCs w:val="18"/>
                <w:lang w:val="es-GT" w:eastAsia="es-GT"/>
              </w:rPr>
            </w:pPr>
            <w:r w:rsidRPr="006D3A03">
              <w:rPr>
                <w:b/>
                <w:bCs/>
                <w:sz w:val="22"/>
                <w:szCs w:val="18"/>
                <w:lang w:val="es-GT" w:eastAsia="es-GT"/>
              </w:rPr>
              <w:t>Ejecu</w:t>
            </w:r>
            <w:r w:rsidR="00446DA9" w:rsidRPr="006D3A03">
              <w:rPr>
                <w:b/>
                <w:bCs/>
                <w:sz w:val="22"/>
                <w:szCs w:val="18"/>
                <w:lang w:val="es-GT" w:eastAsia="es-GT"/>
              </w:rPr>
              <w:t>tado</w:t>
            </w:r>
          </w:p>
        </w:tc>
        <w:tc>
          <w:tcPr>
            <w:tcW w:w="1417" w:type="dxa"/>
            <w:tcBorders>
              <w:top w:val="single" w:sz="8" w:space="0" w:color="auto"/>
              <w:left w:val="nil"/>
              <w:bottom w:val="single" w:sz="8" w:space="0" w:color="auto"/>
              <w:right w:val="nil"/>
            </w:tcBorders>
            <w:shd w:val="clear" w:color="000000" w:fill="95B3D7"/>
            <w:vAlign w:val="center"/>
            <w:hideMark/>
          </w:tcPr>
          <w:p w:rsidR="0050393B" w:rsidRPr="006D3A03" w:rsidRDefault="0050393B" w:rsidP="0050393B">
            <w:pPr>
              <w:jc w:val="center"/>
              <w:rPr>
                <w:b/>
                <w:bCs/>
                <w:sz w:val="22"/>
                <w:szCs w:val="18"/>
                <w:lang w:val="es-GT" w:eastAsia="es-GT"/>
              </w:rPr>
            </w:pPr>
            <w:r w:rsidRPr="006D3A03">
              <w:rPr>
                <w:b/>
                <w:bCs/>
                <w:sz w:val="22"/>
                <w:szCs w:val="18"/>
                <w:lang w:val="es-GT" w:eastAsia="es-GT"/>
              </w:rPr>
              <w:t>% Ejecución</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rPr>
                <w:b/>
                <w:bCs/>
                <w:sz w:val="18"/>
                <w:szCs w:val="18"/>
                <w:lang w:val="es-GT" w:eastAsia="es-GT"/>
              </w:rPr>
            </w:pPr>
            <w:r w:rsidRPr="00B707D6">
              <w:rPr>
                <w:b/>
                <w:bCs/>
                <w:sz w:val="18"/>
                <w:szCs w:val="18"/>
                <w:lang w:val="es-GT" w:eastAsia="es-GT"/>
              </w:rPr>
              <w:t xml:space="preserve">Ingresos Totales </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68,547.4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37,997.1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55.4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Ingresos Corrientes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68,544.0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37,979.1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55.4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1"/>
              <w:rPr>
                <w:b/>
                <w:bCs/>
                <w:sz w:val="18"/>
                <w:szCs w:val="18"/>
                <w:lang w:val="es-GT" w:eastAsia="es-GT"/>
              </w:rPr>
            </w:pPr>
            <w:r w:rsidRPr="00B707D6">
              <w:rPr>
                <w:b/>
                <w:bCs/>
                <w:sz w:val="18"/>
                <w:szCs w:val="18"/>
                <w:lang w:val="es-GT" w:eastAsia="es-GT"/>
              </w:rPr>
              <w:t>Ingresos Tributarios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64,027.7</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36,019.3</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56.3</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2"/>
              <w:rPr>
                <w:b/>
                <w:bCs/>
                <w:sz w:val="18"/>
                <w:szCs w:val="18"/>
                <w:lang w:val="es-GT" w:eastAsia="es-GT"/>
              </w:rPr>
            </w:pPr>
            <w:r w:rsidRPr="00B707D6">
              <w:rPr>
                <w:b/>
                <w:bCs/>
                <w:sz w:val="18"/>
                <w:szCs w:val="18"/>
                <w:lang w:val="es-GT" w:eastAsia="es-GT"/>
              </w:rPr>
              <w:t>Impuestos Directos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21,669.4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12,857.1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59.3</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2"/>
              <w:rPr>
                <w:b/>
                <w:bCs/>
                <w:sz w:val="18"/>
                <w:szCs w:val="18"/>
                <w:lang w:val="es-GT" w:eastAsia="es-GT"/>
              </w:rPr>
            </w:pPr>
            <w:r w:rsidRPr="00B707D6">
              <w:rPr>
                <w:b/>
                <w:bCs/>
                <w:sz w:val="18"/>
                <w:szCs w:val="18"/>
                <w:lang w:val="es-GT" w:eastAsia="es-GT"/>
              </w:rPr>
              <w:t>Impuestos Indirectos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42,358.3</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23,162.2</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54.7</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1"/>
              <w:rPr>
                <w:b/>
                <w:bCs/>
                <w:sz w:val="18"/>
                <w:szCs w:val="18"/>
                <w:lang w:val="es-GT" w:eastAsia="es-GT"/>
              </w:rPr>
            </w:pPr>
            <w:r w:rsidRPr="00B707D6">
              <w:rPr>
                <w:b/>
                <w:bCs/>
                <w:sz w:val="18"/>
                <w:szCs w:val="18"/>
                <w:lang w:val="es-GT" w:eastAsia="es-GT"/>
              </w:rPr>
              <w:t xml:space="preserve">No Tributarios y Transferencias </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4,516.3</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1,959.8</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43.4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Ingresos de Capital</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18.0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527.5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rPr>
                <w:b/>
                <w:bCs/>
                <w:sz w:val="18"/>
                <w:szCs w:val="18"/>
                <w:lang w:val="es-GT" w:eastAsia="es-GT"/>
              </w:rPr>
            </w:pPr>
            <w:r w:rsidRPr="00B707D6">
              <w:rPr>
                <w:b/>
                <w:bCs/>
                <w:sz w:val="18"/>
                <w:szCs w:val="18"/>
                <w:lang w:val="es-GT" w:eastAsia="es-GT"/>
              </w:rPr>
              <w:t>Gastos Totales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103,661.4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39,900.2</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38.5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Gastos Corrientes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82,440.6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33,480.2</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40.6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Remuneraciones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27,918.4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13,012.0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46.6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Bienes y Servicios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16,273.5</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5,341.5</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32.8</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Impuestos Indirectos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13.3</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2.8</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20.9</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Descuentos y Bonificaciones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80.6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53.7</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66.6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Prestaciones a la Seguridad Social</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5,262.6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2,509.1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47.7</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Intereses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10,751.0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5,574.4</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51.9</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446DA9">
            <w:pPr>
              <w:ind w:firstLineChars="300" w:firstLine="540"/>
              <w:rPr>
                <w:sz w:val="18"/>
                <w:szCs w:val="18"/>
                <w:lang w:val="es-GT" w:eastAsia="es-GT"/>
              </w:rPr>
            </w:pPr>
            <w:r w:rsidRPr="00B707D6">
              <w:rPr>
                <w:sz w:val="18"/>
                <w:szCs w:val="18"/>
                <w:lang w:val="es-GT" w:eastAsia="es-GT"/>
              </w:rPr>
              <w:t xml:space="preserve">Deuda </w:t>
            </w:r>
            <w:r w:rsidR="00446DA9">
              <w:rPr>
                <w:sz w:val="18"/>
                <w:szCs w:val="18"/>
                <w:lang w:val="es-GT" w:eastAsia="es-GT"/>
              </w:rPr>
              <w:t>I</w:t>
            </w:r>
            <w:r w:rsidRPr="00B707D6">
              <w:rPr>
                <w:sz w:val="18"/>
                <w:szCs w:val="18"/>
                <w:lang w:val="es-GT" w:eastAsia="es-GT"/>
              </w:rPr>
              <w:t>nterna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6,659.2</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3,756.3</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56.4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446DA9">
            <w:pPr>
              <w:ind w:firstLineChars="300" w:firstLine="540"/>
              <w:rPr>
                <w:sz w:val="18"/>
                <w:szCs w:val="18"/>
                <w:lang w:val="es-GT" w:eastAsia="es-GT"/>
              </w:rPr>
            </w:pPr>
            <w:r w:rsidRPr="00B707D6">
              <w:rPr>
                <w:sz w:val="18"/>
                <w:szCs w:val="18"/>
                <w:lang w:val="es-GT" w:eastAsia="es-GT"/>
              </w:rPr>
              <w:t xml:space="preserve">Deuda </w:t>
            </w:r>
            <w:r w:rsidR="00446DA9">
              <w:rPr>
                <w:sz w:val="18"/>
                <w:szCs w:val="18"/>
                <w:lang w:val="es-GT" w:eastAsia="es-GT"/>
              </w:rPr>
              <w:t>E</w:t>
            </w:r>
            <w:r w:rsidRPr="00B707D6">
              <w:rPr>
                <w:sz w:val="18"/>
                <w:szCs w:val="18"/>
                <w:lang w:val="es-GT" w:eastAsia="es-GT"/>
              </w:rPr>
              <w:t>xterna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4,091.8</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1,818.2</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44.4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400" w:firstLine="720"/>
              <w:rPr>
                <w:sz w:val="18"/>
                <w:szCs w:val="18"/>
                <w:lang w:val="es-GT" w:eastAsia="es-GT"/>
              </w:rPr>
            </w:pPr>
            <w:r w:rsidRPr="00B707D6">
              <w:rPr>
                <w:sz w:val="18"/>
                <w:szCs w:val="18"/>
                <w:lang w:val="es-GT" w:eastAsia="es-GT"/>
              </w:rPr>
              <w:t>Préstamos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1,466.6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677.5</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46.2</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400" w:firstLine="720"/>
              <w:rPr>
                <w:sz w:val="18"/>
                <w:szCs w:val="18"/>
                <w:lang w:val="es-GT" w:eastAsia="es-GT"/>
              </w:rPr>
            </w:pPr>
            <w:r w:rsidRPr="00B707D6">
              <w:rPr>
                <w:sz w:val="18"/>
                <w:szCs w:val="18"/>
                <w:lang w:val="es-GT" w:eastAsia="es-GT"/>
              </w:rPr>
              <w:t>Bonos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2,625.2</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1,140.7</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43.5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Arrendamiento de Tierras y Terrenos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0.4</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17.5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Derechos sobre Bienes Intangibles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61.9</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14.6</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23.6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Transferencias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22,079.0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6,972.1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31.6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0"/>
              <w:rPr>
                <w:sz w:val="18"/>
                <w:szCs w:val="18"/>
                <w:lang w:val="es-GT" w:eastAsia="es-GT"/>
              </w:rPr>
            </w:pPr>
            <w:r w:rsidRPr="00B707D6">
              <w:rPr>
                <w:sz w:val="18"/>
                <w:szCs w:val="18"/>
                <w:lang w:val="es-GT" w:eastAsia="es-GT"/>
              </w:rPr>
              <w:t>Resto del Sector Público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11,624.2</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4,885.5</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42.0</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446DA9">
            <w:pPr>
              <w:ind w:firstLineChars="300" w:firstLine="540"/>
              <w:rPr>
                <w:sz w:val="18"/>
                <w:szCs w:val="18"/>
                <w:lang w:val="es-GT" w:eastAsia="es-GT"/>
              </w:rPr>
            </w:pPr>
            <w:r w:rsidRPr="00B707D6">
              <w:rPr>
                <w:sz w:val="18"/>
                <w:szCs w:val="18"/>
                <w:lang w:val="es-GT" w:eastAsia="es-GT"/>
              </w:rPr>
              <w:t xml:space="preserve">Sector </w:t>
            </w:r>
            <w:r w:rsidR="00446DA9">
              <w:rPr>
                <w:sz w:val="18"/>
                <w:szCs w:val="18"/>
                <w:lang w:val="es-GT" w:eastAsia="es-GT"/>
              </w:rPr>
              <w:t>P</w:t>
            </w:r>
            <w:r w:rsidRPr="00B707D6">
              <w:rPr>
                <w:sz w:val="18"/>
                <w:szCs w:val="18"/>
                <w:lang w:val="es-GT" w:eastAsia="es-GT"/>
              </w:rPr>
              <w:t>rivado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10,384.7</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2,045.3</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19.7</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446DA9">
            <w:pPr>
              <w:ind w:firstLineChars="300" w:firstLine="540"/>
              <w:rPr>
                <w:sz w:val="18"/>
                <w:szCs w:val="18"/>
                <w:lang w:val="es-GT" w:eastAsia="es-GT"/>
              </w:rPr>
            </w:pPr>
            <w:r w:rsidRPr="00B707D6">
              <w:rPr>
                <w:sz w:val="18"/>
                <w:szCs w:val="18"/>
                <w:lang w:val="es-GT" w:eastAsia="es-GT"/>
              </w:rPr>
              <w:t xml:space="preserve">Sector </w:t>
            </w:r>
            <w:r w:rsidR="00446DA9">
              <w:rPr>
                <w:sz w:val="18"/>
                <w:szCs w:val="18"/>
                <w:lang w:val="es-GT" w:eastAsia="es-GT"/>
              </w:rPr>
              <w:t>E</w:t>
            </w:r>
            <w:r w:rsidRPr="00B707D6">
              <w:rPr>
                <w:sz w:val="18"/>
                <w:szCs w:val="18"/>
                <w:lang w:val="es-GT" w:eastAsia="es-GT"/>
              </w:rPr>
              <w:t>xterno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70.1</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41.3</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58.9</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Gastos de Capital</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21,220.8</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6,420.0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30.3</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Inversión Real Directa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5,049.6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1,430.7</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28.3</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Inversión Financiera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3,494.9</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0.1</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Transferencias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12,676.3</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4,986.3</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39.3</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0"/>
              <w:rPr>
                <w:sz w:val="18"/>
                <w:szCs w:val="18"/>
                <w:lang w:val="es-GT" w:eastAsia="es-GT"/>
              </w:rPr>
            </w:pPr>
            <w:r w:rsidRPr="00B707D6">
              <w:rPr>
                <w:sz w:val="18"/>
                <w:szCs w:val="18"/>
                <w:lang w:val="es-GT" w:eastAsia="es-GT"/>
              </w:rPr>
              <w:t>Resto del Sector Público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11,672.2</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4,696.4</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40.2</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446DA9">
            <w:pPr>
              <w:ind w:firstLineChars="300" w:firstLine="540"/>
              <w:rPr>
                <w:sz w:val="18"/>
                <w:szCs w:val="18"/>
                <w:lang w:val="es-GT" w:eastAsia="es-GT"/>
              </w:rPr>
            </w:pPr>
            <w:r w:rsidRPr="00B707D6">
              <w:rPr>
                <w:sz w:val="18"/>
                <w:szCs w:val="18"/>
                <w:lang w:val="es-GT" w:eastAsia="es-GT"/>
              </w:rPr>
              <w:t xml:space="preserve">Sector </w:t>
            </w:r>
            <w:r w:rsidR="00446DA9">
              <w:rPr>
                <w:sz w:val="18"/>
                <w:szCs w:val="18"/>
                <w:lang w:val="es-GT" w:eastAsia="es-GT"/>
              </w:rPr>
              <w:t>P</w:t>
            </w:r>
            <w:r w:rsidRPr="00B707D6">
              <w:rPr>
                <w:sz w:val="18"/>
                <w:szCs w:val="18"/>
                <w:lang w:val="es-GT" w:eastAsia="es-GT"/>
              </w:rPr>
              <w:t xml:space="preserve">rivado y </w:t>
            </w:r>
            <w:r w:rsidR="00446DA9">
              <w:rPr>
                <w:sz w:val="18"/>
                <w:szCs w:val="18"/>
                <w:lang w:val="es-GT" w:eastAsia="es-GT"/>
              </w:rPr>
              <w:t>E</w:t>
            </w:r>
            <w:r w:rsidRPr="00B707D6">
              <w:rPr>
                <w:sz w:val="18"/>
                <w:szCs w:val="18"/>
                <w:lang w:val="es-GT" w:eastAsia="es-GT"/>
              </w:rPr>
              <w:t>xterno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1,004.1</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289.9</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28.9</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 xml:space="preserve">Resultado en Cuenta Corriente </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-13,896.6</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4,498.9</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-32.4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Resultado Primario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-24,363.0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3,671.4</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-15.1</w:t>
            </w:r>
          </w:p>
        </w:tc>
      </w:tr>
      <w:tr w:rsidR="0050393B" w:rsidRPr="00B707D6" w:rsidTr="00446DA9">
        <w:trPr>
          <w:trHeight w:val="240"/>
        </w:trPr>
        <w:tc>
          <w:tcPr>
            <w:tcW w:w="4606" w:type="dxa"/>
            <w:tcBorders>
              <w:top w:val="nil"/>
              <w:left w:val="nil"/>
              <w:bottom w:val="single" w:sz="8" w:space="0" w:color="auto"/>
              <w:right w:val="nil"/>
            </w:tcBorders>
            <w:shd w:val="clear" w:color="auto" w:fill="auto"/>
            <w:noWrap/>
            <w:vAlign w:val="center"/>
            <w:hideMark/>
          </w:tcPr>
          <w:p w:rsidR="0050393B" w:rsidRPr="00B707D6" w:rsidRDefault="0050393B" w:rsidP="0050393B">
            <w:pPr>
              <w:rPr>
                <w:b/>
                <w:bCs/>
                <w:sz w:val="18"/>
                <w:szCs w:val="18"/>
                <w:lang w:val="es-GT" w:eastAsia="es-GT"/>
              </w:rPr>
            </w:pPr>
            <w:r w:rsidRPr="00B707D6">
              <w:rPr>
                <w:b/>
                <w:bCs/>
                <w:sz w:val="18"/>
                <w:szCs w:val="18"/>
                <w:lang w:val="es-GT" w:eastAsia="es-GT"/>
              </w:rPr>
              <w:t>Resultado Presupuestal</w:t>
            </w:r>
          </w:p>
        </w:tc>
        <w:tc>
          <w:tcPr>
            <w:tcW w:w="1843" w:type="dxa"/>
            <w:tcBorders>
              <w:top w:val="nil"/>
              <w:left w:val="nil"/>
              <w:bottom w:val="single" w:sz="8"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-35,114.0</w:t>
            </w:r>
          </w:p>
        </w:tc>
        <w:tc>
          <w:tcPr>
            <w:tcW w:w="1418" w:type="dxa"/>
            <w:tcBorders>
              <w:top w:val="nil"/>
              <w:left w:val="nil"/>
              <w:bottom w:val="single" w:sz="8"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-1,903.1</w:t>
            </w:r>
          </w:p>
        </w:tc>
        <w:tc>
          <w:tcPr>
            <w:tcW w:w="1417" w:type="dxa"/>
            <w:tcBorders>
              <w:top w:val="nil"/>
              <w:left w:val="nil"/>
              <w:bottom w:val="single" w:sz="8"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rPr>
                <w:b/>
                <w:bCs/>
                <w:sz w:val="18"/>
                <w:szCs w:val="18"/>
                <w:lang w:val="es-GT" w:eastAsia="es-GT"/>
              </w:rPr>
            </w:pPr>
            <w:r w:rsidRPr="00B707D6">
              <w:rPr>
                <w:b/>
                <w:bCs/>
                <w:sz w:val="18"/>
                <w:szCs w:val="18"/>
                <w:lang w:val="es-GT" w:eastAsia="es-GT"/>
              </w:rPr>
              <w:t>Financiamiento Total</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35,114.0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1,903.1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5.4</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Financiamiento Externo Neto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2,477.0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-1,226.0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-49.5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Préstamos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2,477.0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-1,226.0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-49.5</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0"/>
              <w:rPr>
                <w:sz w:val="18"/>
                <w:szCs w:val="18"/>
                <w:lang w:val="es-GT" w:eastAsia="es-GT"/>
              </w:rPr>
            </w:pPr>
            <w:r w:rsidRPr="00B707D6">
              <w:rPr>
                <w:sz w:val="18"/>
                <w:szCs w:val="18"/>
                <w:lang w:val="es-GT" w:eastAsia="es-GT"/>
              </w:rPr>
              <w:t>Desembolsos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5,558.7</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282.4</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5.1</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300" w:firstLine="540"/>
              <w:rPr>
                <w:sz w:val="18"/>
                <w:szCs w:val="18"/>
                <w:lang w:val="es-GT" w:eastAsia="es-GT"/>
              </w:rPr>
            </w:pPr>
            <w:r w:rsidRPr="00B707D6">
              <w:rPr>
                <w:sz w:val="18"/>
                <w:szCs w:val="18"/>
                <w:lang w:val="es-GT" w:eastAsia="es-GT"/>
              </w:rPr>
              <w:t>Amortizaciones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3,081.7</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1,508.4</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48.9</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Negociación Neta de Eurobonos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100" w:firstLine="181"/>
              <w:rPr>
                <w:b/>
                <w:bCs/>
                <w:sz w:val="18"/>
                <w:szCs w:val="18"/>
                <w:lang w:val="es-GT" w:eastAsia="es-GT"/>
              </w:rPr>
            </w:pPr>
            <w:r w:rsidRPr="00B707D6">
              <w:rPr>
                <w:b/>
                <w:bCs/>
                <w:sz w:val="18"/>
                <w:szCs w:val="18"/>
                <w:lang w:val="es-GT" w:eastAsia="es-GT"/>
              </w:rPr>
              <w:t>Financiamiento Interno Neto</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32,637.0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3,129.1</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9.6</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200" w:firstLine="360"/>
              <w:rPr>
                <w:sz w:val="18"/>
                <w:szCs w:val="18"/>
                <w:lang w:val="es-GT" w:eastAsia="es-GT"/>
              </w:rPr>
            </w:pPr>
            <w:r w:rsidRPr="00B707D6">
              <w:rPr>
                <w:sz w:val="18"/>
                <w:szCs w:val="18"/>
                <w:lang w:val="es-GT" w:eastAsia="es-GT"/>
              </w:rPr>
              <w:t>Negociación Neta de Bonos</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30,047.9</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11,941.7</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39.7</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400" w:firstLine="720"/>
              <w:rPr>
                <w:sz w:val="18"/>
                <w:szCs w:val="18"/>
                <w:lang w:val="es-GT" w:eastAsia="es-GT"/>
              </w:rPr>
            </w:pPr>
            <w:r w:rsidRPr="00B707D6">
              <w:rPr>
                <w:sz w:val="18"/>
                <w:szCs w:val="18"/>
                <w:lang w:val="es-GT" w:eastAsia="es-GT"/>
              </w:rPr>
              <w:t>Colocación Primas de Deuda Interna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2,258.2</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400" w:firstLine="720"/>
              <w:rPr>
                <w:sz w:val="18"/>
                <w:szCs w:val="18"/>
                <w:lang w:val="es-GT" w:eastAsia="es-GT"/>
              </w:rPr>
            </w:pPr>
            <w:r w:rsidRPr="00B707D6">
              <w:rPr>
                <w:sz w:val="18"/>
                <w:szCs w:val="18"/>
                <w:lang w:val="es-GT" w:eastAsia="es-GT"/>
              </w:rPr>
              <w:t>Amortización de Primas de la Deuda Interna</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78.8</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r>
      <w:tr w:rsidR="0050393B" w:rsidRPr="00B707D6" w:rsidTr="00446DA9">
        <w:trPr>
          <w:trHeight w:val="230"/>
        </w:trPr>
        <w:tc>
          <w:tcPr>
            <w:tcW w:w="4606" w:type="dxa"/>
            <w:tcBorders>
              <w:top w:val="nil"/>
              <w:left w:val="nil"/>
              <w:bottom w:val="nil"/>
              <w:right w:val="nil"/>
            </w:tcBorders>
            <w:shd w:val="clear" w:color="auto" w:fill="auto"/>
            <w:noWrap/>
            <w:vAlign w:val="center"/>
            <w:hideMark/>
          </w:tcPr>
          <w:p w:rsidR="0050393B" w:rsidRPr="00B707D6" w:rsidRDefault="0050393B" w:rsidP="0050393B">
            <w:pPr>
              <w:ind w:firstLineChars="400" w:firstLine="720"/>
              <w:rPr>
                <w:sz w:val="18"/>
                <w:szCs w:val="18"/>
                <w:lang w:val="es-GT" w:eastAsia="es-GT"/>
              </w:rPr>
            </w:pPr>
            <w:r w:rsidRPr="00B707D6">
              <w:rPr>
                <w:sz w:val="18"/>
                <w:szCs w:val="18"/>
                <w:lang w:val="es-GT" w:eastAsia="es-GT"/>
              </w:rPr>
              <w:t xml:space="preserve">Amortización por el Costo de la Política Monetaria </w:t>
            </w:r>
          </w:p>
        </w:tc>
        <w:tc>
          <w:tcPr>
            <w:tcW w:w="1843"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699.5</w:t>
            </w:r>
          </w:p>
        </w:tc>
        <w:tc>
          <w:tcPr>
            <w:tcW w:w="1418"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r w:rsidRPr="00B707D6">
              <w:rPr>
                <w:sz w:val="18"/>
                <w:szCs w:val="18"/>
                <w:lang w:val="es-GT" w:eastAsia="es-GT"/>
              </w:rPr>
              <w:t>0.0</w:t>
            </w:r>
          </w:p>
        </w:tc>
        <w:tc>
          <w:tcPr>
            <w:tcW w:w="1417" w:type="dxa"/>
            <w:tcBorders>
              <w:top w:val="nil"/>
              <w:left w:val="nil"/>
              <w:bottom w:val="nil"/>
              <w:right w:val="nil"/>
            </w:tcBorders>
            <w:shd w:val="clear" w:color="auto" w:fill="auto"/>
            <w:noWrap/>
            <w:vAlign w:val="center"/>
            <w:hideMark/>
          </w:tcPr>
          <w:p w:rsidR="0050393B" w:rsidRPr="00B707D6" w:rsidRDefault="0050393B" w:rsidP="0050393B">
            <w:pPr>
              <w:jc w:val="center"/>
              <w:rPr>
                <w:sz w:val="18"/>
                <w:szCs w:val="18"/>
                <w:lang w:val="es-GT" w:eastAsia="es-GT"/>
              </w:rPr>
            </w:pPr>
          </w:p>
        </w:tc>
      </w:tr>
      <w:tr w:rsidR="0050393B" w:rsidRPr="00B707D6" w:rsidTr="00446DA9">
        <w:trPr>
          <w:trHeight w:val="230"/>
        </w:trPr>
        <w:tc>
          <w:tcPr>
            <w:tcW w:w="4606" w:type="dxa"/>
            <w:tcBorders>
              <w:top w:val="nil"/>
              <w:left w:val="nil"/>
              <w:bottom w:val="single" w:sz="4" w:space="0" w:color="auto"/>
              <w:right w:val="nil"/>
            </w:tcBorders>
            <w:shd w:val="clear" w:color="auto" w:fill="auto"/>
            <w:noWrap/>
            <w:vAlign w:val="center"/>
            <w:hideMark/>
          </w:tcPr>
          <w:p w:rsidR="0050393B" w:rsidRPr="00B707D6" w:rsidRDefault="0050393B" w:rsidP="0050393B">
            <w:pPr>
              <w:ind w:firstLineChars="200" w:firstLine="361"/>
              <w:rPr>
                <w:b/>
                <w:bCs/>
                <w:sz w:val="18"/>
                <w:szCs w:val="18"/>
                <w:lang w:val="es-GT" w:eastAsia="es-GT"/>
              </w:rPr>
            </w:pPr>
            <w:r w:rsidRPr="00B707D6">
              <w:rPr>
                <w:b/>
                <w:bCs/>
                <w:sz w:val="18"/>
                <w:szCs w:val="18"/>
                <w:lang w:val="es-GT" w:eastAsia="es-GT"/>
              </w:rPr>
              <w:t>Variación de Caja (+) disminución (-) aumento</w:t>
            </w:r>
          </w:p>
        </w:tc>
        <w:tc>
          <w:tcPr>
            <w:tcW w:w="1843" w:type="dxa"/>
            <w:tcBorders>
              <w:top w:val="nil"/>
              <w:left w:val="nil"/>
              <w:bottom w:val="single" w:sz="4"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3,367.4</w:t>
            </w:r>
          </w:p>
        </w:tc>
        <w:tc>
          <w:tcPr>
            <w:tcW w:w="1418" w:type="dxa"/>
            <w:tcBorders>
              <w:top w:val="nil"/>
              <w:left w:val="nil"/>
              <w:bottom w:val="single" w:sz="4"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-11,070.8</w:t>
            </w:r>
          </w:p>
        </w:tc>
        <w:tc>
          <w:tcPr>
            <w:tcW w:w="1417" w:type="dxa"/>
            <w:tcBorders>
              <w:top w:val="nil"/>
              <w:left w:val="nil"/>
              <w:bottom w:val="single" w:sz="4" w:space="0" w:color="auto"/>
              <w:right w:val="nil"/>
            </w:tcBorders>
            <w:shd w:val="clear" w:color="auto" w:fill="auto"/>
            <w:noWrap/>
            <w:vAlign w:val="center"/>
            <w:hideMark/>
          </w:tcPr>
          <w:p w:rsidR="0050393B" w:rsidRPr="00B707D6" w:rsidRDefault="0050393B" w:rsidP="0050393B">
            <w:pPr>
              <w:jc w:val="center"/>
              <w:rPr>
                <w:b/>
                <w:bCs/>
                <w:sz w:val="18"/>
                <w:szCs w:val="18"/>
                <w:lang w:val="es-GT" w:eastAsia="es-GT"/>
              </w:rPr>
            </w:pPr>
            <w:r w:rsidRPr="00B707D6">
              <w:rPr>
                <w:b/>
                <w:bCs/>
                <w:sz w:val="18"/>
                <w:szCs w:val="18"/>
                <w:lang w:val="es-GT" w:eastAsia="es-GT"/>
              </w:rPr>
              <w:t>-328.8</w:t>
            </w:r>
          </w:p>
        </w:tc>
      </w:tr>
    </w:tbl>
    <w:p w:rsidR="0050393B" w:rsidRDefault="0050393B" w:rsidP="0050393B">
      <w:pPr>
        <w:jc w:val="both"/>
        <w:rPr>
          <w:sz w:val="16"/>
          <w:lang w:val="es-MX"/>
        </w:rPr>
      </w:pPr>
      <w:r w:rsidRPr="003024D7">
        <w:rPr>
          <w:sz w:val="18"/>
          <w:lang w:val="es-MX"/>
        </w:rPr>
        <w:t>* Cifras preliminares</w:t>
      </w:r>
      <w:r>
        <w:rPr>
          <w:sz w:val="16"/>
          <w:lang w:val="es-MX"/>
        </w:rPr>
        <w:t>.</w:t>
      </w:r>
    </w:p>
    <w:p w:rsidR="0050393B" w:rsidRPr="003024D7" w:rsidRDefault="0050393B" w:rsidP="0050393B">
      <w:pPr>
        <w:jc w:val="both"/>
        <w:rPr>
          <w:sz w:val="18"/>
          <w:lang w:val="es-MX"/>
        </w:rPr>
      </w:pPr>
      <w:r>
        <w:rPr>
          <w:sz w:val="18"/>
          <w:lang w:val="es-MX"/>
        </w:rPr>
        <w:t xml:space="preserve">   </w:t>
      </w:r>
      <w:r w:rsidRPr="003024D7">
        <w:rPr>
          <w:sz w:val="18"/>
          <w:lang w:val="es-MX"/>
        </w:rPr>
        <w:t>Fuente: Ministerio de Finanzas Públicas</w:t>
      </w:r>
      <w:r w:rsidR="00446DA9">
        <w:rPr>
          <w:sz w:val="18"/>
          <w:lang w:val="es-MX"/>
        </w:rPr>
        <w:t xml:space="preserve"> con base al</w:t>
      </w:r>
      <w:r w:rsidRPr="003024D7">
        <w:rPr>
          <w:sz w:val="18"/>
          <w:lang w:val="es-MX"/>
        </w:rPr>
        <w:t xml:space="preserve"> SICOIN.</w:t>
      </w:r>
    </w:p>
    <w:p w:rsidR="0050393B" w:rsidRPr="000C3FEC" w:rsidRDefault="0050393B" w:rsidP="0050393B">
      <w:pPr>
        <w:jc w:val="both"/>
        <w:rPr>
          <w:sz w:val="16"/>
          <w:lang w:val="es-MX"/>
        </w:rPr>
      </w:pPr>
    </w:p>
    <w:p w:rsidR="0050393B" w:rsidRPr="00FB641E" w:rsidRDefault="0050393B" w:rsidP="0050393B">
      <w:pPr>
        <w:jc w:val="both"/>
        <w:rPr>
          <w:sz w:val="12"/>
          <w:lang w:val="es-MX"/>
        </w:rPr>
      </w:pPr>
    </w:p>
    <w:p w:rsidR="0050393B" w:rsidRPr="005E55DE" w:rsidRDefault="0050393B" w:rsidP="004C636B">
      <w:pPr>
        <w:pStyle w:val="Ttulo3"/>
        <w:numPr>
          <w:ilvl w:val="0"/>
          <w:numId w:val="7"/>
        </w:numPr>
        <w:ind w:left="426"/>
        <w:rPr>
          <w:rFonts w:ascii="Times New Roman" w:hAnsi="Times New Roman"/>
          <w:color w:val="auto"/>
          <w:lang w:val="es-MX"/>
        </w:rPr>
      </w:pPr>
      <w:bookmarkStart w:id="25" w:name="_Toc83713633"/>
      <w:r w:rsidRPr="005E55DE">
        <w:rPr>
          <w:rFonts w:ascii="Times New Roman" w:hAnsi="Times New Roman"/>
          <w:color w:val="auto"/>
          <w:lang w:val="es-MX"/>
        </w:rPr>
        <w:t>Servicios de la Deuda Pública</w:t>
      </w:r>
      <w:bookmarkEnd w:id="25"/>
    </w:p>
    <w:p w:rsidR="0050393B" w:rsidRDefault="0050393B" w:rsidP="0050393B">
      <w:pPr>
        <w:jc w:val="both"/>
      </w:pPr>
    </w:p>
    <w:p w:rsidR="0050393B" w:rsidRPr="00615FD2" w:rsidRDefault="0050393B" w:rsidP="0050393B">
      <w:pPr>
        <w:jc w:val="both"/>
        <w:rPr>
          <w:lang w:val="es-MX"/>
        </w:rPr>
      </w:pPr>
      <w:r>
        <w:rPr>
          <w:lang w:val="es-MX"/>
        </w:rPr>
        <w:t>El pago en concepto de S</w:t>
      </w:r>
      <w:r w:rsidRPr="00615FD2">
        <w:rPr>
          <w:lang w:val="es-MX"/>
        </w:rPr>
        <w:t>ervicio</w:t>
      </w:r>
      <w:r>
        <w:rPr>
          <w:lang w:val="es-MX"/>
        </w:rPr>
        <w:t>s</w:t>
      </w:r>
      <w:r w:rsidRPr="00615FD2">
        <w:rPr>
          <w:lang w:val="es-MX"/>
        </w:rPr>
        <w:t xml:space="preserve"> de la </w:t>
      </w:r>
      <w:r>
        <w:rPr>
          <w:lang w:val="es-MX"/>
        </w:rPr>
        <w:t>D</w:t>
      </w:r>
      <w:r w:rsidRPr="00615FD2">
        <w:rPr>
          <w:lang w:val="es-MX"/>
        </w:rPr>
        <w:t xml:space="preserve">euda </w:t>
      </w:r>
      <w:r>
        <w:rPr>
          <w:lang w:val="es-MX"/>
        </w:rPr>
        <w:t>P</w:t>
      </w:r>
      <w:r w:rsidRPr="00615FD2">
        <w:rPr>
          <w:lang w:val="es-MX"/>
        </w:rPr>
        <w:t>ública</w:t>
      </w:r>
      <w:r>
        <w:rPr>
          <w:lang w:val="es-MX"/>
        </w:rPr>
        <w:t xml:space="preserve"> al 30 de junio de 2021 asciende a </w:t>
      </w:r>
      <w:r w:rsidRPr="00615FD2">
        <w:rPr>
          <w:lang w:val="es-MX"/>
        </w:rPr>
        <w:t>Q</w:t>
      </w:r>
      <w:r>
        <w:rPr>
          <w:lang w:val="es-MX"/>
        </w:rPr>
        <w:t>.7,082.81 millones, equivalentes</w:t>
      </w:r>
      <w:r w:rsidRPr="00615FD2">
        <w:rPr>
          <w:lang w:val="es-MX"/>
        </w:rPr>
        <w:t xml:space="preserve"> al </w:t>
      </w:r>
      <w:r>
        <w:rPr>
          <w:lang w:val="es-MX"/>
        </w:rPr>
        <w:t>48.5</w:t>
      </w:r>
      <w:r w:rsidRPr="00615FD2">
        <w:rPr>
          <w:lang w:val="es-MX"/>
        </w:rPr>
        <w:t xml:space="preserve">% </w:t>
      </w:r>
      <w:r>
        <w:rPr>
          <w:lang w:val="es-MX"/>
        </w:rPr>
        <w:t>de ejecución</w:t>
      </w:r>
      <w:r w:rsidRPr="00615FD2">
        <w:rPr>
          <w:lang w:val="es-MX"/>
        </w:rPr>
        <w:t xml:space="preserve">. </w:t>
      </w:r>
      <w:r>
        <w:rPr>
          <w:lang w:val="es-MX"/>
        </w:rPr>
        <w:t xml:space="preserve">El referido </w:t>
      </w:r>
      <w:r w:rsidRPr="00615FD2">
        <w:rPr>
          <w:lang w:val="es-MX"/>
        </w:rPr>
        <w:t xml:space="preserve">monto </w:t>
      </w:r>
      <w:r>
        <w:rPr>
          <w:lang w:val="es-MX"/>
        </w:rPr>
        <w:t xml:space="preserve">está conformado por deuda </w:t>
      </w:r>
      <w:r w:rsidRPr="00615FD2">
        <w:rPr>
          <w:lang w:val="es-MX"/>
        </w:rPr>
        <w:t>interna</w:t>
      </w:r>
      <w:r>
        <w:rPr>
          <w:lang w:val="es-MX"/>
        </w:rPr>
        <w:t xml:space="preserve"> (bonificada)</w:t>
      </w:r>
      <w:r w:rsidRPr="00615FD2">
        <w:rPr>
          <w:lang w:val="es-MX"/>
        </w:rPr>
        <w:t xml:space="preserve"> </w:t>
      </w:r>
      <w:r>
        <w:rPr>
          <w:lang w:val="es-MX"/>
        </w:rPr>
        <w:t>en</w:t>
      </w:r>
      <w:r w:rsidRPr="00615FD2">
        <w:rPr>
          <w:lang w:val="es-MX"/>
        </w:rPr>
        <w:t xml:space="preserve"> Q</w:t>
      </w:r>
      <w:r>
        <w:rPr>
          <w:lang w:val="es-MX"/>
        </w:rPr>
        <w:t>.3</w:t>
      </w:r>
      <w:r w:rsidRPr="00615FD2">
        <w:rPr>
          <w:lang w:val="es-MX"/>
        </w:rPr>
        <w:t>,</w:t>
      </w:r>
      <w:r>
        <w:rPr>
          <w:lang w:val="es-MX"/>
        </w:rPr>
        <w:t>756.3</w:t>
      </w:r>
      <w:r w:rsidRPr="00615FD2">
        <w:rPr>
          <w:lang w:val="es-MX"/>
        </w:rPr>
        <w:t xml:space="preserve"> millones, equivalentes al </w:t>
      </w:r>
      <w:r>
        <w:rPr>
          <w:lang w:val="es-MX"/>
        </w:rPr>
        <w:t>53.0</w:t>
      </w:r>
      <w:r w:rsidRPr="00615FD2">
        <w:rPr>
          <w:lang w:val="es-MX"/>
        </w:rPr>
        <w:t>%; y deuda externa</w:t>
      </w:r>
      <w:r>
        <w:rPr>
          <w:lang w:val="es-MX"/>
        </w:rPr>
        <w:t xml:space="preserve"> (eurobonos y préstamos externos)</w:t>
      </w:r>
      <w:r w:rsidRPr="00615FD2">
        <w:rPr>
          <w:lang w:val="es-MX"/>
        </w:rPr>
        <w:t>, con una ejecución de Q</w:t>
      </w:r>
      <w:r>
        <w:rPr>
          <w:lang w:val="es-MX"/>
        </w:rPr>
        <w:t>.3</w:t>
      </w:r>
      <w:r w:rsidRPr="00615FD2">
        <w:rPr>
          <w:lang w:val="es-MX"/>
        </w:rPr>
        <w:t>,</w:t>
      </w:r>
      <w:r>
        <w:rPr>
          <w:lang w:val="es-MX"/>
        </w:rPr>
        <w:t>326.6</w:t>
      </w:r>
      <w:r w:rsidRPr="00615FD2">
        <w:rPr>
          <w:lang w:val="es-MX"/>
        </w:rPr>
        <w:t xml:space="preserve"> millones, correspondientes al </w:t>
      </w:r>
      <w:r>
        <w:rPr>
          <w:lang w:val="es-MX"/>
        </w:rPr>
        <w:t>47.0</w:t>
      </w:r>
      <w:r w:rsidRPr="00615FD2">
        <w:rPr>
          <w:lang w:val="es-MX"/>
        </w:rPr>
        <w:t>%.</w:t>
      </w:r>
    </w:p>
    <w:p w:rsidR="0050393B" w:rsidRDefault="0050393B" w:rsidP="0050393B">
      <w:pPr>
        <w:jc w:val="center"/>
        <w:rPr>
          <w:b/>
          <w:sz w:val="22"/>
          <w:lang w:val="es-MX"/>
        </w:rPr>
      </w:pPr>
    </w:p>
    <w:p w:rsidR="0050393B" w:rsidRPr="00D11334" w:rsidRDefault="0050393B" w:rsidP="0050393B">
      <w:pPr>
        <w:jc w:val="center"/>
        <w:rPr>
          <w:b/>
          <w:lang w:val="es-MX"/>
        </w:rPr>
      </w:pPr>
      <w:r w:rsidRPr="00D11334">
        <w:rPr>
          <w:b/>
          <w:lang w:val="es-MX"/>
        </w:rPr>
        <w:t>Gráfica 1</w:t>
      </w:r>
      <w:r w:rsidR="00A249D5">
        <w:rPr>
          <w:b/>
          <w:lang w:val="es-MX"/>
        </w:rPr>
        <w:t>5</w:t>
      </w:r>
    </w:p>
    <w:p w:rsidR="0050393B" w:rsidRPr="00D11334" w:rsidRDefault="0050393B" w:rsidP="0050393B">
      <w:pPr>
        <w:jc w:val="center"/>
        <w:rPr>
          <w:b/>
          <w:szCs w:val="22"/>
          <w:lang w:val="es-MX"/>
        </w:rPr>
      </w:pPr>
      <w:r w:rsidRPr="00D11334">
        <w:rPr>
          <w:b/>
          <w:szCs w:val="22"/>
          <w:lang w:val="es-MX"/>
        </w:rPr>
        <w:t>Comportamiento del Saldo de la Deuda Pública*</w:t>
      </w:r>
    </w:p>
    <w:p w:rsidR="0050393B" w:rsidRPr="00D11334" w:rsidRDefault="0050393B" w:rsidP="0050393B">
      <w:pPr>
        <w:jc w:val="center"/>
        <w:rPr>
          <w:b/>
          <w:szCs w:val="22"/>
          <w:lang w:val="es-MX"/>
        </w:rPr>
      </w:pPr>
      <w:r w:rsidRPr="00D11334">
        <w:rPr>
          <w:b/>
          <w:szCs w:val="22"/>
          <w:lang w:val="es-MX"/>
        </w:rPr>
        <w:t xml:space="preserve">Período 2009 </w:t>
      </w:r>
      <w:r>
        <w:rPr>
          <w:b/>
          <w:szCs w:val="22"/>
          <w:lang w:val="es-MX"/>
        </w:rPr>
        <w:t>–</w:t>
      </w:r>
      <w:r w:rsidRPr="00D11334">
        <w:rPr>
          <w:b/>
          <w:szCs w:val="22"/>
          <w:lang w:val="es-MX"/>
        </w:rPr>
        <w:t xml:space="preserve"> 202</w:t>
      </w:r>
      <w:r>
        <w:rPr>
          <w:b/>
          <w:szCs w:val="22"/>
          <w:lang w:val="es-MX"/>
        </w:rPr>
        <w:t>1*</w:t>
      </w:r>
    </w:p>
    <w:p w:rsidR="0050393B" w:rsidRPr="00D11334" w:rsidRDefault="0050393B" w:rsidP="0050393B">
      <w:pPr>
        <w:jc w:val="center"/>
        <w:rPr>
          <w:b/>
          <w:szCs w:val="22"/>
          <w:lang w:val="es-MX"/>
        </w:rPr>
      </w:pPr>
      <w:r w:rsidRPr="00D11334">
        <w:rPr>
          <w:b/>
          <w:szCs w:val="22"/>
          <w:lang w:val="es-MX"/>
        </w:rPr>
        <w:t>(Cifras en Millones de Quetzales y Porcentajes del PIB)</w:t>
      </w:r>
    </w:p>
    <w:p w:rsidR="0050393B" w:rsidRDefault="0050393B" w:rsidP="0050393B">
      <w:pPr>
        <w:jc w:val="both"/>
        <w:rPr>
          <w:lang w:val="es-MX"/>
        </w:rPr>
      </w:pPr>
      <w:r>
        <w:rPr>
          <w:noProof/>
          <w:lang w:val="es-GT" w:eastAsia="es-GT"/>
        </w:rPr>
        <w:drawing>
          <wp:inline distT="0" distB="0" distL="0" distR="0" wp14:anchorId="4811443E" wp14:editId="5973E6AC">
            <wp:extent cx="5762625" cy="3733800"/>
            <wp:effectExtent l="0" t="0" r="0" b="0"/>
            <wp:docPr id="18" name="Gráfico 1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0393B" w:rsidRDefault="0050393B" w:rsidP="0050393B">
      <w:pPr>
        <w:jc w:val="both"/>
        <w:rPr>
          <w:sz w:val="18"/>
          <w:lang w:val="es-MX"/>
        </w:rPr>
      </w:pPr>
      <w:r w:rsidRPr="00046E3F">
        <w:rPr>
          <w:sz w:val="18"/>
          <w:lang w:val="es-MX"/>
        </w:rPr>
        <w:t>* De 2009 a 20</w:t>
      </w:r>
      <w:r>
        <w:rPr>
          <w:sz w:val="18"/>
          <w:lang w:val="es-MX"/>
        </w:rPr>
        <w:t>20</w:t>
      </w:r>
      <w:r w:rsidRPr="00046E3F">
        <w:rPr>
          <w:sz w:val="18"/>
          <w:lang w:val="es-MX"/>
        </w:rPr>
        <w:t xml:space="preserve"> corresponde al saldo de la Deuda Pública al final del año; y en 20</w:t>
      </w:r>
      <w:r>
        <w:rPr>
          <w:sz w:val="18"/>
          <w:lang w:val="es-MX"/>
        </w:rPr>
        <w:t>21</w:t>
      </w:r>
      <w:r w:rsidRPr="00046E3F">
        <w:rPr>
          <w:sz w:val="18"/>
          <w:lang w:val="es-MX"/>
        </w:rPr>
        <w:t xml:space="preserve"> corresponde al saldo a </w:t>
      </w:r>
      <w:r>
        <w:rPr>
          <w:sz w:val="18"/>
          <w:lang w:val="es-MX"/>
        </w:rPr>
        <w:t>junio</w:t>
      </w:r>
      <w:r w:rsidRPr="00046E3F">
        <w:rPr>
          <w:sz w:val="18"/>
          <w:lang w:val="es-MX"/>
        </w:rPr>
        <w:t>.</w:t>
      </w:r>
    </w:p>
    <w:p w:rsidR="0050393B" w:rsidRPr="00046E3F" w:rsidRDefault="0050393B" w:rsidP="0050393B">
      <w:pPr>
        <w:jc w:val="both"/>
        <w:rPr>
          <w:sz w:val="18"/>
          <w:lang w:val="es-MX"/>
        </w:rPr>
      </w:pPr>
      <w:r w:rsidRPr="00046E3F">
        <w:rPr>
          <w:sz w:val="18"/>
          <w:lang w:val="es-MX"/>
        </w:rPr>
        <w:t xml:space="preserve">   Fuente: Ministerio de Finanzas Públicas.</w:t>
      </w:r>
    </w:p>
    <w:p w:rsidR="0050393B" w:rsidRPr="00046E3F" w:rsidRDefault="0050393B" w:rsidP="0050393B">
      <w:pPr>
        <w:jc w:val="both"/>
        <w:rPr>
          <w:sz w:val="18"/>
          <w:lang w:val="es-MX"/>
        </w:rPr>
      </w:pPr>
    </w:p>
    <w:p w:rsidR="0050393B" w:rsidRPr="00806DD8" w:rsidRDefault="0050393B" w:rsidP="0050393B">
      <w:pPr>
        <w:jc w:val="both"/>
        <w:rPr>
          <w:sz w:val="32"/>
          <w:lang w:val="es-MX"/>
        </w:rPr>
      </w:pPr>
    </w:p>
    <w:p w:rsidR="0050393B" w:rsidRDefault="0050393B" w:rsidP="0050393B">
      <w:pPr>
        <w:jc w:val="both"/>
        <w:rPr>
          <w:lang w:val="es-MX"/>
        </w:rPr>
      </w:pPr>
      <w:r>
        <w:rPr>
          <w:lang w:val="es-MX"/>
        </w:rPr>
        <w:t>Durante el período observado de 2009 a 2021, el saldo muestra un comportamiento creciente con una tasa promedio anual de 8.9%. El porcentaje de la deuda tuvo un incremento debido al cambio del año base de las Cuentas Nacionales y por el aumento de la deuda p</w:t>
      </w:r>
      <w:r w:rsidR="00D67EDF">
        <w:rPr>
          <w:lang w:val="es-MX"/>
        </w:rPr>
        <w:t>ú</w:t>
      </w:r>
      <w:r>
        <w:rPr>
          <w:lang w:val="es-MX"/>
        </w:rPr>
        <w:t xml:space="preserve">blica derivado de la pandemia </w:t>
      </w:r>
      <w:r w:rsidR="00D67EDF">
        <w:rPr>
          <w:lang w:val="es-MX"/>
        </w:rPr>
        <w:t xml:space="preserve">del </w:t>
      </w:r>
      <w:r>
        <w:rPr>
          <w:lang w:val="es-MX"/>
        </w:rPr>
        <w:t>C</w:t>
      </w:r>
      <w:r w:rsidR="00D67EDF">
        <w:rPr>
          <w:lang w:val="es-MX"/>
        </w:rPr>
        <w:t>OVID</w:t>
      </w:r>
      <w:r>
        <w:rPr>
          <w:lang w:val="es-MX"/>
        </w:rPr>
        <w:t xml:space="preserve">-19. Según datos publicados por el Ministerio de Finanzas Públicas en el Reporte de Operaciones Especiales, a junio del presente año el saldo de la deuda pública es de Q.199,213.5 millones, equivalentes al 31.3% con respecto al PIB. La situación de la deuda pública de Guatemala está </w:t>
      </w:r>
      <w:r w:rsidRPr="00E5644C">
        <w:rPr>
          <w:lang w:val="es-MX"/>
        </w:rPr>
        <w:t xml:space="preserve">por debajo del riesgo global de sobreendeudamiento para economías de </w:t>
      </w:r>
      <w:r>
        <w:rPr>
          <w:lang w:val="es-MX"/>
        </w:rPr>
        <w:t>ingresos medios</w:t>
      </w:r>
      <w:r w:rsidR="00D67EDF">
        <w:rPr>
          <w:lang w:val="es-MX"/>
        </w:rPr>
        <w:t>,</w:t>
      </w:r>
      <w:r>
        <w:rPr>
          <w:lang w:val="es-MX"/>
        </w:rPr>
        <w:t xml:space="preserve"> ya que según el Fondo Monetario Internacional y el Banco Mundial el parámetro establecido es de</w:t>
      </w:r>
      <w:r w:rsidR="00D67EDF">
        <w:rPr>
          <w:lang w:val="es-MX"/>
        </w:rPr>
        <w:t>l 40.0%.</w:t>
      </w:r>
    </w:p>
    <w:p w:rsidR="000357B1" w:rsidRDefault="000357B1" w:rsidP="0050393B">
      <w:pPr>
        <w:jc w:val="both"/>
        <w:rPr>
          <w:lang w:val="es-MX"/>
        </w:rPr>
      </w:pPr>
    </w:p>
    <w:p w:rsidR="00171991" w:rsidRPr="004F2F0B" w:rsidRDefault="00C33C42" w:rsidP="004F2F0B">
      <w:pPr>
        <w:pStyle w:val="Ttulo1"/>
        <w:numPr>
          <w:ilvl w:val="0"/>
          <w:numId w:val="2"/>
        </w:numPr>
        <w:tabs>
          <w:tab w:val="num" w:pos="0"/>
        </w:tabs>
        <w:suppressAutoHyphens/>
        <w:ind w:left="709"/>
      </w:pPr>
      <w:bookmarkStart w:id="26" w:name="_Toc83713634"/>
      <w:r w:rsidRPr="004F2F0B">
        <w:t xml:space="preserve">Perspectivas de Cierre </w:t>
      </w:r>
      <w:r w:rsidR="00B20C2F" w:rsidRPr="004F2F0B">
        <w:t xml:space="preserve">del Ejercicio Fiscal </w:t>
      </w:r>
      <w:r w:rsidRPr="004F2F0B">
        <w:t>20</w:t>
      </w:r>
      <w:r w:rsidR="00DB0F04" w:rsidRPr="004F2F0B">
        <w:t>2</w:t>
      </w:r>
      <w:r w:rsidR="00AA730E" w:rsidRPr="004F2F0B">
        <w:t>1</w:t>
      </w:r>
      <w:bookmarkEnd w:id="26"/>
    </w:p>
    <w:p w:rsidR="00171991" w:rsidRPr="00C67B85" w:rsidRDefault="00171991" w:rsidP="00171991">
      <w:pPr>
        <w:autoSpaceDE w:val="0"/>
        <w:autoSpaceDN w:val="0"/>
        <w:adjustRightInd w:val="0"/>
        <w:jc w:val="both"/>
        <w:rPr>
          <w:b/>
          <w:sz w:val="18"/>
          <w:highlight w:val="yellow"/>
        </w:rPr>
      </w:pPr>
    </w:p>
    <w:p w:rsidR="00EF23D0" w:rsidRPr="00A82540" w:rsidRDefault="00EF23D0" w:rsidP="004C636B">
      <w:pPr>
        <w:pStyle w:val="Ttulo2"/>
        <w:numPr>
          <w:ilvl w:val="0"/>
          <w:numId w:val="8"/>
        </w:numPr>
        <w:ind w:left="426"/>
        <w:rPr>
          <w:rFonts w:ascii="Times New Roman" w:hAnsi="Times New Roman"/>
          <w:color w:val="auto"/>
          <w:sz w:val="24"/>
        </w:rPr>
      </w:pPr>
      <w:bookmarkStart w:id="27" w:name="_Toc83713635"/>
      <w:r w:rsidRPr="00A82540">
        <w:rPr>
          <w:rFonts w:ascii="Times New Roman" w:hAnsi="Times New Roman"/>
          <w:color w:val="auto"/>
          <w:sz w:val="24"/>
        </w:rPr>
        <w:t>E</w:t>
      </w:r>
      <w:r w:rsidR="00F34749" w:rsidRPr="00A82540">
        <w:rPr>
          <w:rFonts w:ascii="Times New Roman" w:hAnsi="Times New Roman"/>
          <w:color w:val="auto"/>
          <w:sz w:val="24"/>
        </w:rPr>
        <w:t>ntorno</w:t>
      </w:r>
      <w:r w:rsidRPr="00A82540">
        <w:rPr>
          <w:rFonts w:ascii="Times New Roman" w:hAnsi="Times New Roman"/>
          <w:color w:val="auto"/>
          <w:sz w:val="24"/>
        </w:rPr>
        <w:t xml:space="preserve"> Macroeconómico</w:t>
      </w:r>
      <w:r w:rsidR="00F34749" w:rsidRPr="00A82540">
        <w:rPr>
          <w:rFonts w:ascii="Times New Roman" w:hAnsi="Times New Roman"/>
          <w:color w:val="auto"/>
          <w:sz w:val="24"/>
        </w:rPr>
        <w:t xml:space="preserve"> Internacional</w:t>
      </w:r>
      <w:bookmarkEnd w:id="27"/>
    </w:p>
    <w:p w:rsidR="00F34749" w:rsidRDefault="00F34749" w:rsidP="00F34749"/>
    <w:p w:rsidR="00F34749" w:rsidRDefault="00F34749" w:rsidP="00F34749">
      <w:pPr>
        <w:autoSpaceDE w:val="0"/>
        <w:autoSpaceDN w:val="0"/>
        <w:adjustRightInd w:val="0"/>
        <w:jc w:val="both"/>
      </w:pPr>
      <w:r w:rsidRPr="00131B79">
        <w:t xml:space="preserve">La contracción </w:t>
      </w:r>
      <w:r>
        <w:t xml:space="preserve">interanual </w:t>
      </w:r>
      <w:r w:rsidRPr="00131B79">
        <w:t>de 3.2% de la actividad ocurrida en 2020 no tiene precedentes históricos recientes en términos de su velocidad y gravedad, la debilidad de la demanda global provocada por la parálisis de la actividad y demás secuelas que generó la pandemia incidió en varios sectores macroeconómicos, como lo fue el sector fiscal</w:t>
      </w:r>
      <w:r w:rsidR="009109FB">
        <w:t>,</w:t>
      </w:r>
      <w:r w:rsidRPr="00131B79">
        <w:t xml:space="preserve"> debido al aumento del gasto y la menor recaudación de ingresos. El Fondo Monetario Internacional proyecta que la economía mundial registrará un crecimiento de 6.0% en 2021. Dichas proyecciones se respaldan por efecto del impulso fiscal adicional instituido por algunas economías grandes y la recuperación observada para el primer </w:t>
      </w:r>
      <w:r w:rsidR="009109FB">
        <w:t xml:space="preserve">semestre </w:t>
      </w:r>
      <w:r w:rsidRPr="00131B79">
        <w:t>del año</w:t>
      </w:r>
      <w:r w:rsidR="009109FB">
        <w:t>,</w:t>
      </w:r>
      <w:r w:rsidRPr="00131B79">
        <w:t xml:space="preserve"> gracias a </w:t>
      </w:r>
      <w:r>
        <w:t xml:space="preserve">la </w:t>
      </w:r>
      <w:r w:rsidRPr="00131B79">
        <w:t>reapertura gradual de todo</w:t>
      </w:r>
      <w:r w:rsidR="009109FB">
        <w:t>s los países y a los programas de vacunación.</w:t>
      </w:r>
    </w:p>
    <w:p w:rsidR="00F34749" w:rsidRPr="00131B79" w:rsidRDefault="00F34749" w:rsidP="00F34749">
      <w:pPr>
        <w:autoSpaceDE w:val="0"/>
        <w:autoSpaceDN w:val="0"/>
        <w:adjustRightInd w:val="0"/>
        <w:jc w:val="both"/>
      </w:pPr>
    </w:p>
    <w:p w:rsidR="00F34749" w:rsidRDefault="00F34749" w:rsidP="00F34749">
      <w:pPr>
        <w:autoSpaceDE w:val="0"/>
        <w:autoSpaceDN w:val="0"/>
        <w:adjustRightInd w:val="0"/>
        <w:jc w:val="both"/>
      </w:pPr>
      <w:r w:rsidRPr="00131B79">
        <w:t>El crecimiento de las economías avanzadas se proyecta en 5.6%. Esto se debe principalmente a la mejora de perspectivas en el crecimiento de Estados Unidos cuyo crecimiento económico se estima en 7.0%</w:t>
      </w:r>
      <w:r w:rsidR="00863020">
        <w:t>,</w:t>
      </w:r>
      <w:r w:rsidRPr="00131B79">
        <w:t xml:space="preserve"> debido a los paquetes fiscales del presente año y al impacto en los cambios en la legislación para beneficiar la inversión de infraestructura y fortalecer la seguridad social.</w:t>
      </w:r>
      <w:r>
        <w:t xml:space="preserve"> Para la Zona del Euro se estima un crecimiento de 4.6% esperando que sus niveles se recuperen a niveles previos de la pandemia</w:t>
      </w:r>
      <w:r w:rsidR="003834B3">
        <w:t>,</w:t>
      </w:r>
      <w:r>
        <w:t xml:space="preserve"> antes de lo que se </w:t>
      </w:r>
      <w:r w:rsidRPr="005F3232">
        <w:t>anunciaba en las previsiones económicas de 2020</w:t>
      </w:r>
      <w:r>
        <w:t>, debido a que se espera</w:t>
      </w:r>
      <w:r w:rsidRPr="005F3232">
        <w:t xml:space="preserve"> que su crecimiento cobre un impulso mayor en el segundo semestre de 2021.</w:t>
      </w:r>
    </w:p>
    <w:p w:rsidR="00F34749" w:rsidRDefault="00F34749" w:rsidP="00F34749">
      <w:pPr>
        <w:autoSpaceDE w:val="0"/>
        <w:autoSpaceDN w:val="0"/>
        <w:adjustRightInd w:val="0"/>
        <w:jc w:val="both"/>
        <w:rPr>
          <w:lang w:eastAsia="en-US"/>
        </w:rPr>
      </w:pPr>
    </w:p>
    <w:p w:rsidR="00A249D5" w:rsidRDefault="00A249D5" w:rsidP="00A249D5">
      <w:pPr>
        <w:autoSpaceDE w:val="0"/>
        <w:autoSpaceDN w:val="0"/>
        <w:adjustRightInd w:val="0"/>
        <w:jc w:val="center"/>
        <w:rPr>
          <w:lang w:eastAsia="en-US"/>
        </w:rPr>
      </w:pPr>
      <w:r w:rsidRPr="00446DA9">
        <w:rPr>
          <w:b/>
          <w:szCs w:val="20"/>
          <w:lang w:val="es-MX"/>
        </w:rPr>
        <w:t>Cuadro 1</w:t>
      </w:r>
      <w:r>
        <w:rPr>
          <w:b/>
          <w:szCs w:val="20"/>
          <w:lang w:val="es-MX"/>
        </w:rPr>
        <w:t>9</w:t>
      </w:r>
    </w:p>
    <w:p w:rsidR="00F34749" w:rsidRPr="00D4372B" w:rsidRDefault="00F34749" w:rsidP="00F34749">
      <w:pPr>
        <w:pStyle w:val="Descripcin"/>
        <w:keepNext/>
        <w:spacing w:after="0"/>
        <w:jc w:val="center"/>
        <w:rPr>
          <w:rFonts w:ascii="Times New Roman" w:hAnsi="Times New Roman" w:cs="Times New Roman"/>
          <w:b/>
          <w:bCs/>
          <w:i w:val="0"/>
          <w:iCs w:val="0"/>
          <w:color w:val="auto"/>
          <w:sz w:val="24"/>
          <w:szCs w:val="24"/>
        </w:rPr>
      </w:pPr>
      <w:r w:rsidRPr="00D4372B">
        <w:rPr>
          <w:rFonts w:ascii="Times New Roman" w:hAnsi="Times New Roman" w:cs="Times New Roman"/>
          <w:b/>
          <w:bCs/>
          <w:i w:val="0"/>
          <w:iCs w:val="0"/>
          <w:color w:val="auto"/>
          <w:sz w:val="24"/>
          <w:szCs w:val="24"/>
        </w:rPr>
        <w:t xml:space="preserve">Panorama del </w:t>
      </w:r>
      <w:r w:rsidR="003834B3">
        <w:rPr>
          <w:rFonts w:ascii="Times New Roman" w:hAnsi="Times New Roman" w:cs="Times New Roman"/>
          <w:b/>
          <w:bCs/>
          <w:i w:val="0"/>
          <w:iCs w:val="0"/>
          <w:color w:val="auto"/>
          <w:sz w:val="24"/>
          <w:szCs w:val="24"/>
        </w:rPr>
        <w:t>C</w:t>
      </w:r>
      <w:r w:rsidRPr="00D4372B">
        <w:rPr>
          <w:rFonts w:ascii="Times New Roman" w:hAnsi="Times New Roman" w:cs="Times New Roman"/>
          <w:b/>
          <w:bCs/>
          <w:i w:val="0"/>
          <w:iCs w:val="0"/>
          <w:color w:val="auto"/>
          <w:sz w:val="24"/>
          <w:szCs w:val="24"/>
        </w:rPr>
        <w:t xml:space="preserve">recimiento de la </w:t>
      </w:r>
      <w:r w:rsidR="003834B3">
        <w:rPr>
          <w:rFonts w:ascii="Times New Roman" w:hAnsi="Times New Roman" w:cs="Times New Roman"/>
          <w:b/>
          <w:bCs/>
          <w:i w:val="0"/>
          <w:iCs w:val="0"/>
          <w:color w:val="auto"/>
          <w:sz w:val="24"/>
          <w:szCs w:val="24"/>
        </w:rPr>
        <w:t>E</w:t>
      </w:r>
      <w:r w:rsidRPr="00D4372B">
        <w:rPr>
          <w:rFonts w:ascii="Times New Roman" w:hAnsi="Times New Roman" w:cs="Times New Roman"/>
          <w:b/>
          <w:bCs/>
          <w:i w:val="0"/>
          <w:iCs w:val="0"/>
          <w:color w:val="auto"/>
          <w:sz w:val="24"/>
          <w:szCs w:val="24"/>
        </w:rPr>
        <w:t xml:space="preserve">conomía </w:t>
      </w:r>
      <w:r w:rsidR="003834B3">
        <w:rPr>
          <w:rFonts w:ascii="Times New Roman" w:hAnsi="Times New Roman" w:cs="Times New Roman"/>
          <w:b/>
          <w:bCs/>
          <w:i w:val="0"/>
          <w:iCs w:val="0"/>
          <w:color w:val="auto"/>
          <w:sz w:val="24"/>
          <w:szCs w:val="24"/>
        </w:rPr>
        <w:t>M</w:t>
      </w:r>
      <w:r w:rsidRPr="00D4372B">
        <w:rPr>
          <w:rFonts w:ascii="Times New Roman" w:hAnsi="Times New Roman" w:cs="Times New Roman"/>
          <w:b/>
          <w:bCs/>
          <w:i w:val="0"/>
          <w:iCs w:val="0"/>
          <w:color w:val="auto"/>
          <w:sz w:val="24"/>
          <w:szCs w:val="24"/>
        </w:rPr>
        <w:t>undial 20</w:t>
      </w:r>
      <w:r w:rsidR="001E2790">
        <w:rPr>
          <w:rFonts w:ascii="Times New Roman" w:hAnsi="Times New Roman" w:cs="Times New Roman"/>
          <w:b/>
          <w:bCs/>
          <w:i w:val="0"/>
          <w:iCs w:val="0"/>
          <w:color w:val="auto"/>
          <w:sz w:val="24"/>
          <w:szCs w:val="24"/>
        </w:rPr>
        <w:t>19</w:t>
      </w:r>
      <w:r w:rsidRPr="00D4372B">
        <w:rPr>
          <w:rFonts w:ascii="Times New Roman" w:hAnsi="Times New Roman" w:cs="Times New Roman"/>
          <w:b/>
          <w:bCs/>
          <w:i w:val="0"/>
          <w:iCs w:val="0"/>
          <w:color w:val="auto"/>
          <w:sz w:val="24"/>
          <w:szCs w:val="24"/>
        </w:rPr>
        <w:t>-202</w:t>
      </w:r>
      <w:r w:rsidR="001E2790">
        <w:rPr>
          <w:rFonts w:ascii="Times New Roman" w:hAnsi="Times New Roman" w:cs="Times New Roman"/>
          <w:b/>
          <w:bCs/>
          <w:i w:val="0"/>
          <w:iCs w:val="0"/>
          <w:color w:val="auto"/>
          <w:sz w:val="24"/>
          <w:szCs w:val="24"/>
        </w:rPr>
        <w:t>1</w:t>
      </w:r>
    </w:p>
    <w:p w:rsidR="00F34749" w:rsidRPr="00C67B85" w:rsidRDefault="00A249D5" w:rsidP="00F34749">
      <w:pPr>
        <w:pStyle w:val="Descripcin"/>
        <w:keepNext/>
        <w:spacing w:after="0"/>
        <w:jc w:val="center"/>
        <w:rPr>
          <w:rFonts w:ascii="Times New Roman" w:hAnsi="Times New Roman" w:cs="Times New Roman"/>
          <w:b/>
          <w:bCs/>
          <w:i w:val="0"/>
          <w:iCs w:val="0"/>
          <w:color w:val="auto"/>
          <w:sz w:val="24"/>
        </w:rPr>
      </w:pPr>
      <w:r w:rsidRPr="00C67B85">
        <w:rPr>
          <w:rFonts w:ascii="Times New Roman" w:hAnsi="Times New Roman" w:cs="Times New Roman"/>
          <w:b/>
          <w:bCs/>
          <w:i w:val="0"/>
          <w:iCs w:val="0"/>
          <w:color w:val="auto"/>
          <w:sz w:val="24"/>
        </w:rPr>
        <w:t xml:space="preserve">(En </w:t>
      </w:r>
      <w:r w:rsidR="00F34749" w:rsidRPr="00C67B85">
        <w:rPr>
          <w:rFonts w:ascii="Times New Roman" w:hAnsi="Times New Roman" w:cs="Times New Roman"/>
          <w:b/>
          <w:bCs/>
          <w:i w:val="0"/>
          <w:iCs w:val="0"/>
          <w:color w:val="auto"/>
          <w:sz w:val="24"/>
        </w:rPr>
        <w:t>Porcentaje</w:t>
      </w:r>
      <w:r w:rsidRPr="00C67B85">
        <w:rPr>
          <w:rFonts w:ascii="Times New Roman" w:hAnsi="Times New Roman" w:cs="Times New Roman"/>
          <w:b/>
          <w:bCs/>
          <w:i w:val="0"/>
          <w:iCs w:val="0"/>
          <w:color w:val="auto"/>
          <w:sz w:val="24"/>
        </w:rPr>
        <w:t>s)</w:t>
      </w:r>
    </w:p>
    <w:tbl>
      <w:tblPr>
        <w:tblW w:w="9116" w:type="dxa"/>
        <w:jc w:val="center"/>
        <w:tblCellMar>
          <w:left w:w="70" w:type="dxa"/>
          <w:right w:w="70" w:type="dxa"/>
        </w:tblCellMar>
        <w:tblLook w:val="04A0" w:firstRow="1" w:lastRow="0" w:firstColumn="1" w:lastColumn="0" w:noHBand="0" w:noVBand="1"/>
      </w:tblPr>
      <w:tblGrid>
        <w:gridCol w:w="5409"/>
        <w:gridCol w:w="1276"/>
        <w:gridCol w:w="1134"/>
        <w:gridCol w:w="1297"/>
      </w:tblGrid>
      <w:tr w:rsidR="00F34749" w:rsidRPr="00617478" w:rsidTr="000357B1">
        <w:trPr>
          <w:trHeight w:val="362"/>
          <w:jc w:val="center"/>
        </w:trPr>
        <w:tc>
          <w:tcPr>
            <w:tcW w:w="5409" w:type="dxa"/>
            <w:tcBorders>
              <w:top w:val="single" w:sz="4" w:space="0" w:color="auto"/>
              <w:left w:val="single" w:sz="4" w:space="0" w:color="auto"/>
              <w:bottom w:val="single" w:sz="4" w:space="0" w:color="auto"/>
              <w:right w:val="nil"/>
            </w:tcBorders>
            <w:shd w:val="clear" w:color="auto" w:fill="00B0F0"/>
            <w:noWrap/>
            <w:vAlign w:val="center"/>
            <w:hideMark/>
          </w:tcPr>
          <w:p w:rsidR="00F34749" w:rsidRPr="000357B1" w:rsidRDefault="00F34749" w:rsidP="00104954">
            <w:pPr>
              <w:jc w:val="center"/>
              <w:rPr>
                <w:b/>
                <w:bCs/>
                <w:sz w:val="22"/>
                <w:szCs w:val="16"/>
                <w:lang w:eastAsia="es-GT"/>
              </w:rPr>
            </w:pPr>
            <w:r w:rsidRPr="000357B1">
              <w:rPr>
                <w:b/>
                <w:bCs/>
                <w:sz w:val="22"/>
                <w:szCs w:val="16"/>
                <w:lang w:eastAsia="es-GT"/>
              </w:rPr>
              <w:t xml:space="preserve">País o </w:t>
            </w:r>
            <w:r w:rsidR="00104954">
              <w:rPr>
                <w:b/>
                <w:bCs/>
                <w:sz w:val="22"/>
                <w:szCs w:val="16"/>
                <w:lang w:eastAsia="es-GT"/>
              </w:rPr>
              <w:t>R</w:t>
            </w:r>
            <w:r w:rsidRPr="000357B1">
              <w:rPr>
                <w:b/>
                <w:bCs/>
                <w:sz w:val="22"/>
                <w:szCs w:val="16"/>
                <w:lang w:eastAsia="es-GT"/>
              </w:rPr>
              <w:t>egión</w:t>
            </w:r>
          </w:p>
        </w:tc>
        <w:tc>
          <w:tcPr>
            <w:tcW w:w="1276" w:type="dxa"/>
            <w:tcBorders>
              <w:top w:val="single" w:sz="4" w:space="0" w:color="auto"/>
              <w:left w:val="nil"/>
              <w:bottom w:val="single" w:sz="4" w:space="0" w:color="auto"/>
              <w:right w:val="nil"/>
            </w:tcBorders>
            <w:shd w:val="clear" w:color="auto" w:fill="00B0F0"/>
            <w:noWrap/>
            <w:vAlign w:val="center"/>
            <w:hideMark/>
          </w:tcPr>
          <w:p w:rsidR="00F34749" w:rsidRPr="000357B1" w:rsidRDefault="00F34749" w:rsidP="008F67E7">
            <w:pPr>
              <w:jc w:val="center"/>
              <w:rPr>
                <w:b/>
                <w:bCs/>
                <w:sz w:val="22"/>
                <w:szCs w:val="16"/>
                <w:lang w:eastAsia="es-GT"/>
              </w:rPr>
            </w:pPr>
            <w:r w:rsidRPr="000357B1">
              <w:rPr>
                <w:b/>
                <w:bCs/>
                <w:sz w:val="22"/>
                <w:szCs w:val="16"/>
                <w:lang w:eastAsia="es-GT"/>
              </w:rPr>
              <w:t>2019</w:t>
            </w:r>
          </w:p>
        </w:tc>
        <w:tc>
          <w:tcPr>
            <w:tcW w:w="1134" w:type="dxa"/>
            <w:tcBorders>
              <w:top w:val="single" w:sz="4" w:space="0" w:color="auto"/>
              <w:left w:val="nil"/>
              <w:bottom w:val="single" w:sz="4" w:space="0" w:color="auto"/>
              <w:right w:val="single" w:sz="4" w:space="0" w:color="auto"/>
            </w:tcBorders>
            <w:shd w:val="clear" w:color="auto" w:fill="00B0F0"/>
            <w:noWrap/>
            <w:vAlign w:val="center"/>
            <w:hideMark/>
          </w:tcPr>
          <w:p w:rsidR="00F34749" w:rsidRPr="000357B1" w:rsidRDefault="00F34749" w:rsidP="008F67E7">
            <w:pPr>
              <w:jc w:val="center"/>
              <w:rPr>
                <w:b/>
                <w:bCs/>
                <w:sz w:val="22"/>
                <w:szCs w:val="16"/>
                <w:lang w:eastAsia="es-GT"/>
              </w:rPr>
            </w:pPr>
            <w:r w:rsidRPr="000357B1">
              <w:rPr>
                <w:b/>
                <w:bCs/>
                <w:sz w:val="22"/>
                <w:szCs w:val="16"/>
                <w:lang w:eastAsia="es-GT"/>
              </w:rPr>
              <w:t>2020</w:t>
            </w:r>
          </w:p>
        </w:tc>
        <w:tc>
          <w:tcPr>
            <w:tcW w:w="1297" w:type="dxa"/>
            <w:tcBorders>
              <w:top w:val="single" w:sz="4" w:space="0" w:color="auto"/>
              <w:left w:val="nil"/>
              <w:bottom w:val="single" w:sz="4" w:space="0" w:color="auto"/>
              <w:right w:val="single" w:sz="4" w:space="0" w:color="auto"/>
            </w:tcBorders>
            <w:shd w:val="clear" w:color="auto" w:fill="00B0F0"/>
            <w:noWrap/>
            <w:vAlign w:val="center"/>
            <w:hideMark/>
          </w:tcPr>
          <w:p w:rsidR="00F34749" w:rsidRPr="000357B1" w:rsidRDefault="00F34749" w:rsidP="008F67E7">
            <w:pPr>
              <w:jc w:val="center"/>
              <w:rPr>
                <w:b/>
                <w:bCs/>
                <w:sz w:val="22"/>
                <w:szCs w:val="16"/>
                <w:lang w:eastAsia="es-GT"/>
              </w:rPr>
            </w:pPr>
            <w:r w:rsidRPr="000357B1">
              <w:rPr>
                <w:b/>
                <w:bCs/>
                <w:sz w:val="22"/>
                <w:szCs w:val="16"/>
                <w:lang w:eastAsia="es-GT"/>
              </w:rPr>
              <w:t>2021</w:t>
            </w:r>
          </w:p>
        </w:tc>
      </w:tr>
      <w:tr w:rsidR="00F34749" w:rsidRPr="00617478" w:rsidTr="000357B1">
        <w:trPr>
          <w:trHeight w:val="162"/>
          <w:jc w:val="center"/>
        </w:trPr>
        <w:tc>
          <w:tcPr>
            <w:tcW w:w="5409" w:type="dxa"/>
            <w:tcBorders>
              <w:top w:val="nil"/>
              <w:left w:val="single" w:sz="4" w:space="0" w:color="auto"/>
              <w:bottom w:val="nil"/>
              <w:right w:val="nil"/>
            </w:tcBorders>
            <w:shd w:val="clear" w:color="000000" w:fill="D9D9D9"/>
            <w:noWrap/>
            <w:vAlign w:val="bottom"/>
            <w:hideMark/>
          </w:tcPr>
          <w:p w:rsidR="00F34749" w:rsidRPr="000357B1" w:rsidRDefault="00F34749" w:rsidP="00FD700C">
            <w:pPr>
              <w:rPr>
                <w:b/>
                <w:bCs/>
                <w:color w:val="000000"/>
                <w:sz w:val="22"/>
                <w:szCs w:val="16"/>
                <w:lang w:eastAsia="es-GT"/>
              </w:rPr>
            </w:pPr>
            <w:r w:rsidRPr="000357B1">
              <w:rPr>
                <w:b/>
                <w:bCs/>
                <w:color w:val="000000"/>
                <w:sz w:val="22"/>
                <w:szCs w:val="16"/>
                <w:lang w:eastAsia="es-GT"/>
              </w:rPr>
              <w:t xml:space="preserve">Producto </w:t>
            </w:r>
            <w:r w:rsidR="00FD700C">
              <w:rPr>
                <w:b/>
                <w:bCs/>
                <w:color w:val="000000"/>
                <w:sz w:val="22"/>
                <w:szCs w:val="16"/>
                <w:lang w:eastAsia="es-GT"/>
              </w:rPr>
              <w:t>M</w:t>
            </w:r>
            <w:r w:rsidRPr="000357B1">
              <w:rPr>
                <w:b/>
                <w:bCs/>
                <w:color w:val="000000"/>
                <w:sz w:val="22"/>
                <w:szCs w:val="16"/>
                <w:lang w:eastAsia="es-GT"/>
              </w:rPr>
              <w:t>undial</w:t>
            </w:r>
          </w:p>
        </w:tc>
        <w:tc>
          <w:tcPr>
            <w:tcW w:w="1276" w:type="dxa"/>
            <w:tcBorders>
              <w:top w:val="nil"/>
              <w:left w:val="nil"/>
              <w:bottom w:val="nil"/>
              <w:right w:val="nil"/>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2.9</w:t>
            </w:r>
          </w:p>
        </w:tc>
        <w:tc>
          <w:tcPr>
            <w:tcW w:w="1134"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-3.2</w:t>
            </w:r>
          </w:p>
        </w:tc>
        <w:tc>
          <w:tcPr>
            <w:tcW w:w="1297"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6.0</w:t>
            </w:r>
          </w:p>
        </w:tc>
      </w:tr>
      <w:tr w:rsidR="00F34749" w:rsidRPr="00617478" w:rsidTr="000357B1">
        <w:trPr>
          <w:trHeight w:val="104"/>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100" w:firstLine="221"/>
              <w:rPr>
                <w:b/>
                <w:bCs/>
                <w:color w:val="000000"/>
                <w:sz w:val="22"/>
                <w:szCs w:val="16"/>
                <w:lang w:eastAsia="es-GT"/>
              </w:rPr>
            </w:pPr>
            <w:r w:rsidRPr="000357B1">
              <w:rPr>
                <w:b/>
                <w:bCs/>
                <w:color w:val="000000"/>
                <w:sz w:val="22"/>
                <w:szCs w:val="16"/>
                <w:lang w:eastAsia="es-GT"/>
              </w:rPr>
              <w:t xml:space="preserve">Economías </w:t>
            </w:r>
            <w:r w:rsidR="003834B3" w:rsidRPr="000357B1">
              <w:rPr>
                <w:b/>
                <w:bCs/>
                <w:color w:val="000000"/>
                <w:sz w:val="22"/>
                <w:szCs w:val="16"/>
                <w:lang w:eastAsia="es-GT"/>
              </w:rPr>
              <w:t>A</w:t>
            </w:r>
            <w:r w:rsidRPr="000357B1">
              <w:rPr>
                <w:b/>
                <w:bCs/>
                <w:color w:val="000000"/>
                <w:sz w:val="22"/>
                <w:szCs w:val="16"/>
                <w:lang w:eastAsia="es-GT"/>
              </w:rPr>
              <w:t>vanzadas</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1.7</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-4.6</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5.6</w:t>
            </w:r>
          </w:p>
        </w:tc>
      </w:tr>
      <w:tr w:rsidR="00F34749" w:rsidRPr="00617478" w:rsidTr="000357B1">
        <w:trPr>
          <w:trHeight w:val="241"/>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100" w:firstLine="220"/>
              <w:rPr>
                <w:color w:val="000000"/>
                <w:sz w:val="22"/>
                <w:szCs w:val="16"/>
                <w:lang w:eastAsia="es-GT"/>
              </w:rPr>
            </w:pPr>
            <w:r w:rsidRPr="000357B1">
              <w:rPr>
                <w:color w:val="000000"/>
                <w:sz w:val="22"/>
                <w:szCs w:val="16"/>
                <w:lang w:eastAsia="es-GT"/>
              </w:rPr>
              <w:t>Estados Unidos</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2.3</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-3.5</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7.0</w:t>
            </w:r>
          </w:p>
        </w:tc>
      </w:tr>
      <w:tr w:rsidR="00F34749" w:rsidRPr="00617478" w:rsidTr="000357B1">
        <w:trPr>
          <w:trHeight w:val="186"/>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100" w:firstLine="220"/>
              <w:rPr>
                <w:color w:val="000000"/>
                <w:sz w:val="22"/>
                <w:szCs w:val="16"/>
                <w:lang w:eastAsia="es-GT"/>
              </w:rPr>
            </w:pPr>
            <w:r w:rsidRPr="000357B1">
              <w:rPr>
                <w:color w:val="000000"/>
                <w:sz w:val="22"/>
                <w:szCs w:val="16"/>
                <w:lang w:eastAsia="es-GT"/>
              </w:rPr>
              <w:t xml:space="preserve">Zona del </w:t>
            </w:r>
            <w:r w:rsidR="003834B3" w:rsidRPr="000357B1">
              <w:rPr>
                <w:color w:val="000000"/>
                <w:sz w:val="22"/>
                <w:szCs w:val="16"/>
                <w:lang w:eastAsia="es-GT"/>
              </w:rPr>
              <w:t>E</w:t>
            </w:r>
            <w:r w:rsidRPr="000357B1">
              <w:rPr>
                <w:color w:val="000000"/>
                <w:sz w:val="22"/>
                <w:szCs w:val="16"/>
                <w:lang w:eastAsia="es-GT"/>
              </w:rPr>
              <w:t>uro</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1.2</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-6.5</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4.6</w:t>
            </w:r>
          </w:p>
        </w:tc>
      </w:tr>
      <w:tr w:rsidR="00F34749" w:rsidRPr="00617478" w:rsidTr="000357B1">
        <w:trPr>
          <w:trHeight w:val="133"/>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Alemania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0.5</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-4.8</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3.6</w:t>
            </w:r>
          </w:p>
        </w:tc>
      </w:tr>
      <w:tr w:rsidR="00F34749" w:rsidRPr="00617478" w:rsidTr="000357B1">
        <w:trPr>
          <w:trHeight w:val="92"/>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Francia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1.3</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-8.0</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5.8</w:t>
            </w:r>
          </w:p>
        </w:tc>
      </w:tr>
      <w:tr w:rsidR="00F34749" w:rsidRPr="00617478" w:rsidTr="000357B1">
        <w:trPr>
          <w:trHeight w:val="92"/>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Italia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0.2</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-8.9</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4.9</w:t>
            </w:r>
          </w:p>
        </w:tc>
      </w:tr>
      <w:tr w:rsidR="00F34749" w:rsidRPr="00617478" w:rsidTr="000357B1">
        <w:trPr>
          <w:trHeight w:val="144"/>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España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2.0</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-10.8</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6.2</w:t>
            </w:r>
          </w:p>
        </w:tc>
      </w:tr>
      <w:tr w:rsidR="00F34749" w:rsidRPr="00617478" w:rsidTr="000357B1">
        <w:trPr>
          <w:trHeight w:val="111"/>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100" w:firstLine="220"/>
              <w:rPr>
                <w:color w:val="000000"/>
                <w:sz w:val="22"/>
                <w:szCs w:val="16"/>
                <w:lang w:eastAsia="es-GT"/>
              </w:rPr>
            </w:pPr>
            <w:r w:rsidRPr="000357B1">
              <w:rPr>
                <w:color w:val="000000"/>
                <w:sz w:val="22"/>
                <w:szCs w:val="16"/>
                <w:lang w:eastAsia="es-GT"/>
              </w:rPr>
              <w:t>Japón</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1.0</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-4.7</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2.8</w:t>
            </w:r>
          </w:p>
        </w:tc>
      </w:tr>
      <w:tr w:rsidR="00F34749" w:rsidRPr="00617478" w:rsidTr="000357B1">
        <w:trPr>
          <w:trHeight w:val="255"/>
          <w:jc w:val="center"/>
        </w:trPr>
        <w:tc>
          <w:tcPr>
            <w:tcW w:w="5409" w:type="dxa"/>
            <w:tcBorders>
              <w:top w:val="nil"/>
              <w:left w:val="single" w:sz="4" w:space="0" w:color="auto"/>
              <w:bottom w:val="nil"/>
              <w:right w:val="nil"/>
            </w:tcBorders>
            <w:shd w:val="clear" w:color="000000" w:fill="D9D9D9"/>
            <w:noWrap/>
            <w:vAlign w:val="bottom"/>
            <w:hideMark/>
          </w:tcPr>
          <w:p w:rsidR="00F34749" w:rsidRPr="000357B1" w:rsidRDefault="00F34749" w:rsidP="000357B1">
            <w:pPr>
              <w:ind w:firstLineChars="100" w:firstLine="221"/>
              <w:rPr>
                <w:b/>
                <w:bCs/>
                <w:color w:val="000000"/>
                <w:sz w:val="22"/>
                <w:szCs w:val="16"/>
                <w:lang w:eastAsia="es-GT"/>
              </w:rPr>
            </w:pPr>
            <w:r w:rsidRPr="000357B1">
              <w:rPr>
                <w:b/>
                <w:bCs/>
                <w:color w:val="000000"/>
                <w:sz w:val="22"/>
                <w:szCs w:val="16"/>
                <w:lang w:eastAsia="es-GT"/>
              </w:rPr>
              <w:t xml:space="preserve">Economías de </w:t>
            </w:r>
            <w:r w:rsidR="003834B3" w:rsidRPr="000357B1">
              <w:rPr>
                <w:b/>
                <w:bCs/>
                <w:color w:val="000000"/>
                <w:sz w:val="22"/>
                <w:szCs w:val="16"/>
                <w:lang w:eastAsia="es-GT"/>
              </w:rPr>
              <w:t>M</w:t>
            </w:r>
            <w:r w:rsidRPr="000357B1">
              <w:rPr>
                <w:b/>
                <w:bCs/>
                <w:color w:val="000000"/>
                <w:sz w:val="22"/>
                <w:szCs w:val="16"/>
                <w:lang w:eastAsia="es-GT"/>
              </w:rPr>
              <w:t xml:space="preserve">ercados </w:t>
            </w:r>
            <w:r w:rsidR="003834B3" w:rsidRPr="000357B1">
              <w:rPr>
                <w:b/>
                <w:bCs/>
                <w:color w:val="000000"/>
                <w:sz w:val="22"/>
                <w:szCs w:val="16"/>
                <w:lang w:eastAsia="es-GT"/>
              </w:rPr>
              <w:t>E</w:t>
            </w:r>
            <w:r w:rsidRPr="000357B1">
              <w:rPr>
                <w:b/>
                <w:bCs/>
                <w:color w:val="000000"/>
                <w:sz w:val="22"/>
                <w:szCs w:val="16"/>
                <w:lang w:eastAsia="es-GT"/>
              </w:rPr>
              <w:t xml:space="preserve">mergentes y en </w:t>
            </w:r>
            <w:r w:rsidR="003834B3" w:rsidRPr="000357B1">
              <w:rPr>
                <w:b/>
                <w:bCs/>
                <w:color w:val="000000"/>
                <w:sz w:val="22"/>
                <w:szCs w:val="16"/>
                <w:lang w:eastAsia="es-GT"/>
              </w:rPr>
              <w:t>D</w:t>
            </w:r>
            <w:r w:rsidRPr="000357B1">
              <w:rPr>
                <w:b/>
                <w:bCs/>
                <w:color w:val="000000"/>
                <w:sz w:val="22"/>
                <w:szCs w:val="16"/>
                <w:lang w:eastAsia="es-GT"/>
              </w:rPr>
              <w:t>esarrollo</w:t>
            </w:r>
          </w:p>
        </w:tc>
        <w:tc>
          <w:tcPr>
            <w:tcW w:w="1276" w:type="dxa"/>
            <w:tcBorders>
              <w:top w:val="nil"/>
              <w:left w:val="nil"/>
              <w:bottom w:val="nil"/>
              <w:right w:val="nil"/>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3.7</w:t>
            </w:r>
          </w:p>
        </w:tc>
        <w:tc>
          <w:tcPr>
            <w:tcW w:w="1134"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-2.1</w:t>
            </w:r>
          </w:p>
        </w:tc>
        <w:tc>
          <w:tcPr>
            <w:tcW w:w="1297"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6.3</w:t>
            </w:r>
          </w:p>
        </w:tc>
      </w:tr>
      <w:tr w:rsidR="00F34749" w:rsidRPr="00617478" w:rsidTr="000357B1">
        <w:trPr>
          <w:trHeight w:val="165"/>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100" w:firstLine="220"/>
              <w:rPr>
                <w:color w:val="000000"/>
                <w:sz w:val="22"/>
                <w:szCs w:val="16"/>
                <w:lang w:eastAsia="es-GT"/>
              </w:rPr>
            </w:pPr>
            <w:r w:rsidRPr="000357B1">
              <w:rPr>
                <w:color w:val="000000"/>
                <w:sz w:val="22"/>
                <w:szCs w:val="16"/>
                <w:lang w:eastAsia="es-GT"/>
              </w:rPr>
              <w:t xml:space="preserve">Economías </w:t>
            </w:r>
            <w:r w:rsidR="003834B3" w:rsidRPr="000357B1">
              <w:rPr>
                <w:color w:val="000000"/>
                <w:sz w:val="22"/>
                <w:szCs w:val="16"/>
                <w:lang w:eastAsia="es-GT"/>
              </w:rPr>
              <w:t>E</w:t>
            </w:r>
            <w:r w:rsidRPr="000357B1">
              <w:rPr>
                <w:color w:val="000000"/>
                <w:sz w:val="22"/>
                <w:szCs w:val="16"/>
                <w:lang w:eastAsia="es-GT"/>
              </w:rPr>
              <w:t xml:space="preserve">mergentes y en </w:t>
            </w:r>
            <w:r w:rsidR="003834B3" w:rsidRPr="000357B1">
              <w:rPr>
                <w:color w:val="000000"/>
                <w:sz w:val="22"/>
                <w:szCs w:val="16"/>
                <w:lang w:eastAsia="es-GT"/>
              </w:rPr>
              <w:t>D</w:t>
            </w:r>
            <w:r w:rsidRPr="000357B1">
              <w:rPr>
                <w:color w:val="000000"/>
                <w:sz w:val="22"/>
                <w:szCs w:val="16"/>
                <w:lang w:eastAsia="es-GT"/>
              </w:rPr>
              <w:t>esarrollo de Asia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5.6</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-0.9</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7.5</w:t>
            </w:r>
          </w:p>
        </w:tc>
      </w:tr>
      <w:tr w:rsidR="00F34749" w:rsidRPr="00617478" w:rsidTr="000357B1">
        <w:trPr>
          <w:trHeight w:val="132"/>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China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6.1</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2.3</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8.1</w:t>
            </w:r>
          </w:p>
        </w:tc>
      </w:tr>
      <w:tr w:rsidR="00F34749" w:rsidRPr="00617478" w:rsidTr="000357B1">
        <w:trPr>
          <w:trHeight w:val="92"/>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India</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4.8</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-7.3</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9.5</w:t>
            </w:r>
          </w:p>
        </w:tc>
      </w:tr>
      <w:tr w:rsidR="00F34749" w:rsidRPr="00617478" w:rsidTr="000357B1">
        <w:trPr>
          <w:trHeight w:val="223"/>
          <w:jc w:val="center"/>
        </w:trPr>
        <w:tc>
          <w:tcPr>
            <w:tcW w:w="5409" w:type="dxa"/>
            <w:tcBorders>
              <w:top w:val="nil"/>
              <w:left w:val="single" w:sz="4" w:space="0" w:color="auto"/>
              <w:bottom w:val="nil"/>
              <w:right w:val="nil"/>
            </w:tcBorders>
            <w:shd w:val="clear" w:color="000000" w:fill="D9D9D9"/>
            <w:noWrap/>
            <w:vAlign w:val="bottom"/>
            <w:hideMark/>
          </w:tcPr>
          <w:p w:rsidR="00F34749" w:rsidRPr="000357B1" w:rsidRDefault="00F34749" w:rsidP="000357B1">
            <w:pPr>
              <w:ind w:firstLineChars="100" w:firstLine="221"/>
              <w:rPr>
                <w:b/>
                <w:bCs/>
                <w:color w:val="000000"/>
                <w:sz w:val="22"/>
                <w:szCs w:val="16"/>
                <w:lang w:eastAsia="es-GT"/>
              </w:rPr>
            </w:pPr>
            <w:r w:rsidRPr="000357B1">
              <w:rPr>
                <w:b/>
                <w:bCs/>
                <w:color w:val="000000"/>
                <w:sz w:val="22"/>
                <w:szCs w:val="16"/>
                <w:lang w:eastAsia="es-GT"/>
              </w:rPr>
              <w:t xml:space="preserve">América Latina y </w:t>
            </w:r>
            <w:r w:rsidR="003834B3" w:rsidRPr="000357B1">
              <w:rPr>
                <w:b/>
                <w:bCs/>
                <w:color w:val="000000"/>
                <w:sz w:val="22"/>
                <w:szCs w:val="16"/>
                <w:lang w:eastAsia="es-GT"/>
              </w:rPr>
              <w:t>E</w:t>
            </w:r>
            <w:r w:rsidRPr="000357B1">
              <w:rPr>
                <w:b/>
                <w:bCs/>
                <w:color w:val="000000"/>
                <w:sz w:val="22"/>
                <w:szCs w:val="16"/>
                <w:lang w:eastAsia="es-GT"/>
              </w:rPr>
              <w:t>l Caribe</w:t>
            </w:r>
          </w:p>
        </w:tc>
        <w:tc>
          <w:tcPr>
            <w:tcW w:w="1276" w:type="dxa"/>
            <w:tcBorders>
              <w:top w:val="nil"/>
              <w:left w:val="nil"/>
              <w:bottom w:val="nil"/>
              <w:right w:val="nil"/>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0.1</w:t>
            </w:r>
          </w:p>
        </w:tc>
        <w:tc>
          <w:tcPr>
            <w:tcW w:w="1134"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-7.0</w:t>
            </w:r>
          </w:p>
        </w:tc>
        <w:tc>
          <w:tcPr>
            <w:tcW w:w="1297" w:type="dxa"/>
            <w:tcBorders>
              <w:top w:val="nil"/>
              <w:left w:val="nil"/>
              <w:bottom w:val="nil"/>
              <w:right w:val="single" w:sz="4" w:space="0" w:color="auto"/>
            </w:tcBorders>
            <w:shd w:val="clear" w:color="000000" w:fill="D9D9D9"/>
            <w:noWrap/>
            <w:vAlign w:val="center"/>
            <w:hideMark/>
          </w:tcPr>
          <w:p w:rsidR="00F34749" w:rsidRPr="000357B1" w:rsidRDefault="00F34749" w:rsidP="008F67E7">
            <w:pPr>
              <w:jc w:val="center"/>
              <w:rPr>
                <w:b/>
                <w:bCs/>
                <w:color w:val="000000"/>
                <w:sz w:val="22"/>
                <w:szCs w:val="16"/>
                <w:lang w:eastAsia="es-GT"/>
              </w:rPr>
            </w:pPr>
            <w:r w:rsidRPr="000357B1">
              <w:rPr>
                <w:b/>
                <w:bCs/>
                <w:color w:val="000000"/>
                <w:sz w:val="22"/>
                <w:szCs w:val="16"/>
                <w:lang w:eastAsia="es-GT"/>
              </w:rPr>
              <w:t>5.8</w:t>
            </w:r>
          </w:p>
        </w:tc>
      </w:tr>
      <w:tr w:rsidR="00F34749" w:rsidRPr="00617478" w:rsidTr="000357B1">
        <w:trPr>
          <w:trHeight w:val="153"/>
          <w:jc w:val="center"/>
        </w:trPr>
        <w:tc>
          <w:tcPr>
            <w:tcW w:w="5409" w:type="dxa"/>
            <w:tcBorders>
              <w:top w:val="nil"/>
              <w:left w:val="single" w:sz="4" w:space="0" w:color="auto"/>
              <w:bottom w:val="nil"/>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Brasil</w:t>
            </w:r>
          </w:p>
        </w:tc>
        <w:tc>
          <w:tcPr>
            <w:tcW w:w="1276" w:type="dxa"/>
            <w:tcBorders>
              <w:top w:val="nil"/>
              <w:left w:val="nil"/>
              <w:bottom w:val="nil"/>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1.2</w:t>
            </w:r>
          </w:p>
        </w:tc>
        <w:tc>
          <w:tcPr>
            <w:tcW w:w="1134"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-4.1</w:t>
            </w:r>
          </w:p>
        </w:tc>
        <w:tc>
          <w:tcPr>
            <w:tcW w:w="1297" w:type="dxa"/>
            <w:tcBorders>
              <w:top w:val="nil"/>
              <w:left w:val="nil"/>
              <w:bottom w:val="nil"/>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5.3</w:t>
            </w:r>
          </w:p>
        </w:tc>
      </w:tr>
      <w:tr w:rsidR="00F34749" w:rsidRPr="00617478" w:rsidTr="000357B1">
        <w:trPr>
          <w:trHeight w:val="305"/>
          <w:jc w:val="center"/>
        </w:trPr>
        <w:tc>
          <w:tcPr>
            <w:tcW w:w="5409" w:type="dxa"/>
            <w:tcBorders>
              <w:top w:val="nil"/>
              <w:left w:val="single" w:sz="4" w:space="0" w:color="auto"/>
              <w:bottom w:val="single" w:sz="4" w:space="0" w:color="auto"/>
              <w:right w:val="nil"/>
            </w:tcBorders>
            <w:shd w:val="clear" w:color="auto" w:fill="auto"/>
            <w:noWrap/>
            <w:vAlign w:val="bottom"/>
            <w:hideMark/>
          </w:tcPr>
          <w:p w:rsidR="00F34749" w:rsidRPr="000357B1" w:rsidRDefault="00F34749" w:rsidP="000357B1">
            <w:pPr>
              <w:ind w:firstLineChars="200" w:firstLine="440"/>
              <w:rPr>
                <w:color w:val="000000"/>
                <w:sz w:val="22"/>
                <w:szCs w:val="16"/>
                <w:lang w:eastAsia="es-GT"/>
              </w:rPr>
            </w:pPr>
            <w:r w:rsidRPr="000357B1">
              <w:rPr>
                <w:color w:val="000000"/>
                <w:sz w:val="22"/>
                <w:szCs w:val="16"/>
                <w:lang w:eastAsia="es-GT"/>
              </w:rPr>
              <w:t>México</w:t>
            </w:r>
          </w:p>
        </w:tc>
        <w:tc>
          <w:tcPr>
            <w:tcW w:w="1276" w:type="dxa"/>
            <w:tcBorders>
              <w:top w:val="nil"/>
              <w:left w:val="nil"/>
              <w:bottom w:val="single" w:sz="4" w:space="0" w:color="auto"/>
              <w:right w:val="nil"/>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0.0</w:t>
            </w:r>
          </w:p>
        </w:tc>
        <w:tc>
          <w:tcPr>
            <w:tcW w:w="1134" w:type="dxa"/>
            <w:tcBorders>
              <w:top w:val="nil"/>
              <w:left w:val="nil"/>
              <w:bottom w:val="single" w:sz="4" w:space="0" w:color="auto"/>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-8.3</w:t>
            </w:r>
          </w:p>
        </w:tc>
        <w:tc>
          <w:tcPr>
            <w:tcW w:w="1297" w:type="dxa"/>
            <w:tcBorders>
              <w:top w:val="nil"/>
              <w:left w:val="nil"/>
              <w:bottom w:val="single" w:sz="4" w:space="0" w:color="auto"/>
              <w:right w:val="single" w:sz="4" w:space="0" w:color="auto"/>
            </w:tcBorders>
            <w:shd w:val="clear" w:color="auto" w:fill="auto"/>
            <w:noWrap/>
            <w:vAlign w:val="center"/>
            <w:hideMark/>
          </w:tcPr>
          <w:p w:rsidR="00F34749" w:rsidRPr="000357B1" w:rsidRDefault="00F34749" w:rsidP="008F67E7">
            <w:pPr>
              <w:jc w:val="center"/>
              <w:rPr>
                <w:color w:val="000000"/>
                <w:sz w:val="22"/>
                <w:szCs w:val="16"/>
                <w:lang w:eastAsia="es-GT"/>
              </w:rPr>
            </w:pPr>
            <w:r w:rsidRPr="000357B1">
              <w:rPr>
                <w:color w:val="000000"/>
                <w:sz w:val="22"/>
                <w:szCs w:val="16"/>
                <w:lang w:eastAsia="es-GT"/>
              </w:rPr>
              <w:t>6.3</w:t>
            </w:r>
          </w:p>
        </w:tc>
      </w:tr>
    </w:tbl>
    <w:p w:rsidR="00F34749" w:rsidRPr="003834B3" w:rsidRDefault="00F34749" w:rsidP="000357B1">
      <w:pPr>
        <w:jc w:val="both"/>
        <w:rPr>
          <w:sz w:val="18"/>
          <w:lang w:eastAsia="en-US"/>
        </w:rPr>
      </w:pPr>
      <w:r w:rsidRPr="003834B3">
        <w:rPr>
          <w:sz w:val="18"/>
          <w:lang w:eastAsia="en-US"/>
        </w:rPr>
        <w:t>Fuente: Fondo Monetario Internacional, WEO julio 2021 y Banco Mundial, junio 2021.</w:t>
      </w:r>
    </w:p>
    <w:p w:rsidR="00F34749" w:rsidRDefault="00F34749" w:rsidP="00F34749">
      <w:pPr>
        <w:autoSpaceDE w:val="0"/>
        <w:autoSpaceDN w:val="0"/>
        <w:adjustRightInd w:val="0"/>
        <w:jc w:val="both"/>
      </w:pPr>
    </w:p>
    <w:p w:rsidR="00344EB7" w:rsidRDefault="00344EB7" w:rsidP="00F34749">
      <w:pPr>
        <w:autoSpaceDE w:val="0"/>
        <w:autoSpaceDN w:val="0"/>
        <w:adjustRightInd w:val="0"/>
        <w:jc w:val="both"/>
        <w:rPr>
          <w:lang w:eastAsia="en-US"/>
        </w:rPr>
      </w:pPr>
    </w:p>
    <w:p w:rsidR="00344EB7" w:rsidRDefault="00344EB7" w:rsidP="00F34749">
      <w:pPr>
        <w:autoSpaceDE w:val="0"/>
        <w:autoSpaceDN w:val="0"/>
        <w:adjustRightInd w:val="0"/>
        <w:jc w:val="both"/>
        <w:rPr>
          <w:lang w:eastAsia="en-US"/>
        </w:rPr>
      </w:pPr>
    </w:p>
    <w:p w:rsidR="00F34749" w:rsidRDefault="00F34749" w:rsidP="00F34749">
      <w:pPr>
        <w:autoSpaceDE w:val="0"/>
        <w:autoSpaceDN w:val="0"/>
        <w:adjustRightInd w:val="0"/>
        <w:jc w:val="both"/>
        <w:rPr>
          <w:lang w:eastAsia="en-US"/>
        </w:rPr>
      </w:pPr>
      <w:r w:rsidRPr="00F90AF1">
        <w:rPr>
          <w:lang w:eastAsia="en-US"/>
        </w:rPr>
        <w:t>En las economías de mercados emergentes y en desarrollo</w:t>
      </w:r>
      <w:r>
        <w:t xml:space="preserve"> se estima un crecimiento de 6.3%</w:t>
      </w:r>
      <w:r w:rsidR="00DC07A4">
        <w:t>;</w:t>
      </w:r>
      <w:r w:rsidRPr="00F90AF1">
        <w:rPr>
          <w:lang w:eastAsia="en-US"/>
        </w:rPr>
        <w:t xml:space="preserve"> los datos sobre la contratación pública de vacunas hacen pensar que no habrá una protección efectiva para la mayor parte de la población en 2021. Es posible que en 2021 se hagan necesarios confinamientos y medidas de protección con más frecuencia que en las economías avanzadas, lo cual incrementa la probabilidad de </w:t>
      </w:r>
      <w:r>
        <w:rPr>
          <w:lang w:eastAsia="en-US"/>
        </w:rPr>
        <w:t>corregir la tendencia</w:t>
      </w:r>
      <w:r w:rsidRPr="00F90AF1">
        <w:rPr>
          <w:lang w:eastAsia="en-US"/>
        </w:rPr>
        <w:t xml:space="preserve"> del producto potencial de estos países a mediano plazo. Se esperan diferencias considerables entre China y otros países, donde las eficaces medidas de contención, la contundente respuesta en materia de inversión pública y la liquidez de respaldo del banco central han facilitado un</w:t>
      </w:r>
      <w:r w:rsidR="00DC07A4">
        <w:rPr>
          <w:lang w:eastAsia="en-US"/>
        </w:rPr>
        <w:t>a fuerte recuperación.</w:t>
      </w:r>
    </w:p>
    <w:p w:rsidR="00F34749" w:rsidRPr="000D281B" w:rsidRDefault="00F34749" w:rsidP="00F34749">
      <w:pPr>
        <w:autoSpaceDE w:val="0"/>
        <w:autoSpaceDN w:val="0"/>
        <w:adjustRightInd w:val="0"/>
        <w:jc w:val="both"/>
        <w:rPr>
          <w:sz w:val="20"/>
          <w:lang w:eastAsia="en-US"/>
        </w:rPr>
      </w:pPr>
    </w:p>
    <w:p w:rsidR="00F34749" w:rsidRDefault="00F34749" w:rsidP="00F34749">
      <w:pPr>
        <w:autoSpaceDE w:val="0"/>
        <w:autoSpaceDN w:val="0"/>
        <w:adjustRightInd w:val="0"/>
        <w:jc w:val="both"/>
      </w:pPr>
      <w:r w:rsidRPr="009F28E1">
        <w:rPr>
          <w:lang w:eastAsia="en-US"/>
        </w:rPr>
        <w:t xml:space="preserve">En América Latina y </w:t>
      </w:r>
      <w:r w:rsidR="00DC07A4">
        <w:rPr>
          <w:lang w:eastAsia="en-US"/>
        </w:rPr>
        <w:t>E</w:t>
      </w:r>
      <w:r w:rsidRPr="009F28E1">
        <w:rPr>
          <w:lang w:eastAsia="en-US"/>
        </w:rPr>
        <w:t>l Caribe</w:t>
      </w:r>
      <w:r w:rsidR="00DC07A4">
        <w:rPr>
          <w:lang w:eastAsia="en-US"/>
        </w:rPr>
        <w:t>,</w:t>
      </w:r>
      <w:r w:rsidRPr="009F28E1">
        <w:rPr>
          <w:lang w:eastAsia="en-US"/>
        </w:rPr>
        <w:t xml:space="preserve"> en 2021 se espera una recuperación </w:t>
      </w:r>
      <w:r w:rsidR="00DC07A4">
        <w:rPr>
          <w:lang w:eastAsia="en-US"/>
        </w:rPr>
        <w:t>pausada</w:t>
      </w:r>
      <w:r w:rsidRPr="009F28E1">
        <w:rPr>
          <w:lang w:eastAsia="en-US"/>
        </w:rPr>
        <w:t xml:space="preserve"> y a distintas velocidades, gracias al repunte de la manufactura mundial en el segundo semestre de 2020, el crecimiento superó las expectativas en algunos países exportadores grandes de la región, como Argentina, Brasil y Perú, con lo cual el pronóstico para 2021 asciende a 5.8%. No obstante, las perspectivas a más largo plazo siguen dependiendo de</w:t>
      </w:r>
      <w:r w:rsidR="00DC07A4">
        <w:rPr>
          <w:lang w:eastAsia="en-US"/>
        </w:rPr>
        <w:t xml:space="preserve"> la trayectoria de la pandemia.</w:t>
      </w:r>
    </w:p>
    <w:p w:rsidR="00F34749" w:rsidRPr="000D281B" w:rsidRDefault="00F34749" w:rsidP="00F34749">
      <w:pPr>
        <w:autoSpaceDE w:val="0"/>
        <w:autoSpaceDN w:val="0"/>
        <w:adjustRightInd w:val="0"/>
        <w:jc w:val="both"/>
        <w:rPr>
          <w:sz w:val="20"/>
        </w:rPr>
      </w:pPr>
    </w:p>
    <w:p w:rsidR="00F34749" w:rsidRPr="00E05E08" w:rsidRDefault="00F34749" w:rsidP="00F34749">
      <w:pPr>
        <w:autoSpaceDE w:val="0"/>
        <w:autoSpaceDN w:val="0"/>
        <w:adjustRightInd w:val="0"/>
        <w:jc w:val="both"/>
      </w:pPr>
      <w:r>
        <w:t>Sin embargo, las proyecciones están sujetas a riesgos como controlar las nuevas variantes del COVID-19 que han mostrado mayor transmisibilidad y que podrían llevar a los gobiernos a realizar confinamientos para evitar su propagación, tensiones geopolíticas (por ejemplo, el Medio Oriente) que puedan tener repercusiones en la volatilidad de las materias primas. Otro riesgo a la baja es que la vacunación sea más lenta de lo esperado o que las condiciones financieras se deterioren ante aumentos en los costos de financiamiento por el</w:t>
      </w:r>
      <w:r w:rsidR="00DC07A4">
        <w:t xml:space="preserve"> incremento</w:t>
      </w:r>
      <w:r>
        <w:t xml:space="preserve"> en las primas de riesgo.</w:t>
      </w:r>
    </w:p>
    <w:p w:rsidR="00F34749" w:rsidRPr="000D281B" w:rsidRDefault="00F34749" w:rsidP="00F34749">
      <w:pPr>
        <w:rPr>
          <w:sz w:val="14"/>
        </w:rPr>
      </w:pPr>
    </w:p>
    <w:p w:rsidR="00F34749" w:rsidRPr="00A82540" w:rsidRDefault="00F34749" w:rsidP="004C636B">
      <w:pPr>
        <w:pStyle w:val="Ttulo2"/>
        <w:numPr>
          <w:ilvl w:val="0"/>
          <w:numId w:val="8"/>
        </w:numPr>
        <w:ind w:left="426"/>
        <w:rPr>
          <w:rFonts w:ascii="Times New Roman" w:hAnsi="Times New Roman"/>
          <w:color w:val="auto"/>
          <w:sz w:val="24"/>
        </w:rPr>
      </w:pPr>
      <w:bookmarkStart w:id="28" w:name="_Toc81388540"/>
      <w:bookmarkStart w:id="29" w:name="_Toc83713636"/>
      <w:r w:rsidRPr="00A82540">
        <w:rPr>
          <w:rFonts w:ascii="Times New Roman" w:hAnsi="Times New Roman"/>
          <w:color w:val="auto"/>
          <w:sz w:val="24"/>
        </w:rPr>
        <w:t xml:space="preserve">Entorno </w:t>
      </w:r>
      <w:r w:rsidR="00DC07A4" w:rsidRPr="00A82540">
        <w:rPr>
          <w:rFonts w:ascii="Times New Roman" w:hAnsi="Times New Roman"/>
          <w:color w:val="auto"/>
          <w:sz w:val="24"/>
        </w:rPr>
        <w:t>M</w:t>
      </w:r>
      <w:r w:rsidRPr="00A82540">
        <w:rPr>
          <w:rFonts w:ascii="Times New Roman" w:hAnsi="Times New Roman"/>
          <w:color w:val="auto"/>
          <w:sz w:val="24"/>
        </w:rPr>
        <w:t xml:space="preserve">acroeconómico </w:t>
      </w:r>
      <w:r w:rsidR="00DC07A4" w:rsidRPr="00A82540">
        <w:rPr>
          <w:rFonts w:ascii="Times New Roman" w:hAnsi="Times New Roman"/>
          <w:color w:val="auto"/>
          <w:sz w:val="24"/>
        </w:rPr>
        <w:t>N</w:t>
      </w:r>
      <w:r w:rsidRPr="00A82540">
        <w:rPr>
          <w:rFonts w:ascii="Times New Roman" w:hAnsi="Times New Roman"/>
          <w:color w:val="auto"/>
          <w:sz w:val="24"/>
        </w:rPr>
        <w:t>acional</w:t>
      </w:r>
      <w:bookmarkEnd w:id="28"/>
      <w:bookmarkEnd w:id="29"/>
    </w:p>
    <w:p w:rsidR="00F34749" w:rsidRPr="000D281B" w:rsidRDefault="00F34749" w:rsidP="00C3213C">
      <w:pPr>
        <w:pStyle w:val="Ttulo2"/>
        <w:numPr>
          <w:ilvl w:val="0"/>
          <w:numId w:val="0"/>
        </w:numPr>
        <w:ind w:left="576" w:hanging="576"/>
        <w:rPr>
          <w:rFonts w:ascii="Times New Roman" w:hAnsi="Times New Roman"/>
          <w:color w:val="000000" w:themeColor="text1"/>
          <w:sz w:val="10"/>
          <w:szCs w:val="24"/>
        </w:rPr>
      </w:pPr>
    </w:p>
    <w:p w:rsidR="00F34749" w:rsidRDefault="00F34749" w:rsidP="00F34749">
      <w:pPr>
        <w:autoSpaceDE w:val="0"/>
        <w:autoSpaceDN w:val="0"/>
        <w:adjustRightInd w:val="0"/>
        <w:jc w:val="both"/>
      </w:pPr>
      <w:r>
        <w:t xml:space="preserve">A criterio del Fondo Monetario Internacional, </w:t>
      </w:r>
      <w:r w:rsidRPr="0064035A">
        <w:t>Guatemala ha tenido un largo per</w:t>
      </w:r>
      <w:r w:rsidR="00F94002">
        <w:t>í</w:t>
      </w:r>
      <w:r w:rsidRPr="0064035A">
        <w:t>odo de estabilidad macroeconómica respaldada por una gestión fiscal prudente y una política monetaria creíble. Sin embargo, a pesar de los fundamentos sólidos</w:t>
      </w:r>
      <w:r>
        <w:t xml:space="preserve"> de la economía</w:t>
      </w:r>
      <w:r w:rsidRPr="0064035A">
        <w:t>,</w:t>
      </w:r>
      <w:r>
        <w:t xml:space="preserve"> en el presente año,</w:t>
      </w:r>
      <w:r w:rsidRPr="0064035A">
        <w:t xml:space="preserve"> el modelo social y económico </w:t>
      </w:r>
      <w:r>
        <w:t xml:space="preserve">se encuentra en recuperación después del </w:t>
      </w:r>
      <w:r w:rsidRPr="0064035A">
        <w:t>brote del C</w:t>
      </w:r>
      <w:r>
        <w:t>OVID</w:t>
      </w:r>
      <w:r w:rsidRPr="0064035A">
        <w:t>-19, al igual que la gran mayoría de los países del mundo.</w:t>
      </w:r>
      <w:r>
        <w:t xml:space="preserve"> No obstante, a pesar de las campañas de vacunación a nivel nacional y de la gradual normalización de la economía</w:t>
      </w:r>
      <w:r w:rsidR="0009394B">
        <w:t>,</w:t>
      </w:r>
      <w:r>
        <w:t xml:space="preserve"> aún existe incertidumbre del desempeño de las variables macroeconómicas en el segundo semestre del año 2021 debido de la propagación de otras variantes del COVID-19 y de las medidas sanitarias de contención.</w:t>
      </w:r>
    </w:p>
    <w:p w:rsidR="00F34749" w:rsidRPr="000D281B" w:rsidRDefault="00F34749" w:rsidP="00F34749">
      <w:pPr>
        <w:autoSpaceDE w:val="0"/>
        <w:autoSpaceDN w:val="0"/>
        <w:adjustRightInd w:val="0"/>
        <w:jc w:val="both"/>
        <w:rPr>
          <w:sz w:val="20"/>
        </w:rPr>
      </w:pPr>
    </w:p>
    <w:p w:rsidR="00F34749" w:rsidRDefault="00F34749" w:rsidP="00F34749">
      <w:pPr>
        <w:autoSpaceDE w:val="0"/>
        <w:autoSpaceDN w:val="0"/>
        <w:adjustRightInd w:val="0"/>
        <w:jc w:val="both"/>
      </w:pPr>
      <w:r w:rsidRPr="008856B0">
        <w:t>La actividad económica guatemalteca, al cierre de 2021 podría registrar un crecimiento de 5.0%, en un rango entre 4.0% y 6.0%</w:t>
      </w:r>
      <w:r w:rsidR="0091137E">
        <w:t>,</w:t>
      </w:r>
      <w:r w:rsidRPr="008856B0">
        <w:t xml:space="preserve"> según el Banco de Guatemala, el cual es consecuencia, en parte, del efecto </w:t>
      </w:r>
      <w:r w:rsidRPr="00361633">
        <w:rPr>
          <w:i/>
        </w:rPr>
        <w:t>“Catch-up”</w:t>
      </w:r>
      <w:r w:rsidRPr="008856B0">
        <w:t xml:space="preserve"> derivado de la caída en 2020 resultado principalmente de las medidas sanitarias para contener la propagación de la pandemia por COVID-19</w:t>
      </w:r>
      <w:r w:rsidR="0091137E">
        <w:t>;</w:t>
      </w:r>
      <w:r w:rsidRPr="008856B0">
        <w:t xml:space="preserve"> además se prevé un impulso en la economía nacional por la recuperación de la economía mundial principalmente de los principales socios comerciales de Guatemala, proyecciones respaldadas también por el Fondo Monetario Internacional qu</w:t>
      </w:r>
      <w:r w:rsidR="0091137E">
        <w:t>e</w:t>
      </w:r>
      <w:r w:rsidRPr="008856B0">
        <w:t xml:space="preserve"> prevé que el crecimiento para el 2021 sería de 4.5%</w:t>
      </w:r>
      <w:r w:rsidR="0091137E">
        <w:t>;</w:t>
      </w:r>
      <w:r w:rsidRPr="008856B0">
        <w:t xml:space="preserve"> sin embargo</w:t>
      </w:r>
      <w:r w:rsidR="0091137E">
        <w:t>,</w:t>
      </w:r>
      <w:r w:rsidRPr="008856B0">
        <w:t xml:space="preserve"> el Banco Mundial es más conservador al pronosticar un 3.6% para el mismo año y la Comisión Económica para América Latina y </w:t>
      </w:r>
      <w:r w:rsidR="0091137E">
        <w:t>E</w:t>
      </w:r>
      <w:r w:rsidRPr="008856B0">
        <w:t xml:space="preserve">l Caribe </w:t>
      </w:r>
      <w:r w:rsidR="0091137E">
        <w:t>(</w:t>
      </w:r>
      <w:r w:rsidRPr="008856B0">
        <w:t>CEPAL</w:t>
      </w:r>
      <w:r w:rsidR="0091137E">
        <w:t>),</w:t>
      </w:r>
      <w:r w:rsidRPr="008856B0">
        <w:t xml:space="preserve"> en la misma línea conservadora estima que dicho crecimiento estaría en 3.5%.</w:t>
      </w:r>
    </w:p>
    <w:p w:rsidR="00344EB7" w:rsidRDefault="00344EB7" w:rsidP="00F34749">
      <w:pPr>
        <w:autoSpaceDE w:val="0"/>
        <w:autoSpaceDN w:val="0"/>
        <w:adjustRightInd w:val="0"/>
        <w:jc w:val="both"/>
      </w:pPr>
    </w:p>
    <w:p w:rsidR="0091137E" w:rsidRPr="00C67B85" w:rsidRDefault="0091137E" w:rsidP="0091137E">
      <w:pPr>
        <w:autoSpaceDE w:val="0"/>
        <w:autoSpaceDN w:val="0"/>
        <w:adjustRightInd w:val="0"/>
        <w:jc w:val="center"/>
      </w:pPr>
      <w:r w:rsidRPr="00C67B85">
        <w:rPr>
          <w:b/>
          <w:bCs/>
          <w:iCs/>
          <w:color w:val="000000" w:themeColor="text1"/>
        </w:rPr>
        <w:lastRenderedPageBreak/>
        <w:t>Gráfic</w:t>
      </w:r>
      <w:r w:rsidR="00A249D5" w:rsidRPr="00C67B85">
        <w:rPr>
          <w:b/>
          <w:bCs/>
          <w:iCs/>
          <w:color w:val="000000" w:themeColor="text1"/>
        </w:rPr>
        <w:t>a</w:t>
      </w:r>
      <w:r w:rsidRPr="00C67B85">
        <w:rPr>
          <w:b/>
          <w:bCs/>
          <w:iCs/>
          <w:color w:val="000000" w:themeColor="text1"/>
        </w:rPr>
        <w:t xml:space="preserve"> 1</w:t>
      </w:r>
      <w:r w:rsidR="00A249D5" w:rsidRPr="00C67B85">
        <w:rPr>
          <w:b/>
          <w:bCs/>
          <w:iCs/>
          <w:color w:val="000000" w:themeColor="text1"/>
        </w:rPr>
        <w:t>6</w:t>
      </w:r>
      <w:r w:rsidRPr="00C67B85">
        <w:rPr>
          <w:b/>
          <w:bCs/>
          <w:iCs/>
          <w:color w:val="000000" w:themeColor="text1"/>
        </w:rPr>
        <w:t xml:space="preserve">. Proyecciones de </w:t>
      </w:r>
      <w:r w:rsidR="00C67B85" w:rsidRPr="00C67B85">
        <w:rPr>
          <w:b/>
          <w:bCs/>
          <w:iCs/>
          <w:color w:val="000000" w:themeColor="text1"/>
        </w:rPr>
        <w:t>C</w:t>
      </w:r>
      <w:r w:rsidRPr="00C67B85">
        <w:rPr>
          <w:b/>
          <w:bCs/>
          <w:iCs/>
          <w:color w:val="000000" w:themeColor="text1"/>
        </w:rPr>
        <w:t>recimiento para Guatemala en 2021</w:t>
      </w:r>
    </w:p>
    <w:tbl>
      <w:tblPr>
        <w:tblStyle w:val="Tablaconcuadrcula"/>
        <w:tblW w:w="8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34749" w:rsidTr="008F67E7">
        <w:trPr>
          <w:trHeight w:val="156"/>
        </w:trPr>
        <w:tc>
          <w:tcPr>
            <w:tcW w:w="8856" w:type="dxa"/>
          </w:tcPr>
          <w:p w:rsidR="00F34749" w:rsidRPr="00476D0A" w:rsidRDefault="00F34749" w:rsidP="008F67E7">
            <w:pPr>
              <w:pStyle w:val="Descripcin"/>
              <w:keepNext/>
              <w:jc w:val="center"/>
              <w:rPr>
                <w:rFonts w:ascii="Times New Roman" w:hAnsi="Times New Roman" w:cs="Times New Roman"/>
                <w:b/>
                <w:bCs/>
                <w:i w:val="0"/>
                <w:iCs w:val="0"/>
                <w:color w:val="000000" w:themeColor="text1"/>
                <w:sz w:val="24"/>
                <w:szCs w:val="24"/>
              </w:rPr>
            </w:pPr>
            <w:r>
              <w:rPr>
                <w:noProof/>
                <w:lang w:eastAsia="es-GT"/>
              </w:rPr>
              <w:drawing>
                <wp:anchor distT="0" distB="0" distL="114300" distR="114300" simplePos="0" relativeHeight="251676672" behindDoc="0" locked="0" layoutInCell="1" allowOverlap="1" wp14:anchorId="4E6540C1" wp14:editId="1D721803">
                  <wp:simplePos x="0" y="0"/>
                  <wp:positionH relativeFrom="column">
                    <wp:posOffset>5715</wp:posOffset>
                  </wp:positionH>
                  <wp:positionV relativeFrom="paragraph">
                    <wp:posOffset>1270</wp:posOffset>
                  </wp:positionV>
                  <wp:extent cx="5705475" cy="2533650"/>
                  <wp:effectExtent l="0" t="0" r="0" b="0"/>
                  <wp:wrapSquare wrapText="bothSides"/>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tc>
      </w:tr>
      <w:tr w:rsidR="00F34749" w:rsidTr="008F67E7">
        <w:trPr>
          <w:trHeight w:val="105"/>
        </w:trPr>
        <w:tc>
          <w:tcPr>
            <w:tcW w:w="8856" w:type="dxa"/>
          </w:tcPr>
          <w:p w:rsidR="00F34749" w:rsidRPr="0091137E" w:rsidRDefault="00C55F0D" w:rsidP="00C55F0D">
            <w:pPr>
              <w:autoSpaceDE w:val="0"/>
              <w:autoSpaceDN w:val="0"/>
              <w:adjustRightInd w:val="0"/>
              <w:jc w:val="both"/>
              <w:rPr>
                <w:sz w:val="18"/>
                <w:szCs w:val="20"/>
              </w:rPr>
            </w:pPr>
            <w:r>
              <w:rPr>
                <w:noProof/>
                <w:sz w:val="18"/>
                <w:lang w:val="es-ES_tradnl"/>
              </w:rPr>
              <w:t>Fuente: Ministerio de Finanzas Públicas.</w:t>
            </w:r>
          </w:p>
        </w:tc>
      </w:tr>
    </w:tbl>
    <w:p w:rsidR="00F34749" w:rsidRPr="00876E25" w:rsidRDefault="00F34749" w:rsidP="00F34749">
      <w:pPr>
        <w:autoSpaceDE w:val="0"/>
        <w:autoSpaceDN w:val="0"/>
        <w:adjustRightInd w:val="0"/>
        <w:jc w:val="both"/>
        <w:rPr>
          <w:sz w:val="22"/>
        </w:rPr>
      </w:pPr>
    </w:p>
    <w:p w:rsidR="00F34749" w:rsidRPr="008856B0" w:rsidRDefault="00F34749" w:rsidP="00F34749">
      <w:pPr>
        <w:autoSpaceDE w:val="0"/>
        <w:autoSpaceDN w:val="0"/>
        <w:adjustRightInd w:val="0"/>
        <w:jc w:val="both"/>
      </w:pPr>
      <w:r w:rsidRPr="008856B0">
        <w:t>En</w:t>
      </w:r>
      <w:r>
        <w:t xml:space="preserve"> el primer semestre del</w:t>
      </w:r>
      <w:r w:rsidRPr="008856B0">
        <w:t xml:space="preserve"> 2021 se </w:t>
      </w:r>
      <w:r>
        <w:t>ha observado</w:t>
      </w:r>
      <w:r w:rsidRPr="008856B0">
        <w:t xml:space="preserve"> una recuperación del empleo, crecimiento del ingreso de divisas por remesas familiares, reactivación del turismo interno, estabilidad de los precios, así como mejores condiciones financieras que en el ámbito crediticio </w:t>
      </w:r>
      <w:r>
        <w:t>han impulsado</w:t>
      </w:r>
      <w:r w:rsidRPr="008856B0">
        <w:t xml:space="preserve"> la recuperación del consumo privado</w:t>
      </w:r>
      <w:r w:rsidR="003378C7">
        <w:t>;</w:t>
      </w:r>
      <w:r w:rsidRPr="008856B0">
        <w:t xml:space="preserve"> con ello se estima una mejora sustancial de la demanda interna que pasará de una caída de 1.8% en 2020 a un crecimiento de </w:t>
      </w:r>
      <w:r>
        <w:t>6.0</w:t>
      </w:r>
      <w:r w:rsidRPr="008856B0">
        <w:t>% en 2021. En cuanto al gobierno general se prevé un incremento en el consumo derivado de mayores niveles de compras de bienes y servicios y contrataciones de personal que aumentará el nivel de remuneraciones particularmente en el gobierno central.</w:t>
      </w:r>
    </w:p>
    <w:p w:rsidR="00F34749" w:rsidRDefault="00F34749" w:rsidP="00F34749">
      <w:pPr>
        <w:autoSpaceDE w:val="0"/>
        <w:autoSpaceDN w:val="0"/>
        <w:adjustRightInd w:val="0"/>
        <w:jc w:val="both"/>
      </w:pPr>
    </w:p>
    <w:p w:rsidR="00F34749" w:rsidRPr="00476D0A" w:rsidRDefault="00F34749" w:rsidP="00F34749">
      <w:pPr>
        <w:autoSpaceDE w:val="0"/>
        <w:autoSpaceDN w:val="0"/>
        <w:adjustRightInd w:val="0"/>
        <w:jc w:val="both"/>
      </w:pPr>
      <w:r>
        <w:t xml:space="preserve">Asimismo, en el 2021 se ha experimentado la </w:t>
      </w:r>
      <w:r w:rsidRPr="00476D0A">
        <w:t>reactivación económica con una mayor asignación de recursos para la reconstrucción de infraestructura dañada por las tormentas tropicales Eta e Iota</w:t>
      </w:r>
      <w:r w:rsidR="003378C7">
        <w:t>,</w:t>
      </w:r>
      <w:r w:rsidRPr="00476D0A">
        <w:t xml:space="preserve"> así como construcción de viviendas, se estima un incremento en la formación bruta de capital fijo de </w:t>
      </w:r>
      <w:r>
        <w:t>10</w:t>
      </w:r>
      <w:r w:rsidRPr="00476D0A">
        <w:t>.4% para el 2021 luego de una caída de 5.9% en el año anterior</w:t>
      </w:r>
      <w:r w:rsidR="003378C7">
        <w:t>. D</w:t>
      </w:r>
      <w:r w:rsidRPr="00476D0A">
        <w:t xml:space="preserve">icha expectativa se refleja en un mayor nivel de confianza de la actividad económica según lo refleja la Encuesta de Expectativas Económicas del Panel de Analistas Privados (EEE) cuyo índice muestra a junio </w:t>
      </w:r>
      <w:r w:rsidR="003378C7">
        <w:t>de 2021</w:t>
      </w:r>
      <w:r w:rsidRPr="00476D0A">
        <w:t xml:space="preserve"> un nivel de 76.1 puntos, superior en 2.5 puntos porcentuales con respecto al registrado en mayo de 2021 (73.5 puntos) y aumento 37.7 puntos porcentuales respecto </w:t>
      </w:r>
      <w:r w:rsidR="003378C7">
        <w:t>del</w:t>
      </w:r>
      <w:r w:rsidRPr="00476D0A">
        <w:t xml:space="preserve"> registrado en junio de 2020 (32.6)</w:t>
      </w:r>
      <w:r w:rsidR="003378C7">
        <w:t>, siendo</w:t>
      </w:r>
      <w:r w:rsidRPr="00476D0A">
        <w:t xml:space="preserve"> importante destacar que dicho índice es el mayor</w:t>
      </w:r>
      <w:r w:rsidR="003378C7">
        <w:t xml:space="preserve"> de los últimos años.</w:t>
      </w:r>
    </w:p>
    <w:p w:rsidR="00F34749" w:rsidRDefault="00F34749" w:rsidP="00F34749">
      <w:pPr>
        <w:autoSpaceDE w:val="0"/>
        <w:autoSpaceDN w:val="0"/>
        <w:adjustRightInd w:val="0"/>
        <w:jc w:val="both"/>
      </w:pPr>
    </w:p>
    <w:p w:rsidR="00F34749" w:rsidRDefault="00F34749" w:rsidP="00F34749">
      <w:pPr>
        <w:ind w:right="49"/>
        <w:jc w:val="both"/>
        <w:rPr>
          <w:lang w:val="es-MX"/>
        </w:rPr>
      </w:pPr>
      <w:r w:rsidRPr="00FE76BD">
        <w:rPr>
          <w:lang w:val="es-MX"/>
        </w:rPr>
        <w:t xml:space="preserve">El ritmo inflacionario de enero a mayo de </w:t>
      </w:r>
      <w:r>
        <w:rPr>
          <w:lang w:val="es-MX"/>
        </w:rPr>
        <w:t>2021</w:t>
      </w:r>
      <w:r w:rsidRPr="00FE76BD">
        <w:rPr>
          <w:lang w:val="es-MX"/>
        </w:rPr>
        <w:t xml:space="preserve"> estuvo </w:t>
      </w:r>
      <w:r>
        <w:rPr>
          <w:lang w:val="es-MX"/>
        </w:rPr>
        <w:t>por encima</w:t>
      </w:r>
      <w:r w:rsidRPr="00FE76BD">
        <w:rPr>
          <w:lang w:val="es-MX"/>
        </w:rPr>
        <w:t xml:space="preserve"> de la meta establecida por el Banco de Guatemala</w:t>
      </w:r>
      <w:r w:rsidR="00934AD2">
        <w:rPr>
          <w:lang w:val="es-MX"/>
        </w:rPr>
        <w:t>;</w:t>
      </w:r>
      <w:r w:rsidRPr="00FE76BD">
        <w:rPr>
          <w:lang w:val="es-MX"/>
        </w:rPr>
        <w:t xml:space="preserve"> en mayo se situó en </w:t>
      </w:r>
      <w:r>
        <w:rPr>
          <w:lang w:val="es-MX"/>
        </w:rPr>
        <w:t>5.2</w:t>
      </w:r>
      <w:r w:rsidRPr="00FE76BD">
        <w:rPr>
          <w:lang w:val="es-MX"/>
        </w:rPr>
        <w:t xml:space="preserve">%, posteriormente en el mes de junio </w:t>
      </w:r>
      <w:r>
        <w:rPr>
          <w:lang w:val="es-MX"/>
        </w:rPr>
        <w:t>se observó una disminución</w:t>
      </w:r>
      <w:r w:rsidRPr="00FE76BD">
        <w:rPr>
          <w:lang w:val="es-MX"/>
        </w:rPr>
        <w:t xml:space="preserve"> y la inflación interanual se ubicó en </w:t>
      </w:r>
      <w:r>
        <w:rPr>
          <w:lang w:val="es-MX"/>
        </w:rPr>
        <w:t>3.9</w:t>
      </w:r>
      <w:r w:rsidRPr="00FE76BD">
        <w:rPr>
          <w:lang w:val="es-MX"/>
        </w:rPr>
        <w:t>%.</w:t>
      </w:r>
      <w:r>
        <w:rPr>
          <w:lang w:val="es-MX"/>
        </w:rPr>
        <w:t xml:space="preserve"> Sin embargo, el comportamiento de la inflación del primer semestre se debe a un efecto comparativo de la baja inflación experimentada en el 2020 por los efectos en la pandemia que afectaron componentes del Índice de Precios al </w:t>
      </w:r>
      <w:r w:rsidR="00934AD2">
        <w:rPr>
          <w:lang w:val="es-MX"/>
        </w:rPr>
        <w:t>C</w:t>
      </w:r>
      <w:r>
        <w:rPr>
          <w:lang w:val="es-MX"/>
        </w:rPr>
        <w:t>onsumidor de los que destacan el transporte, vivienda, agua, electricidad, gas, otros combustibles, entre otros componentes que fueron afectados principalmente por el aumento en el precio de los productos de energía.</w:t>
      </w:r>
    </w:p>
    <w:p w:rsidR="00F34749" w:rsidRDefault="00F34749" w:rsidP="00F34749">
      <w:pPr>
        <w:ind w:right="49"/>
        <w:jc w:val="both"/>
        <w:rPr>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tblGrid>
      <w:tr w:rsidR="00F34749" w:rsidTr="008F67E7">
        <w:tc>
          <w:tcPr>
            <w:tcW w:w="8828" w:type="dxa"/>
          </w:tcPr>
          <w:p w:rsidR="00F34749" w:rsidRPr="00E3691E" w:rsidRDefault="00F34749" w:rsidP="008125B6">
            <w:pPr>
              <w:pStyle w:val="Descripcin"/>
              <w:keepNext/>
              <w:jc w:val="center"/>
              <w:rPr>
                <w:rFonts w:ascii="Times New Roman" w:hAnsi="Times New Roman" w:cs="Times New Roman"/>
                <w:b/>
                <w:bCs/>
                <w:i w:val="0"/>
                <w:iCs w:val="0"/>
                <w:color w:val="000000" w:themeColor="text1"/>
                <w:sz w:val="24"/>
                <w:szCs w:val="24"/>
              </w:rPr>
            </w:pPr>
            <w:r w:rsidRPr="00C4461F">
              <w:rPr>
                <w:rFonts w:ascii="Times New Roman" w:hAnsi="Times New Roman" w:cs="Times New Roman"/>
                <w:b/>
                <w:bCs/>
                <w:i w:val="0"/>
                <w:iCs w:val="0"/>
                <w:color w:val="000000" w:themeColor="text1"/>
                <w:sz w:val="24"/>
                <w:szCs w:val="24"/>
              </w:rPr>
              <w:t>Gráfic</w:t>
            </w:r>
            <w:r w:rsidR="008125B6">
              <w:rPr>
                <w:rFonts w:ascii="Times New Roman" w:hAnsi="Times New Roman" w:cs="Times New Roman"/>
                <w:b/>
                <w:bCs/>
                <w:i w:val="0"/>
                <w:iCs w:val="0"/>
                <w:color w:val="000000" w:themeColor="text1"/>
                <w:sz w:val="24"/>
                <w:szCs w:val="24"/>
              </w:rPr>
              <w:t>a</w:t>
            </w:r>
            <w:r w:rsidRPr="00C4461F">
              <w:rPr>
                <w:rFonts w:ascii="Times New Roman" w:hAnsi="Times New Roman" w:cs="Times New Roman"/>
                <w:b/>
                <w:bCs/>
                <w:i w:val="0"/>
                <w:iCs w:val="0"/>
                <w:color w:val="000000" w:themeColor="text1"/>
                <w:sz w:val="24"/>
                <w:szCs w:val="24"/>
              </w:rPr>
              <w:t xml:space="preserve"> </w:t>
            </w:r>
            <w:r w:rsidR="00A249D5">
              <w:rPr>
                <w:rFonts w:ascii="Times New Roman" w:hAnsi="Times New Roman" w:cs="Times New Roman"/>
                <w:b/>
                <w:bCs/>
                <w:i w:val="0"/>
                <w:iCs w:val="0"/>
                <w:color w:val="000000" w:themeColor="text1"/>
                <w:sz w:val="24"/>
                <w:szCs w:val="24"/>
              </w:rPr>
              <w:t>17</w:t>
            </w:r>
            <w:r>
              <w:rPr>
                <w:rFonts w:ascii="Times New Roman" w:hAnsi="Times New Roman" w:cs="Times New Roman"/>
                <w:b/>
                <w:bCs/>
                <w:i w:val="0"/>
                <w:iCs w:val="0"/>
                <w:color w:val="000000" w:themeColor="text1"/>
                <w:sz w:val="24"/>
                <w:szCs w:val="24"/>
              </w:rPr>
              <w:t xml:space="preserve">. Inflación </w:t>
            </w:r>
            <w:r w:rsidR="00F910E6">
              <w:rPr>
                <w:rFonts w:ascii="Times New Roman" w:hAnsi="Times New Roman" w:cs="Times New Roman"/>
                <w:b/>
                <w:bCs/>
                <w:i w:val="0"/>
                <w:iCs w:val="0"/>
                <w:color w:val="000000" w:themeColor="text1"/>
                <w:sz w:val="24"/>
                <w:szCs w:val="24"/>
              </w:rPr>
              <w:t>I</w:t>
            </w:r>
            <w:r>
              <w:rPr>
                <w:rFonts w:ascii="Times New Roman" w:hAnsi="Times New Roman" w:cs="Times New Roman"/>
                <w:b/>
                <w:bCs/>
                <w:i w:val="0"/>
                <w:iCs w:val="0"/>
                <w:color w:val="000000" w:themeColor="text1"/>
                <w:sz w:val="24"/>
                <w:szCs w:val="24"/>
              </w:rPr>
              <w:t>nteranual en 202</w:t>
            </w:r>
            <w:r w:rsidR="00F910E6">
              <w:rPr>
                <w:rFonts w:ascii="Times New Roman" w:hAnsi="Times New Roman" w:cs="Times New Roman"/>
                <w:b/>
                <w:bCs/>
                <w:i w:val="0"/>
                <w:iCs w:val="0"/>
                <w:color w:val="000000" w:themeColor="text1"/>
                <w:sz w:val="24"/>
                <w:szCs w:val="24"/>
              </w:rPr>
              <w:t>1</w:t>
            </w:r>
          </w:p>
        </w:tc>
      </w:tr>
      <w:tr w:rsidR="00F34749" w:rsidTr="008F67E7">
        <w:tc>
          <w:tcPr>
            <w:tcW w:w="8828" w:type="dxa"/>
          </w:tcPr>
          <w:p w:rsidR="00F34749" w:rsidRDefault="00F34749" w:rsidP="008F67E7">
            <w:pPr>
              <w:ind w:right="49"/>
              <w:jc w:val="both"/>
              <w:rPr>
                <w:lang w:val="es-MX"/>
              </w:rPr>
            </w:pPr>
            <w:r>
              <w:rPr>
                <w:noProof/>
                <w:lang w:val="es-GT" w:eastAsia="es-GT"/>
              </w:rPr>
              <w:drawing>
                <wp:inline distT="0" distB="0" distL="0" distR="0" wp14:anchorId="3D0FF425" wp14:editId="28160D1B">
                  <wp:extent cx="5486400" cy="21600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F34749" w:rsidTr="008F67E7">
        <w:tc>
          <w:tcPr>
            <w:tcW w:w="8828" w:type="dxa"/>
          </w:tcPr>
          <w:p w:rsidR="00F34749" w:rsidRPr="00F910E6" w:rsidRDefault="00F34749" w:rsidP="008F67E7">
            <w:pPr>
              <w:ind w:right="49"/>
              <w:jc w:val="both"/>
              <w:rPr>
                <w:sz w:val="18"/>
                <w:lang w:val="es-MX"/>
              </w:rPr>
            </w:pPr>
            <w:r w:rsidRPr="00F910E6">
              <w:rPr>
                <w:sz w:val="18"/>
                <w:szCs w:val="20"/>
              </w:rPr>
              <w:t xml:space="preserve">Fuente: Banco de Guatemala </w:t>
            </w:r>
          </w:p>
        </w:tc>
      </w:tr>
    </w:tbl>
    <w:p w:rsidR="00F34749" w:rsidRPr="002A5E18" w:rsidRDefault="00F34749" w:rsidP="00F34749">
      <w:pPr>
        <w:ind w:right="49"/>
        <w:jc w:val="both"/>
        <w:rPr>
          <w:lang w:val="es-MX"/>
        </w:rPr>
      </w:pPr>
    </w:p>
    <w:p w:rsidR="00F34749" w:rsidRDefault="00F34749" w:rsidP="00F34749">
      <w:pPr>
        <w:ind w:right="49"/>
        <w:jc w:val="both"/>
        <w:rPr>
          <w:lang w:val="es-MX"/>
        </w:rPr>
      </w:pPr>
      <w:r w:rsidRPr="00E3691E">
        <w:rPr>
          <w:lang w:val="es-MX"/>
        </w:rPr>
        <w:t>Las exportaciones FOB de comercio exterior acumuladas a junio de 2021</w:t>
      </w:r>
      <w:r w:rsidR="00F910E6">
        <w:rPr>
          <w:lang w:val="es-MX"/>
        </w:rPr>
        <w:t>,</w:t>
      </w:r>
      <w:r w:rsidRPr="00E3691E">
        <w:rPr>
          <w:lang w:val="es-MX"/>
        </w:rPr>
        <w:t xml:space="preserve"> se situaron en US$6,690.3 millones, representando una tasa de crecimiento interanual de 20.8% con respecto a las exportaciones acumuladas a junio </w:t>
      </w:r>
      <w:r w:rsidR="00F910E6">
        <w:rPr>
          <w:lang w:val="es-MX"/>
        </w:rPr>
        <w:t xml:space="preserve">de </w:t>
      </w:r>
      <w:r w:rsidRPr="00E3691E">
        <w:rPr>
          <w:lang w:val="es-MX"/>
        </w:rPr>
        <w:t xml:space="preserve">2020. Entre los principales productos según la participación </w:t>
      </w:r>
      <w:r w:rsidR="00F910E6">
        <w:rPr>
          <w:lang w:val="es-MX"/>
        </w:rPr>
        <w:t xml:space="preserve">porcentual </w:t>
      </w:r>
      <w:r w:rsidRPr="00E3691E">
        <w:rPr>
          <w:lang w:val="es-MX"/>
        </w:rPr>
        <w:t xml:space="preserve">se encuentra el cardamomo (7.0%) que presenta una tasa de crecimiento acumulado a junio de 2021 de 6.2%, los artículos de vestuario (10.8%) tienen una tasa de crecimiento acumulada de 29.5%, el azúcar (5.1%) con una baja negativa de 13.3% al igual que el banano (5.9%) con una tasa negativa de 4.3%. El principal destino de las exportaciones hasta febrero </w:t>
      </w:r>
      <w:r w:rsidR="00F910E6">
        <w:rPr>
          <w:lang w:val="es-MX"/>
        </w:rPr>
        <w:t xml:space="preserve">de </w:t>
      </w:r>
      <w:r w:rsidRPr="00E3691E">
        <w:rPr>
          <w:lang w:val="es-MX"/>
        </w:rPr>
        <w:t>2021 ha sido E</w:t>
      </w:r>
      <w:r w:rsidR="00F910E6">
        <w:rPr>
          <w:lang w:val="es-MX"/>
        </w:rPr>
        <w:t>stados Unidos</w:t>
      </w:r>
      <w:r w:rsidRPr="00E3691E">
        <w:rPr>
          <w:lang w:val="es-MX"/>
        </w:rPr>
        <w:t xml:space="preserve"> (30.8%), Centro</w:t>
      </w:r>
      <w:r w:rsidR="00F910E6">
        <w:rPr>
          <w:lang w:val="es-MX"/>
        </w:rPr>
        <w:t xml:space="preserve"> A</w:t>
      </w:r>
      <w:r w:rsidRPr="00E3691E">
        <w:rPr>
          <w:lang w:val="es-MX"/>
        </w:rPr>
        <w:t>mérica (31.0%), Zona de Euro (8.7</w:t>
      </w:r>
      <w:r w:rsidR="00F910E6">
        <w:rPr>
          <w:lang w:val="es-MX"/>
        </w:rPr>
        <w:t>%), México (4.1%), entre otros.</w:t>
      </w:r>
    </w:p>
    <w:p w:rsidR="00F34749" w:rsidRPr="00E3691E" w:rsidRDefault="00F34749" w:rsidP="00F34749">
      <w:pPr>
        <w:ind w:right="49"/>
        <w:jc w:val="both"/>
        <w:rPr>
          <w:lang w:val="es-MX"/>
        </w:rPr>
      </w:pPr>
    </w:p>
    <w:p w:rsidR="00F34749" w:rsidRPr="00E3691E" w:rsidRDefault="00F34749" w:rsidP="00F34749">
      <w:pPr>
        <w:ind w:right="49"/>
        <w:jc w:val="both"/>
        <w:rPr>
          <w:lang w:val="es-MX"/>
        </w:rPr>
      </w:pPr>
      <w:r w:rsidRPr="00E3691E">
        <w:rPr>
          <w:lang w:val="es-MX"/>
        </w:rPr>
        <w:t>Por el lado de las importaciones CIF, estas se situaron en US$12,007.4 millones a junio de 2021, con una tasa de crecimiento de 38.1% con respecto a las importaciones a junio de 2020. Los bienes de capital tuvieron un crecimiento en este per</w:t>
      </w:r>
      <w:r w:rsidR="00DF413C">
        <w:rPr>
          <w:lang w:val="es-MX"/>
        </w:rPr>
        <w:t>í</w:t>
      </w:r>
      <w:r w:rsidRPr="00E3691E">
        <w:rPr>
          <w:lang w:val="es-MX"/>
        </w:rPr>
        <w:t>odo de 50.9%, impulsados principalmente por los bienes de capital para la agricultura que tuvieron un crecimiento de 93.5% y los bienes de capital de transporte con una tasa de 79.2%. Asimismo, los bienes de consumo que representaron el 31.4% del total de importaciones tuvieron un incremento de 33.7%, esto debido principalmente al aumento en los bienes de consumo duraderos con una tasa de 58.6% y el crecimiento de 56.9% de los bienes semiduraderos. Los principales países vendedores de las importaciones fueron E</w:t>
      </w:r>
      <w:r w:rsidR="00DF413C">
        <w:rPr>
          <w:lang w:val="es-MX"/>
        </w:rPr>
        <w:t>stados Unidos</w:t>
      </w:r>
      <w:r w:rsidRPr="00E3691E">
        <w:rPr>
          <w:lang w:val="es-MX"/>
        </w:rPr>
        <w:t xml:space="preserve"> (35.4%), China (13.8%), Centro</w:t>
      </w:r>
      <w:r w:rsidR="00DF413C">
        <w:rPr>
          <w:lang w:val="es-MX"/>
        </w:rPr>
        <w:t xml:space="preserve"> A</w:t>
      </w:r>
      <w:r w:rsidRPr="00E3691E">
        <w:rPr>
          <w:lang w:val="es-MX"/>
        </w:rPr>
        <w:t>mérica (11.9%), México (10</w:t>
      </w:r>
      <w:r w:rsidR="00DF413C">
        <w:rPr>
          <w:lang w:val="es-MX"/>
        </w:rPr>
        <w:t>.9%) y la Zona del Euro (6.0%).</w:t>
      </w:r>
    </w:p>
    <w:p w:rsidR="00F34749" w:rsidRPr="00E3691E" w:rsidRDefault="00F34749" w:rsidP="00F34749">
      <w:pPr>
        <w:ind w:right="49"/>
        <w:jc w:val="both"/>
        <w:rPr>
          <w:lang w:val="es-MX"/>
        </w:rPr>
      </w:pPr>
    </w:p>
    <w:p w:rsidR="00F34749" w:rsidRDefault="00F34749" w:rsidP="00F34749">
      <w:pPr>
        <w:ind w:right="49"/>
        <w:jc w:val="both"/>
        <w:rPr>
          <w:lang w:val="es-MX"/>
        </w:rPr>
      </w:pPr>
      <w:r w:rsidRPr="00E3691E">
        <w:rPr>
          <w:lang w:val="es-MX"/>
        </w:rPr>
        <w:t>Dada la mejora del comercio exterior que se visualiza en el primer semestre de 2021 y a la recuperación esperada de la demanda mundial y de los precios de las materias prima</w:t>
      </w:r>
      <w:r w:rsidR="00DF413C">
        <w:rPr>
          <w:lang w:val="es-MX"/>
        </w:rPr>
        <w:t>s,</w:t>
      </w:r>
      <w:r w:rsidRPr="00E3691E">
        <w:rPr>
          <w:lang w:val="es-MX"/>
        </w:rPr>
        <w:t xml:space="preserve"> se prevé una tasa de crecimiento anual de 10.5% para las exportaciones de bienes. Por otro lado, </w:t>
      </w:r>
      <w:r>
        <w:rPr>
          <w:lang w:val="es-MX"/>
        </w:rPr>
        <w:t xml:space="preserve">dada </w:t>
      </w:r>
      <w:r w:rsidRPr="00E3691E">
        <w:rPr>
          <w:lang w:val="es-MX"/>
        </w:rPr>
        <w:t>la recuperación de la demanda interna en el 2021 por la disminución de la incertidumbre acerca de la evolución de la pandemia por las vacunas y la reducción de medidas de movilidad</w:t>
      </w:r>
      <w:r w:rsidR="00DF413C">
        <w:rPr>
          <w:lang w:val="es-MX"/>
        </w:rPr>
        <w:t>,</w:t>
      </w:r>
      <w:r w:rsidRPr="00E3691E">
        <w:rPr>
          <w:lang w:val="es-MX"/>
        </w:rPr>
        <w:t xml:space="preserve"> se espera que las importaciones tengan un crecimiento en 2021 de 18.5%.</w:t>
      </w:r>
    </w:p>
    <w:p w:rsidR="00F34749" w:rsidRDefault="00F34749" w:rsidP="00F34749">
      <w:pPr>
        <w:ind w:right="49"/>
        <w:jc w:val="both"/>
        <w:rPr>
          <w:lang w:val="es-MX"/>
        </w:rPr>
      </w:pPr>
    </w:p>
    <w:p w:rsidR="00F34749" w:rsidRDefault="00F34749" w:rsidP="00F34749">
      <w:pPr>
        <w:ind w:right="49"/>
        <w:jc w:val="both"/>
        <w:rPr>
          <w:lang w:val="es-MX"/>
        </w:rPr>
      </w:pPr>
    </w:p>
    <w:p w:rsidR="00F34749" w:rsidRDefault="00F34749" w:rsidP="00F34749">
      <w:pPr>
        <w:ind w:right="49"/>
        <w:jc w:val="both"/>
        <w:rPr>
          <w:lang w:val="es-MX"/>
        </w:rPr>
      </w:pPr>
    </w:p>
    <w:p w:rsidR="00F34749" w:rsidRPr="00DF413C" w:rsidRDefault="00F34749" w:rsidP="00F34749">
      <w:pPr>
        <w:ind w:right="49"/>
        <w:jc w:val="both"/>
        <w:rPr>
          <w:sz w:val="8"/>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F34749" w:rsidTr="008F67E7">
        <w:tc>
          <w:tcPr>
            <w:tcW w:w="8828" w:type="dxa"/>
            <w:gridSpan w:val="2"/>
          </w:tcPr>
          <w:p w:rsidR="00F34749" w:rsidRPr="000D0501" w:rsidRDefault="00F34749" w:rsidP="008125B6">
            <w:pPr>
              <w:ind w:right="49"/>
              <w:jc w:val="center"/>
              <w:rPr>
                <w:b/>
                <w:bCs/>
                <w:lang w:val="es-MX"/>
              </w:rPr>
            </w:pPr>
            <w:r>
              <w:rPr>
                <w:b/>
                <w:bCs/>
                <w:lang w:val="es-MX"/>
              </w:rPr>
              <w:t>Gráfic</w:t>
            </w:r>
            <w:r w:rsidR="008125B6">
              <w:rPr>
                <w:b/>
                <w:bCs/>
                <w:lang w:val="es-MX"/>
              </w:rPr>
              <w:t>a</w:t>
            </w:r>
            <w:r>
              <w:rPr>
                <w:b/>
                <w:bCs/>
                <w:lang w:val="es-MX"/>
              </w:rPr>
              <w:t xml:space="preserve"> </w:t>
            </w:r>
            <w:r w:rsidR="00A249D5">
              <w:rPr>
                <w:b/>
                <w:bCs/>
                <w:lang w:val="es-MX"/>
              </w:rPr>
              <w:t>18</w:t>
            </w:r>
            <w:r>
              <w:rPr>
                <w:b/>
                <w:bCs/>
                <w:lang w:val="es-MX"/>
              </w:rPr>
              <w:t xml:space="preserve">. </w:t>
            </w:r>
            <w:r w:rsidRPr="000D0501">
              <w:rPr>
                <w:b/>
                <w:bCs/>
                <w:lang w:val="es-MX"/>
              </w:rPr>
              <w:t xml:space="preserve">Tasa de </w:t>
            </w:r>
            <w:r w:rsidR="00DF413C">
              <w:rPr>
                <w:b/>
                <w:bCs/>
                <w:lang w:val="es-MX"/>
              </w:rPr>
              <w:t>C</w:t>
            </w:r>
            <w:r w:rsidRPr="000D0501">
              <w:rPr>
                <w:b/>
                <w:bCs/>
                <w:lang w:val="es-MX"/>
              </w:rPr>
              <w:t xml:space="preserve">recimiento </w:t>
            </w:r>
            <w:r w:rsidR="00DF413C">
              <w:rPr>
                <w:b/>
                <w:bCs/>
                <w:lang w:val="es-MX"/>
              </w:rPr>
              <w:t>A</w:t>
            </w:r>
            <w:r w:rsidRPr="000D0501">
              <w:rPr>
                <w:b/>
                <w:bCs/>
                <w:lang w:val="es-MX"/>
              </w:rPr>
              <w:t>cumulada a junio 2021</w:t>
            </w:r>
            <w:r>
              <w:rPr>
                <w:b/>
                <w:bCs/>
                <w:lang w:val="es-MX"/>
              </w:rPr>
              <w:t xml:space="preserve"> (en </w:t>
            </w:r>
            <w:r w:rsidR="00A249D5">
              <w:rPr>
                <w:b/>
                <w:bCs/>
                <w:lang w:val="es-MX"/>
              </w:rPr>
              <w:t>P</w:t>
            </w:r>
            <w:r>
              <w:rPr>
                <w:b/>
                <w:bCs/>
                <w:lang w:val="es-MX"/>
              </w:rPr>
              <w:t>orcentaje</w:t>
            </w:r>
            <w:r w:rsidR="00A249D5">
              <w:rPr>
                <w:b/>
                <w:bCs/>
                <w:lang w:val="es-MX"/>
              </w:rPr>
              <w:t>s</w:t>
            </w:r>
            <w:r>
              <w:rPr>
                <w:b/>
                <w:bCs/>
                <w:lang w:val="es-MX"/>
              </w:rPr>
              <w:t>)</w:t>
            </w:r>
          </w:p>
        </w:tc>
      </w:tr>
      <w:tr w:rsidR="00F34749" w:rsidTr="008F67E7">
        <w:tc>
          <w:tcPr>
            <w:tcW w:w="4414" w:type="dxa"/>
          </w:tcPr>
          <w:p w:rsidR="00F34749" w:rsidRPr="000D0501" w:rsidRDefault="00F34749" w:rsidP="008F67E7">
            <w:pPr>
              <w:ind w:right="49"/>
              <w:jc w:val="center"/>
              <w:rPr>
                <w:b/>
                <w:bCs/>
                <w:lang w:val="es-MX"/>
              </w:rPr>
            </w:pPr>
            <w:r w:rsidRPr="000D0501">
              <w:rPr>
                <w:b/>
                <w:bCs/>
                <w:lang w:val="es-MX"/>
              </w:rPr>
              <w:t>Importaciones CIF y Exportaciones FOB</w:t>
            </w:r>
          </w:p>
        </w:tc>
        <w:tc>
          <w:tcPr>
            <w:tcW w:w="4414" w:type="dxa"/>
          </w:tcPr>
          <w:p w:rsidR="00F34749" w:rsidRPr="000D0501" w:rsidRDefault="00F34749" w:rsidP="008F67E7">
            <w:pPr>
              <w:ind w:right="49"/>
              <w:jc w:val="center"/>
              <w:rPr>
                <w:b/>
                <w:bCs/>
                <w:lang w:val="es-MX"/>
              </w:rPr>
            </w:pPr>
            <w:r w:rsidRPr="000D0501">
              <w:rPr>
                <w:b/>
                <w:bCs/>
                <w:lang w:val="es-MX"/>
              </w:rPr>
              <w:t>Remesas Familiares</w:t>
            </w:r>
          </w:p>
        </w:tc>
      </w:tr>
      <w:tr w:rsidR="00F34749" w:rsidTr="008F67E7">
        <w:tc>
          <w:tcPr>
            <w:tcW w:w="4414" w:type="dxa"/>
          </w:tcPr>
          <w:p w:rsidR="00F34749" w:rsidRDefault="00F34749" w:rsidP="008F67E7">
            <w:pPr>
              <w:ind w:right="49"/>
              <w:jc w:val="both"/>
              <w:rPr>
                <w:lang w:val="es-MX"/>
              </w:rPr>
            </w:pPr>
            <w:r w:rsidRPr="00D46F8E">
              <w:rPr>
                <w:b/>
                <w:noProof/>
                <w:lang w:val="es-GT" w:eastAsia="es-GT"/>
              </w:rPr>
              <w:drawing>
                <wp:inline distT="0" distB="0" distL="0" distR="0" wp14:anchorId="71017A3B" wp14:editId="60BB16D4">
                  <wp:extent cx="2699385" cy="2000250"/>
                  <wp:effectExtent l="0" t="0" r="5715" b="0"/>
                  <wp:docPr id="1" name="Gráfico 1">
                    <a:extLst xmlns:a="http://schemas.openxmlformats.org/drawingml/2006/main">
                      <a:ext uri="{FF2B5EF4-FFF2-40B4-BE49-F238E27FC236}">
                        <a16:creationId xmlns:a16="http://schemas.microsoft.com/office/drawing/2014/main" id="{54B0AAC1-B47A-4A04-BC0E-0DD9F0AD3A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414" w:type="dxa"/>
          </w:tcPr>
          <w:p w:rsidR="00F34749" w:rsidRDefault="00F34749" w:rsidP="008F67E7">
            <w:pPr>
              <w:ind w:right="49"/>
              <w:jc w:val="both"/>
              <w:rPr>
                <w:lang w:val="es-MX"/>
              </w:rPr>
            </w:pPr>
            <w:r w:rsidRPr="00D46F8E">
              <w:rPr>
                <w:noProof/>
                <w:lang w:val="es-GT" w:eastAsia="es-GT"/>
              </w:rPr>
              <w:drawing>
                <wp:inline distT="0" distB="0" distL="0" distR="0" wp14:anchorId="0467A45A" wp14:editId="1718C24D">
                  <wp:extent cx="2699385" cy="1952625"/>
                  <wp:effectExtent l="0" t="0" r="5715" b="0"/>
                  <wp:docPr id="21" name="Gráfico 21">
                    <a:extLst xmlns:a="http://schemas.openxmlformats.org/drawingml/2006/main">
                      <a:ext uri="{FF2B5EF4-FFF2-40B4-BE49-F238E27FC236}">
                        <a16:creationId xmlns:a16="http://schemas.microsoft.com/office/drawing/2014/main" id="{32354DCB-92AF-489B-A4DF-99A3551AE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F34749" w:rsidTr="008F67E7">
        <w:tc>
          <w:tcPr>
            <w:tcW w:w="8828" w:type="dxa"/>
            <w:gridSpan w:val="2"/>
          </w:tcPr>
          <w:p w:rsidR="00F34749" w:rsidRPr="00DF413C" w:rsidRDefault="00F34749" w:rsidP="008F67E7">
            <w:pPr>
              <w:ind w:right="49"/>
              <w:jc w:val="both"/>
              <w:rPr>
                <w:sz w:val="18"/>
                <w:lang w:val="es-MX"/>
              </w:rPr>
            </w:pPr>
            <w:r w:rsidRPr="00DF413C">
              <w:rPr>
                <w:sz w:val="18"/>
                <w:szCs w:val="20"/>
              </w:rPr>
              <w:t xml:space="preserve">Fuente: Banco de Guatemala </w:t>
            </w:r>
          </w:p>
        </w:tc>
      </w:tr>
    </w:tbl>
    <w:p w:rsidR="00F34749" w:rsidRPr="00E3691E" w:rsidRDefault="00F34749" w:rsidP="00F34749">
      <w:pPr>
        <w:ind w:right="49"/>
        <w:jc w:val="both"/>
        <w:rPr>
          <w:lang w:val="es-MX"/>
        </w:rPr>
      </w:pPr>
    </w:p>
    <w:p w:rsidR="00F34749" w:rsidRPr="00D46F8E" w:rsidRDefault="00F34749" w:rsidP="00F34749">
      <w:pPr>
        <w:ind w:right="49"/>
        <w:jc w:val="both"/>
        <w:rPr>
          <w:lang w:val="es-MX"/>
        </w:rPr>
      </w:pPr>
      <w:r>
        <w:rPr>
          <w:lang w:val="es-MX"/>
        </w:rPr>
        <w:t xml:space="preserve">La tasa de crecimiento acumulada a junio de 2021 del ingreso de divisas por remesas familiares ascendió a 42.7%, esto se debe a la </w:t>
      </w:r>
      <w:r w:rsidRPr="00D46F8E">
        <w:rPr>
          <w:lang w:val="es-MX"/>
        </w:rPr>
        <w:t>recuperación económica de E</w:t>
      </w:r>
      <w:r w:rsidR="00DF413C">
        <w:rPr>
          <w:lang w:val="es-MX"/>
        </w:rPr>
        <w:t>stados Unidos</w:t>
      </w:r>
      <w:r w:rsidRPr="00D46F8E">
        <w:rPr>
          <w:lang w:val="es-MX"/>
        </w:rPr>
        <w:t xml:space="preserve"> por la reapertura económica y por el impacto de las medidas fiscales </w:t>
      </w:r>
      <w:r>
        <w:rPr>
          <w:lang w:val="es-MX"/>
        </w:rPr>
        <w:t>de</w:t>
      </w:r>
      <w:r w:rsidRPr="00D46F8E">
        <w:rPr>
          <w:lang w:val="es-MX"/>
        </w:rPr>
        <w:t xml:space="preserve"> 2021</w:t>
      </w:r>
      <w:r>
        <w:rPr>
          <w:lang w:val="es-MX"/>
        </w:rPr>
        <w:t xml:space="preserve">. Para el cierre de 2021 </w:t>
      </w:r>
      <w:r w:rsidRPr="00D46F8E">
        <w:rPr>
          <w:lang w:val="es-MX"/>
        </w:rPr>
        <w:t>se estima que el aumento en el ingreso de divisas por remesas familiares sea del 21.0%</w:t>
      </w:r>
      <w:r w:rsidR="00DF413C">
        <w:rPr>
          <w:lang w:val="es-MX"/>
        </w:rPr>
        <w:t>,</w:t>
      </w:r>
      <w:r w:rsidRPr="00D46F8E">
        <w:rPr>
          <w:lang w:val="es-MX"/>
        </w:rPr>
        <w:t xml:space="preserve"> lo que proporcionaría saldos superavitarios en el ingreso secundario que nuevamente compensarían los déficits esperados del ingreso primario y de la balanza comercial de bienes y servicios. Derivado de lo anterior, se espera que el superávit de la cuenta corriente represente el 4.9% del PIB de 2021.</w:t>
      </w:r>
    </w:p>
    <w:p w:rsidR="00F34749" w:rsidRDefault="00F34749" w:rsidP="00F34749">
      <w:pPr>
        <w:autoSpaceDE w:val="0"/>
        <w:autoSpaceDN w:val="0"/>
        <w:adjustRightInd w:val="0"/>
        <w:jc w:val="both"/>
        <w:rPr>
          <w:b/>
        </w:rPr>
      </w:pPr>
    </w:p>
    <w:p w:rsidR="00F34749" w:rsidRPr="002C15CC" w:rsidRDefault="00F34749" w:rsidP="00F34749">
      <w:pPr>
        <w:ind w:right="49"/>
        <w:jc w:val="both"/>
        <w:rPr>
          <w:lang w:val="es-MX"/>
        </w:rPr>
      </w:pPr>
      <w:r w:rsidRPr="00FE76BD">
        <w:rPr>
          <w:lang w:val="es-MX"/>
        </w:rPr>
        <w:t>A</w:t>
      </w:r>
      <w:r>
        <w:rPr>
          <w:lang w:val="es-MX"/>
        </w:rPr>
        <w:t xml:space="preserve"> </w:t>
      </w:r>
      <w:r w:rsidRPr="00FE76BD">
        <w:rPr>
          <w:lang w:val="es-MX"/>
        </w:rPr>
        <w:t xml:space="preserve">junio de </w:t>
      </w:r>
      <w:r>
        <w:rPr>
          <w:lang w:val="es-MX"/>
        </w:rPr>
        <w:t>2021</w:t>
      </w:r>
      <w:r w:rsidRPr="00FE76BD">
        <w:rPr>
          <w:lang w:val="es-MX"/>
        </w:rPr>
        <w:t xml:space="preserve"> </w:t>
      </w:r>
      <w:r>
        <w:rPr>
          <w:lang w:val="es-MX"/>
        </w:rPr>
        <w:t>el tipo de cambio de referencia se ubicó en Q</w:t>
      </w:r>
      <w:r w:rsidR="00DF413C">
        <w:rPr>
          <w:lang w:val="es-MX"/>
        </w:rPr>
        <w:t>.</w:t>
      </w:r>
      <w:r>
        <w:rPr>
          <w:lang w:val="es-MX"/>
        </w:rPr>
        <w:t>7.74</w:t>
      </w:r>
      <w:r w:rsidRPr="00E77829">
        <w:rPr>
          <w:lang w:val="es-MX"/>
        </w:rPr>
        <w:t xml:space="preserve"> </w:t>
      </w:r>
      <w:r w:rsidRPr="00FE76BD">
        <w:rPr>
          <w:lang w:val="es-MX"/>
        </w:rPr>
        <w:t>x US$1.00</w:t>
      </w:r>
      <w:r>
        <w:rPr>
          <w:lang w:val="es-MX"/>
        </w:rPr>
        <w:t xml:space="preserve"> presentando una depreciación interanual de 0.57%. El tipo de cambio se ha mantenido estable a pesar del comportamiento de las importaciones, exportaciones y de las remesas familiares. Asimismo, el Banco de Guatemala ha participado en el mercado cambiario con US$1,017.8 millones mediante la regla de participación y del mecanismo de acumulación de reservas monetarias internacional</w:t>
      </w:r>
      <w:r w:rsidR="00DF413C">
        <w:rPr>
          <w:lang w:val="es-MX"/>
        </w:rPr>
        <w:t>es</w:t>
      </w:r>
      <w:r>
        <w:rPr>
          <w:lang w:val="es-MX"/>
        </w:rPr>
        <w:t xml:space="preserve"> con el objetivo de reducir la volatilidad del tipo de cambio nom</w:t>
      </w:r>
      <w:r w:rsidR="00DF413C">
        <w:rPr>
          <w:lang w:val="es-MX"/>
        </w:rPr>
        <w:t>inal, sin afectar su tendencia.</w:t>
      </w:r>
    </w:p>
    <w:p w:rsidR="00F34749" w:rsidRDefault="00F34749" w:rsidP="00F34749">
      <w:pPr>
        <w:autoSpaceDE w:val="0"/>
        <w:autoSpaceDN w:val="0"/>
        <w:adjustRightInd w:val="0"/>
        <w:jc w:val="both"/>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F34749" w:rsidTr="008F67E7">
        <w:tc>
          <w:tcPr>
            <w:tcW w:w="4419" w:type="dxa"/>
          </w:tcPr>
          <w:p w:rsidR="00F34749" w:rsidRPr="00DB3403" w:rsidRDefault="00F34749" w:rsidP="008125B6">
            <w:pPr>
              <w:pStyle w:val="Descripcin"/>
              <w:keepNext/>
              <w:spacing w:after="0"/>
              <w:jc w:val="center"/>
              <w:rPr>
                <w:rFonts w:ascii="Times New Roman" w:hAnsi="Times New Roman" w:cs="Times New Roman"/>
                <w:b/>
                <w:bCs/>
                <w:i w:val="0"/>
                <w:iCs w:val="0"/>
                <w:color w:val="000000" w:themeColor="text1"/>
                <w:sz w:val="24"/>
                <w:szCs w:val="24"/>
              </w:rPr>
            </w:pPr>
            <w:r w:rsidRPr="0008610E">
              <w:rPr>
                <w:rFonts w:ascii="Times New Roman" w:hAnsi="Times New Roman" w:cs="Times New Roman"/>
                <w:b/>
                <w:bCs/>
                <w:i w:val="0"/>
                <w:iCs w:val="0"/>
                <w:color w:val="000000" w:themeColor="text1"/>
                <w:sz w:val="24"/>
                <w:szCs w:val="24"/>
              </w:rPr>
              <w:t>Gráfic</w:t>
            </w:r>
            <w:r w:rsidR="008125B6">
              <w:rPr>
                <w:rFonts w:ascii="Times New Roman" w:hAnsi="Times New Roman" w:cs="Times New Roman"/>
                <w:b/>
                <w:bCs/>
                <w:i w:val="0"/>
                <w:iCs w:val="0"/>
                <w:color w:val="000000" w:themeColor="text1"/>
                <w:sz w:val="24"/>
                <w:szCs w:val="24"/>
              </w:rPr>
              <w:t>a</w:t>
            </w:r>
            <w:r w:rsidRPr="0008610E">
              <w:rPr>
                <w:rFonts w:ascii="Times New Roman" w:hAnsi="Times New Roman" w:cs="Times New Roman"/>
                <w:b/>
                <w:bCs/>
                <w:i w:val="0"/>
                <w:iCs w:val="0"/>
                <w:color w:val="000000" w:themeColor="text1"/>
                <w:sz w:val="24"/>
                <w:szCs w:val="24"/>
              </w:rPr>
              <w:t xml:space="preserve"> </w:t>
            </w:r>
            <w:r w:rsidR="00A249D5">
              <w:rPr>
                <w:rFonts w:ascii="Times New Roman" w:hAnsi="Times New Roman" w:cs="Times New Roman"/>
                <w:b/>
                <w:bCs/>
                <w:i w:val="0"/>
                <w:iCs w:val="0"/>
                <w:color w:val="000000" w:themeColor="text1"/>
                <w:sz w:val="24"/>
                <w:szCs w:val="24"/>
              </w:rPr>
              <w:t>19</w:t>
            </w:r>
            <w:r>
              <w:rPr>
                <w:rFonts w:ascii="Times New Roman" w:hAnsi="Times New Roman" w:cs="Times New Roman"/>
                <w:b/>
                <w:bCs/>
                <w:i w:val="0"/>
                <w:iCs w:val="0"/>
                <w:color w:val="000000" w:themeColor="text1"/>
                <w:sz w:val="24"/>
                <w:szCs w:val="24"/>
              </w:rPr>
              <w:t xml:space="preserve">. Tipo de </w:t>
            </w:r>
            <w:r w:rsidR="00DF413C">
              <w:rPr>
                <w:rFonts w:ascii="Times New Roman" w:hAnsi="Times New Roman" w:cs="Times New Roman"/>
                <w:b/>
                <w:bCs/>
                <w:i w:val="0"/>
                <w:iCs w:val="0"/>
                <w:color w:val="000000" w:themeColor="text1"/>
                <w:sz w:val="24"/>
                <w:szCs w:val="24"/>
              </w:rPr>
              <w:t>C</w:t>
            </w:r>
            <w:r>
              <w:rPr>
                <w:rFonts w:ascii="Times New Roman" w:hAnsi="Times New Roman" w:cs="Times New Roman"/>
                <w:b/>
                <w:bCs/>
                <w:i w:val="0"/>
                <w:iCs w:val="0"/>
                <w:color w:val="000000" w:themeColor="text1"/>
                <w:sz w:val="24"/>
                <w:szCs w:val="24"/>
              </w:rPr>
              <w:t xml:space="preserve">ambio de </w:t>
            </w:r>
            <w:r w:rsidR="00DF413C">
              <w:rPr>
                <w:rFonts w:ascii="Times New Roman" w:hAnsi="Times New Roman" w:cs="Times New Roman"/>
                <w:b/>
                <w:bCs/>
                <w:i w:val="0"/>
                <w:iCs w:val="0"/>
                <w:color w:val="000000" w:themeColor="text1"/>
                <w:sz w:val="24"/>
                <w:szCs w:val="24"/>
              </w:rPr>
              <w:t>R</w:t>
            </w:r>
            <w:r>
              <w:rPr>
                <w:rFonts w:ascii="Times New Roman" w:hAnsi="Times New Roman" w:cs="Times New Roman"/>
                <w:b/>
                <w:bCs/>
                <w:i w:val="0"/>
                <w:iCs w:val="0"/>
                <w:color w:val="000000" w:themeColor="text1"/>
                <w:sz w:val="24"/>
                <w:szCs w:val="24"/>
              </w:rPr>
              <w:t>eferencia en 2021</w:t>
            </w:r>
          </w:p>
        </w:tc>
        <w:tc>
          <w:tcPr>
            <w:tcW w:w="4419" w:type="dxa"/>
          </w:tcPr>
          <w:p w:rsidR="00F34749" w:rsidRPr="00DB3403" w:rsidRDefault="00F34749" w:rsidP="008125B6">
            <w:pPr>
              <w:pStyle w:val="Descripcin"/>
              <w:keepNext/>
              <w:spacing w:after="0"/>
              <w:jc w:val="center"/>
              <w:rPr>
                <w:rFonts w:ascii="Times New Roman" w:hAnsi="Times New Roman" w:cs="Times New Roman"/>
                <w:b/>
                <w:bCs/>
                <w:i w:val="0"/>
                <w:iCs w:val="0"/>
                <w:color w:val="000000" w:themeColor="text1"/>
                <w:sz w:val="24"/>
                <w:szCs w:val="24"/>
              </w:rPr>
            </w:pPr>
            <w:r w:rsidRPr="0008610E">
              <w:rPr>
                <w:rFonts w:ascii="Times New Roman" w:hAnsi="Times New Roman" w:cs="Times New Roman"/>
                <w:b/>
                <w:bCs/>
                <w:i w:val="0"/>
                <w:iCs w:val="0"/>
                <w:color w:val="000000" w:themeColor="text1"/>
                <w:sz w:val="24"/>
                <w:szCs w:val="24"/>
              </w:rPr>
              <w:t>Gráfic</w:t>
            </w:r>
            <w:r w:rsidR="008125B6">
              <w:rPr>
                <w:rFonts w:ascii="Times New Roman" w:hAnsi="Times New Roman" w:cs="Times New Roman"/>
                <w:b/>
                <w:bCs/>
                <w:i w:val="0"/>
                <w:iCs w:val="0"/>
                <w:color w:val="000000" w:themeColor="text1"/>
                <w:sz w:val="24"/>
                <w:szCs w:val="24"/>
              </w:rPr>
              <w:t>a</w:t>
            </w:r>
            <w:r w:rsidRPr="0008610E">
              <w:rPr>
                <w:rFonts w:ascii="Times New Roman" w:hAnsi="Times New Roman" w:cs="Times New Roman"/>
                <w:b/>
                <w:bCs/>
                <w:i w:val="0"/>
                <w:iCs w:val="0"/>
                <w:color w:val="000000" w:themeColor="text1"/>
                <w:sz w:val="24"/>
                <w:szCs w:val="24"/>
              </w:rPr>
              <w:t xml:space="preserve"> </w:t>
            </w:r>
            <w:r w:rsidR="00A249D5">
              <w:rPr>
                <w:rFonts w:ascii="Times New Roman" w:hAnsi="Times New Roman" w:cs="Times New Roman"/>
                <w:b/>
                <w:bCs/>
                <w:i w:val="0"/>
                <w:iCs w:val="0"/>
                <w:color w:val="000000" w:themeColor="text1"/>
                <w:sz w:val="24"/>
                <w:szCs w:val="24"/>
              </w:rPr>
              <w:t>20</w:t>
            </w:r>
            <w:r w:rsidR="00C67B85">
              <w:rPr>
                <w:rFonts w:ascii="Times New Roman" w:hAnsi="Times New Roman" w:cs="Times New Roman"/>
                <w:b/>
                <w:bCs/>
                <w:i w:val="0"/>
                <w:iCs w:val="0"/>
                <w:color w:val="000000" w:themeColor="text1"/>
                <w:sz w:val="24"/>
                <w:szCs w:val="24"/>
              </w:rPr>
              <w:t>. Precio S</w:t>
            </w:r>
            <w:r>
              <w:rPr>
                <w:rFonts w:ascii="Times New Roman" w:hAnsi="Times New Roman" w:cs="Times New Roman"/>
                <w:b/>
                <w:bCs/>
                <w:i w:val="0"/>
                <w:iCs w:val="0"/>
                <w:color w:val="000000" w:themeColor="text1"/>
                <w:sz w:val="24"/>
                <w:szCs w:val="24"/>
              </w:rPr>
              <w:t xml:space="preserve">pot del </w:t>
            </w:r>
            <w:r w:rsidR="00DF413C">
              <w:rPr>
                <w:rFonts w:ascii="Times New Roman" w:hAnsi="Times New Roman" w:cs="Times New Roman"/>
                <w:b/>
                <w:bCs/>
                <w:i w:val="0"/>
                <w:iCs w:val="0"/>
                <w:color w:val="000000" w:themeColor="text1"/>
                <w:sz w:val="24"/>
                <w:szCs w:val="24"/>
              </w:rPr>
              <w:t>B</w:t>
            </w:r>
            <w:r>
              <w:rPr>
                <w:rFonts w:ascii="Times New Roman" w:hAnsi="Times New Roman" w:cs="Times New Roman"/>
                <w:b/>
                <w:bCs/>
                <w:i w:val="0"/>
                <w:iCs w:val="0"/>
                <w:color w:val="000000" w:themeColor="text1"/>
                <w:sz w:val="24"/>
                <w:szCs w:val="24"/>
              </w:rPr>
              <w:t xml:space="preserve">arril de </w:t>
            </w:r>
            <w:r w:rsidR="00DF413C">
              <w:rPr>
                <w:rFonts w:ascii="Times New Roman" w:hAnsi="Times New Roman" w:cs="Times New Roman"/>
                <w:b/>
                <w:bCs/>
                <w:i w:val="0"/>
                <w:iCs w:val="0"/>
                <w:color w:val="000000" w:themeColor="text1"/>
                <w:sz w:val="24"/>
                <w:szCs w:val="24"/>
              </w:rPr>
              <w:t>P</w:t>
            </w:r>
            <w:r>
              <w:rPr>
                <w:rFonts w:ascii="Times New Roman" w:hAnsi="Times New Roman" w:cs="Times New Roman"/>
                <w:b/>
                <w:bCs/>
                <w:i w:val="0"/>
                <w:iCs w:val="0"/>
                <w:color w:val="000000" w:themeColor="text1"/>
                <w:sz w:val="24"/>
                <w:szCs w:val="24"/>
              </w:rPr>
              <w:t>etróleo WTI en 2021</w:t>
            </w:r>
          </w:p>
        </w:tc>
      </w:tr>
      <w:tr w:rsidR="00F34749" w:rsidTr="008F67E7">
        <w:tc>
          <w:tcPr>
            <w:tcW w:w="4419" w:type="dxa"/>
          </w:tcPr>
          <w:p w:rsidR="00F34749" w:rsidRPr="002C15CC" w:rsidRDefault="00F34749" w:rsidP="008F67E7">
            <w:pPr>
              <w:ind w:right="49"/>
              <w:jc w:val="both"/>
              <w:rPr>
                <w:color w:val="262626" w:themeColor="accent6" w:themeShade="80"/>
                <w:lang w:val="es-MX"/>
              </w:rPr>
            </w:pPr>
            <w:r w:rsidRPr="002C15CC">
              <w:rPr>
                <w:b/>
                <w:noProof/>
                <w:color w:val="262626" w:themeColor="accent6" w:themeShade="80"/>
                <w:lang w:val="es-GT" w:eastAsia="es-GT"/>
              </w:rPr>
              <w:drawing>
                <wp:inline distT="0" distB="0" distL="0" distR="0" wp14:anchorId="2BE2C0E4" wp14:editId="350EB828">
                  <wp:extent cx="2699385" cy="1847850"/>
                  <wp:effectExtent l="0" t="0" r="5715"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419" w:type="dxa"/>
          </w:tcPr>
          <w:p w:rsidR="00F34749" w:rsidRDefault="00F34749" w:rsidP="008F67E7">
            <w:pPr>
              <w:ind w:right="49"/>
              <w:jc w:val="both"/>
              <w:rPr>
                <w:lang w:val="es-MX"/>
              </w:rPr>
            </w:pPr>
            <w:r w:rsidRPr="00D46F8E">
              <w:rPr>
                <w:noProof/>
                <w:lang w:val="es-GT" w:eastAsia="es-GT"/>
              </w:rPr>
              <w:drawing>
                <wp:inline distT="0" distB="0" distL="0" distR="0" wp14:anchorId="10BB9B65" wp14:editId="08452266">
                  <wp:extent cx="2699385" cy="1990725"/>
                  <wp:effectExtent l="0" t="0" r="5715" b="0"/>
                  <wp:docPr id="25" name="Gráfico 25">
                    <a:extLst xmlns:a="http://schemas.openxmlformats.org/drawingml/2006/main">
                      <a:ext uri="{FF2B5EF4-FFF2-40B4-BE49-F238E27FC236}">
                        <a16:creationId xmlns:a16="http://schemas.microsoft.com/office/drawing/2014/main" id="{32354DCB-92AF-489B-A4DF-99A3551AE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F34749" w:rsidTr="008F67E7">
        <w:tc>
          <w:tcPr>
            <w:tcW w:w="8838" w:type="dxa"/>
            <w:gridSpan w:val="2"/>
          </w:tcPr>
          <w:p w:rsidR="00F34749" w:rsidRPr="00DF413C" w:rsidRDefault="00F34749" w:rsidP="008F67E7">
            <w:pPr>
              <w:ind w:right="49"/>
              <w:jc w:val="both"/>
              <w:rPr>
                <w:sz w:val="18"/>
                <w:lang w:val="es-MX"/>
              </w:rPr>
            </w:pPr>
            <w:r w:rsidRPr="00DF413C">
              <w:rPr>
                <w:sz w:val="18"/>
                <w:szCs w:val="20"/>
              </w:rPr>
              <w:t xml:space="preserve">Fuente: Banco de Guatemala </w:t>
            </w:r>
          </w:p>
        </w:tc>
      </w:tr>
    </w:tbl>
    <w:p w:rsidR="00F34749" w:rsidRPr="00925355" w:rsidRDefault="00F34749" w:rsidP="00F34749">
      <w:pPr>
        <w:autoSpaceDE w:val="0"/>
        <w:autoSpaceDN w:val="0"/>
        <w:adjustRightInd w:val="0"/>
        <w:jc w:val="both"/>
        <w:rPr>
          <w:b/>
          <w:sz w:val="16"/>
        </w:rPr>
      </w:pPr>
    </w:p>
    <w:p w:rsidR="00F34749" w:rsidRDefault="00F34749" w:rsidP="00F34749">
      <w:pPr>
        <w:ind w:right="49"/>
        <w:jc w:val="both"/>
        <w:rPr>
          <w:lang w:val="es-MX"/>
        </w:rPr>
      </w:pPr>
      <w:r w:rsidRPr="00537726">
        <w:rPr>
          <w:lang w:val="es-MX"/>
        </w:rPr>
        <w:t xml:space="preserve">El precio spot promedio de enero a junio de </w:t>
      </w:r>
      <w:r>
        <w:rPr>
          <w:lang w:val="es-MX"/>
        </w:rPr>
        <w:t>2021</w:t>
      </w:r>
      <w:r w:rsidRPr="00537726">
        <w:rPr>
          <w:lang w:val="es-MX"/>
        </w:rPr>
        <w:t xml:space="preserve"> del barril de petróleo fue de US$</w:t>
      </w:r>
      <w:r>
        <w:rPr>
          <w:lang w:val="es-MX"/>
        </w:rPr>
        <w:t>61.94</w:t>
      </w:r>
      <w:r w:rsidRPr="00537726">
        <w:rPr>
          <w:lang w:val="es-MX"/>
        </w:rPr>
        <w:t xml:space="preserve">, un precio </w:t>
      </w:r>
      <w:r>
        <w:rPr>
          <w:lang w:val="es-MX"/>
        </w:rPr>
        <w:t>mayor</w:t>
      </w:r>
      <w:r w:rsidRPr="00537726">
        <w:rPr>
          <w:lang w:val="es-MX"/>
        </w:rPr>
        <w:t xml:space="preserve"> en </w:t>
      </w:r>
      <w:r>
        <w:rPr>
          <w:lang w:val="es-MX"/>
        </w:rPr>
        <w:t>68</w:t>
      </w:r>
      <w:r w:rsidRPr="00537726">
        <w:rPr>
          <w:lang w:val="es-MX"/>
        </w:rPr>
        <w:t>.</w:t>
      </w:r>
      <w:r>
        <w:rPr>
          <w:lang w:val="es-MX"/>
        </w:rPr>
        <w:t>4</w:t>
      </w:r>
      <w:r w:rsidRPr="00537726">
        <w:rPr>
          <w:lang w:val="es-MX"/>
        </w:rPr>
        <w:t xml:space="preserve">% con respecto al promedio de los mismos meses en </w:t>
      </w:r>
      <w:r>
        <w:rPr>
          <w:lang w:val="es-MX"/>
        </w:rPr>
        <w:t>2020</w:t>
      </w:r>
      <w:r w:rsidRPr="00537726">
        <w:rPr>
          <w:lang w:val="es-MX"/>
        </w:rPr>
        <w:t xml:space="preserve">. </w:t>
      </w:r>
      <w:r>
        <w:rPr>
          <w:lang w:val="es-MX"/>
        </w:rPr>
        <w:t>Este incremento se ha debido a factores de demanda y oferta. En el 2021 las restricciones de la producción de los miembros de la OPEP y de otros países productores han ejercido presiones para que el precio del petróleo aumente. Por otro lado, la reapertura gradual de los países, los avances en la vacunación contra el COVID-19 y los estímulos económicos de Estados Unidos de América y de la Zona del Euro</w:t>
      </w:r>
      <w:r w:rsidR="003F693D">
        <w:rPr>
          <w:lang w:val="es-MX"/>
        </w:rPr>
        <w:t>,</w:t>
      </w:r>
      <w:r>
        <w:rPr>
          <w:lang w:val="es-MX"/>
        </w:rPr>
        <w:t xml:space="preserve"> han ayudado a la recuperación de la demanda mundial de crudo.</w:t>
      </w:r>
    </w:p>
    <w:p w:rsidR="00F34749" w:rsidRDefault="00F34749" w:rsidP="00F34749">
      <w:pPr>
        <w:autoSpaceDE w:val="0"/>
        <w:autoSpaceDN w:val="0"/>
        <w:adjustRightInd w:val="0"/>
        <w:jc w:val="both"/>
        <w:rPr>
          <w:b/>
          <w:lang w:val="es-MX"/>
        </w:rPr>
      </w:pPr>
    </w:p>
    <w:p w:rsidR="00F34749" w:rsidRDefault="00F34749" w:rsidP="00F34749">
      <w:pPr>
        <w:autoSpaceDE w:val="0"/>
        <w:autoSpaceDN w:val="0"/>
        <w:adjustRightInd w:val="0"/>
        <w:jc w:val="both"/>
      </w:pPr>
      <w:r>
        <w:t>Se estima que l</w:t>
      </w:r>
      <w:r w:rsidRPr="003156B6">
        <w:t xml:space="preserve">a actividad económica guatemalteca, </w:t>
      </w:r>
      <w:r>
        <w:t>registre un crecimiento económico entre 4.0</w:t>
      </w:r>
      <w:r w:rsidRPr="003156B6">
        <w:t>%</w:t>
      </w:r>
      <w:r>
        <w:t xml:space="preserve"> y 6.0%</w:t>
      </w:r>
      <w:r w:rsidRPr="003156B6">
        <w:t xml:space="preserve"> </w:t>
      </w:r>
      <w:r>
        <w:t>al cierre del</w:t>
      </w:r>
      <w:r w:rsidRPr="003156B6">
        <w:t xml:space="preserve"> </w:t>
      </w:r>
      <w:r>
        <w:t>2021</w:t>
      </w:r>
      <w:r w:rsidR="003F693D">
        <w:t>,</w:t>
      </w:r>
      <w:r>
        <w:t xml:space="preserve"> </w:t>
      </w:r>
      <w:r w:rsidRPr="003156B6">
        <w:t>esto como consecuencia</w:t>
      </w:r>
      <w:r>
        <w:t xml:space="preserve"> de la recuperación económica que </w:t>
      </w:r>
      <w:r w:rsidR="003F693D">
        <w:t>fue</w:t>
      </w:r>
      <w:r>
        <w:t xml:space="preserve"> experimentada en el primer semestre del año. Asimismo, se espera que el crecimiento del PIB nominal se encuentre entre 7.7% y 9.7% y que la inflación se ubique en el rango de 3.0% y 5.0%. Para las exportaciones FOB</w:t>
      </w:r>
      <w:r w:rsidR="003F693D">
        <w:t>,</w:t>
      </w:r>
      <w:r>
        <w:t xml:space="preserve"> se espera un crecimiento entre 10.5% y 13.5% y para las importaciones un crecimiento entre 18.5% y 21.5%. Sin embargo, estas proyecciones están sujetas a riesgos que se podrían materializar en el segundo semestre del 2021, entre los cuales se encuentra la dificultad de erradicar la pandemia COVID-19 por el surgimiento de nuevas variantes, tensiones geopolíticas (por ejemplo, </w:t>
      </w:r>
      <w:r w:rsidR="003F693D">
        <w:t xml:space="preserve">en </w:t>
      </w:r>
      <w:r>
        <w:t>Medio Oriente), aumento de primas de riesgos que increment</w:t>
      </w:r>
      <w:r w:rsidR="003F693D">
        <w:t>a</w:t>
      </w:r>
      <w:r>
        <w:t>n los costos de financiamiento, mayor frecuencia y gravedad de desastres naturales, descontento social e inestabilidad política, entre otros riesgos.</w:t>
      </w:r>
    </w:p>
    <w:p w:rsidR="00F34749" w:rsidRDefault="00F34749" w:rsidP="00F34749">
      <w:pPr>
        <w:autoSpaceDE w:val="0"/>
        <w:autoSpaceDN w:val="0"/>
        <w:adjustRightInd w:val="0"/>
        <w:jc w:val="both"/>
      </w:pPr>
    </w:p>
    <w:p w:rsidR="003F693D" w:rsidRPr="00C67B85" w:rsidRDefault="00925355" w:rsidP="00925355">
      <w:pPr>
        <w:autoSpaceDE w:val="0"/>
        <w:autoSpaceDN w:val="0"/>
        <w:adjustRightInd w:val="0"/>
        <w:jc w:val="center"/>
      </w:pPr>
      <w:r w:rsidRPr="00C67B85">
        <w:rPr>
          <w:b/>
          <w:bCs/>
          <w:iCs/>
          <w:color w:val="000000" w:themeColor="text1"/>
        </w:rPr>
        <w:t>Gráfic</w:t>
      </w:r>
      <w:r w:rsidR="008125B6" w:rsidRPr="00C67B85">
        <w:rPr>
          <w:b/>
          <w:bCs/>
          <w:iCs/>
          <w:color w:val="000000" w:themeColor="text1"/>
        </w:rPr>
        <w:t>a</w:t>
      </w:r>
      <w:r w:rsidRPr="00C67B85">
        <w:rPr>
          <w:b/>
          <w:bCs/>
          <w:iCs/>
          <w:color w:val="000000" w:themeColor="text1"/>
        </w:rPr>
        <w:t xml:space="preserve"> </w:t>
      </w:r>
      <w:r w:rsidR="00A249D5" w:rsidRPr="00C67B85">
        <w:rPr>
          <w:b/>
          <w:bCs/>
          <w:iCs/>
          <w:color w:val="000000" w:themeColor="text1"/>
        </w:rPr>
        <w:t>21</w:t>
      </w:r>
      <w:r w:rsidRPr="00C67B85">
        <w:rPr>
          <w:b/>
          <w:bCs/>
          <w:iCs/>
          <w:color w:val="000000" w:themeColor="text1"/>
        </w:rPr>
        <w:t>. Proyecciones de Crecimiento para Guatemala en 2021</w:t>
      </w:r>
    </w:p>
    <w:tbl>
      <w:tblPr>
        <w:tblStyle w:val="Tablaconcuadrcula"/>
        <w:tblW w:w="8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F34749" w:rsidTr="008F67E7">
        <w:trPr>
          <w:trHeight w:val="156"/>
        </w:trPr>
        <w:tc>
          <w:tcPr>
            <w:tcW w:w="8856" w:type="dxa"/>
          </w:tcPr>
          <w:p w:rsidR="00F34749" w:rsidRPr="00476D0A" w:rsidRDefault="00F34749" w:rsidP="008F67E7">
            <w:pPr>
              <w:pStyle w:val="Descripcin"/>
              <w:keepNext/>
              <w:jc w:val="center"/>
              <w:rPr>
                <w:rFonts w:ascii="Times New Roman" w:hAnsi="Times New Roman" w:cs="Times New Roman"/>
                <w:b/>
                <w:bCs/>
                <w:i w:val="0"/>
                <w:iCs w:val="0"/>
                <w:color w:val="000000" w:themeColor="text1"/>
                <w:sz w:val="24"/>
                <w:szCs w:val="24"/>
              </w:rPr>
            </w:pPr>
            <w:r>
              <w:rPr>
                <w:noProof/>
                <w:lang w:eastAsia="es-GT"/>
              </w:rPr>
              <w:drawing>
                <wp:anchor distT="0" distB="0" distL="114300" distR="114300" simplePos="0" relativeHeight="251677696" behindDoc="0" locked="0" layoutInCell="1" allowOverlap="1" wp14:anchorId="5F455914" wp14:editId="02772CAF">
                  <wp:simplePos x="0" y="0"/>
                  <wp:positionH relativeFrom="column">
                    <wp:posOffset>67310</wp:posOffset>
                  </wp:positionH>
                  <wp:positionV relativeFrom="paragraph">
                    <wp:posOffset>215900</wp:posOffset>
                  </wp:positionV>
                  <wp:extent cx="5486400" cy="2656840"/>
                  <wp:effectExtent l="0" t="0" r="0" b="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tc>
      </w:tr>
      <w:tr w:rsidR="00F34749" w:rsidTr="008F67E7">
        <w:trPr>
          <w:trHeight w:val="105"/>
        </w:trPr>
        <w:tc>
          <w:tcPr>
            <w:tcW w:w="8856" w:type="dxa"/>
          </w:tcPr>
          <w:p w:rsidR="00F34749" w:rsidRPr="000968F4" w:rsidRDefault="00F34749" w:rsidP="008F67E7">
            <w:pPr>
              <w:autoSpaceDE w:val="0"/>
              <w:autoSpaceDN w:val="0"/>
              <w:adjustRightInd w:val="0"/>
              <w:jc w:val="both"/>
              <w:rPr>
                <w:sz w:val="16"/>
                <w:szCs w:val="20"/>
              </w:rPr>
            </w:pPr>
            <w:r w:rsidRPr="00925355">
              <w:rPr>
                <w:sz w:val="18"/>
                <w:szCs w:val="20"/>
              </w:rPr>
              <w:t xml:space="preserve">Fuente: Banco de Guatemala </w:t>
            </w:r>
          </w:p>
        </w:tc>
      </w:tr>
    </w:tbl>
    <w:p w:rsidR="00F34749" w:rsidRDefault="00F34749" w:rsidP="00F34749">
      <w:pPr>
        <w:rPr>
          <w:lang w:val="es-MX"/>
        </w:rPr>
      </w:pPr>
      <w:bookmarkStart w:id="30" w:name="_Toc20495562"/>
    </w:p>
    <w:p w:rsidR="00F34749" w:rsidRPr="00E237DD" w:rsidRDefault="00F34749" w:rsidP="00F34749">
      <w:pPr>
        <w:jc w:val="both"/>
        <w:rPr>
          <w:lang w:val="es-US"/>
        </w:rPr>
      </w:pPr>
      <w:r w:rsidRPr="00E237DD">
        <w:rPr>
          <w:lang w:val="es-US"/>
        </w:rPr>
        <w:t xml:space="preserve">Con base en lo anterior </w:t>
      </w:r>
      <w:r>
        <w:rPr>
          <w:lang w:val="es-US"/>
        </w:rPr>
        <w:t xml:space="preserve">se toma </w:t>
      </w:r>
      <w:r w:rsidRPr="00E237DD">
        <w:rPr>
          <w:lang w:val="es-US"/>
        </w:rPr>
        <w:t>en cuenta el escenario macroeconómico</w:t>
      </w:r>
      <w:r>
        <w:rPr>
          <w:lang w:val="es-US"/>
        </w:rPr>
        <w:t xml:space="preserve"> bajo para las</w:t>
      </w:r>
      <w:r w:rsidRPr="00E237DD">
        <w:rPr>
          <w:lang w:val="es-US"/>
        </w:rPr>
        <w:t xml:space="preserve"> estimaciones de los principales agregados fiscales (ingresos, gasto y financiamiento)</w:t>
      </w:r>
      <w:r>
        <w:rPr>
          <w:lang w:val="es-US"/>
        </w:rPr>
        <w:t>, dado que es una postura conservadora que permite realizar una planificación más acertada ante la posible materialización de riesgos de la economía internacional y nacional.</w:t>
      </w:r>
    </w:p>
    <w:p w:rsidR="00F34749" w:rsidRPr="00E237DD" w:rsidRDefault="00F34749" w:rsidP="00F34749">
      <w:pPr>
        <w:rPr>
          <w:lang w:val="es-MX"/>
        </w:rPr>
      </w:pPr>
    </w:p>
    <w:p w:rsidR="00F34749" w:rsidRPr="00A82540" w:rsidRDefault="00F34749" w:rsidP="004C636B">
      <w:pPr>
        <w:pStyle w:val="Ttulo2"/>
        <w:numPr>
          <w:ilvl w:val="0"/>
          <w:numId w:val="8"/>
        </w:numPr>
        <w:ind w:left="426"/>
        <w:rPr>
          <w:rFonts w:ascii="Times New Roman" w:hAnsi="Times New Roman"/>
          <w:color w:val="auto"/>
          <w:sz w:val="24"/>
        </w:rPr>
      </w:pPr>
      <w:bookmarkStart w:id="31" w:name="_Toc81388541"/>
      <w:bookmarkStart w:id="32" w:name="_Toc83713637"/>
      <w:r w:rsidRPr="00A82540">
        <w:rPr>
          <w:rFonts w:ascii="Times New Roman" w:hAnsi="Times New Roman"/>
          <w:color w:val="auto"/>
          <w:sz w:val="24"/>
        </w:rPr>
        <w:lastRenderedPageBreak/>
        <w:t>Situación Financiera de la Administración Central</w:t>
      </w:r>
      <w:bookmarkEnd w:id="30"/>
      <w:bookmarkEnd w:id="31"/>
      <w:bookmarkEnd w:id="32"/>
    </w:p>
    <w:p w:rsidR="00F34749" w:rsidRPr="00DB3403" w:rsidRDefault="00F34749" w:rsidP="00F34749"/>
    <w:p w:rsidR="00F34749" w:rsidRPr="00A82540" w:rsidRDefault="00F34749" w:rsidP="004C636B">
      <w:pPr>
        <w:pStyle w:val="Ttulo3"/>
        <w:numPr>
          <w:ilvl w:val="0"/>
          <w:numId w:val="9"/>
        </w:numPr>
        <w:ind w:left="426"/>
        <w:rPr>
          <w:rFonts w:ascii="Times New Roman" w:hAnsi="Times New Roman"/>
          <w:color w:val="auto"/>
        </w:rPr>
      </w:pPr>
      <w:bookmarkStart w:id="33" w:name="_Toc20495563"/>
      <w:bookmarkStart w:id="34" w:name="_Toc81388542"/>
      <w:bookmarkStart w:id="35" w:name="_Toc83713638"/>
      <w:r w:rsidRPr="00A82540">
        <w:rPr>
          <w:rFonts w:ascii="Times New Roman" w:hAnsi="Times New Roman"/>
          <w:color w:val="auto"/>
        </w:rPr>
        <w:t>Ingresos</w:t>
      </w:r>
      <w:bookmarkEnd w:id="33"/>
      <w:bookmarkEnd w:id="34"/>
      <w:bookmarkEnd w:id="35"/>
    </w:p>
    <w:p w:rsidR="00F34749" w:rsidRDefault="00F34749" w:rsidP="00F34749">
      <w:pPr>
        <w:pStyle w:val="Default"/>
        <w:jc w:val="both"/>
        <w:rPr>
          <w:rFonts w:ascii="Times New Roman" w:hAnsi="Times New Roman" w:cs="Times New Roman"/>
        </w:rPr>
      </w:pPr>
    </w:p>
    <w:p w:rsidR="00F34749" w:rsidRDefault="00F34749" w:rsidP="00F34749">
      <w:pPr>
        <w:jc w:val="both"/>
        <w:rPr>
          <w:lang w:val="es-US"/>
        </w:rPr>
      </w:pPr>
      <w:r w:rsidRPr="00AD68A4">
        <w:rPr>
          <w:lang w:val="es-US"/>
        </w:rPr>
        <w:t xml:space="preserve">La recaudación tributaria acumulada a </w:t>
      </w:r>
      <w:r>
        <w:rPr>
          <w:lang w:val="es-US"/>
        </w:rPr>
        <w:t>junio</w:t>
      </w:r>
      <w:r w:rsidRPr="00AD68A4">
        <w:rPr>
          <w:lang w:val="es-US"/>
        </w:rPr>
        <w:t xml:space="preserve"> </w:t>
      </w:r>
      <w:r w:rsidR="00DD2114">
        <w:rPr>
          <w:lang w:val="es-US"/>
        </w:rPr>
        <w:t xml:space="preserve">de </w:t>
      </w:r>
      <w:r>
        <w:rPr>
          <w:lang w:val="es-US"/>
        </w:rPr>
        <w:t xml:space="preserve">2021 </w:t>
      </w:r>
      <w:r w:rsidRPr="00AD68A4">
        <w:rPr>
          <w:lang w:val="es-US"/>
        </w:rPr>
        <w:t>alcanzó Q</w:t>
      </w:r>
      <w:r w:rsidR="00DD2114">
        <w:rPr>
          <w:lang w:val="es-US"/>
        </w:rPr>
        <w:t>.</w:t>
      </w:r>
      <w:r w:rsidRPr="00AD68A4">
        <w:rPr>
          <w:lang w:val="es-US"/>
        </w:rPr>
        <w:t>3</w:t>
      </w:r>
      <w:r>
        <w:rPr>
          <w:lang w:val="es-US"/>
        </w:rPr>
        <w:t xml:space="preserve">6,019.3 </w:t>
      </w:r>
      <w:r w:rsidRPr="00AD68A4">
        <w:rPr>
          <w:lang w:val="es-US"/>
        </w:rPr>
        <w:t>millones, super</w:t>
      </w:r>
      <w:r>
        <w:rPr>
          <w:lang w:val="es-US"/>
        </w:rPr>
        <w:t>ando</w:t>
      </w:r>
      <w:r w:rsidRPr="00AD68A4">
        <w:rPr>
          <w:lang w:val="es-US"/>
        </w:rPr>
        <w:t xml:space="preserve"> en Q</w:t>
      </w:r>
      <w:r w:rsidR="00DD2114">
        <w:rPr>
          <w:lang w:val="es-US"/>
        </w:rPr>
        <w:t>.</w:t>
      </w:r>
      <w:r w:rsidRPr="00AD68A4">
        <w:rPr>
          <w:lang w:val="es-US"/>
        </w:rPr>
        <w:t>7,5</w:t>
      </w:r>
      <w:r>
        <w:rPr>
          <w:lang w:val="es-US"/>
        </w:rPr>
        <w:t>54.2</w:t>
      </w:r>
      <w:r w:rsidRPr="00AD68A4">
        <w:rPr>
          <w:lang w:val="es-US"/>
        </w:rPr>
        <w:t xml:space="preserve"> millones a lo recaudado en el mismo periodo del año anterior; equivalente a un </w:t>
      </w:r>
      <w:r>
        <w:rPr>
          <w:lang w:val="es-US"/>
        </w:rPr>
        <w:t>crecimiento</w:t>
      </w:r>
      <w:r w:rsidRPr="00AD68A4">
        <w:rPr>
          <w:lang w:val="es-US"/>
        </w:rPr>
        <w:t xml:space="preserve"> de 26.</w:t>
      </w:r>
      <w:r>
        <w:rPr>
          <w:lang w:val="es-US"/>
        </w:rPr>
        <w:t>5</w:t>
      </w:r>
      <w:r w:rsidRPr="00AD68A4">
        <w:rPr>
          <w:lang w:val="es-US"/>
        </w:rPr>
        <w:t xml:space="preserve">%. Dicho aumento está influenciado por la recuperación </w:t>
      </w:r>
      <w:r>
        <w:rPr>
          <w:lang w:val="es-US"/>
        </w:rPr>
        <w:t>del Impuesto</w:t>
      </w:r>
      <w:r w:rsidRPr="00AD68A4">
        <w:rPr>
          <w:lang w:val="es-US"/>
        </w:rPr>
        <w:t xml:space="preserve"> </w:t>
      </w:r>
      <w:r>
        <w:rPr>
          <w:lang w:val="es-US"/>
        </w:rPr>
        <w:t>S</w:t>
      </w:r>
      <w:r w:rsidRPr="00AD68A4">
        <w:rPr>
          <w:lang w:val="es-US"/>
        </w:rPr>
        <w:t xml:space="preserve">obre la </w:t>
      </w:r>
      <w:r>
        <w:rPr>
          <w:lang w:val="es-US"/>
        </w:rPr>
        <w:t>R</w:t>
      </w:r>
      <w:r w:rsidRPr="00AD68A4">
        <w:rPr>
          <w:lang w:val="es-US"/>
        </w:rPr>
        <w:t xml:space="preserve">enta, el Impuesto de </w:t>
      </w:r>
      <w:r w:rsidR="00DD2114">
        <w:rPr>
          <w:lang w:val="es-US"/>
        </w:rPr>
        <w:t>S</w:t>
      </w:r>
      <w:r w:rsidRPr="00AD68A4">
        <w:rPr>
          <w:lang w:val="es-US"/>
        </w:rPr>
        <w:t xml:space="preserve">olidaridad, el Impuesto al </w:t>
      </w:r>
      <w:r>
        <w:rPr>
          <w:lang w:val="es-US"/>
        </w:rPr>
        <w:t>V</w:t>
      </w:r>
      <w:r w:rsidRPr="00AD68A4">
        <w:rPr>
          <w:lang w:val="es-US"/>
        </w:rPr>
        <w:t xml:space="preserve">alor </w:t>
      </w:r>
      <w:r>
        <w:rPr>
          <w:lang w:val="es-US"/>
        </w:rPr>
        <w:t>A</w:t>
      </w:r>
      <w:r w:rsidRPr="00AD68A4">
        <w:rPr>
          <w:lang w:val="es-US"/>
        </w:rPr>
        <w:t xml:space="preserve">gregado, los </w:t>
      </w:r>
      <w:r>
        <w:rPr>
          <w:lang w:val="es-US"/>
        </w:rPr>
        <w:t>D</w:t>
      </w:r>
      <w:r w:rsidRPr="00AD68A4">
        <w:rPr>
          <w:lang w:val="es-US"/>
        </w:rPr>
        <w:t xml:space="preserve">erechos </w:t>
      </w:r>
      <w:r>
        <w:rPr>
          <w:lang w:val="es-US"/>
        </w:rPr>
        <w:t>A</w:t>
      </w:r>
      <w:r w:rsidRPr="00AD68A4">
        <w:rPr>
          <w:lang w:val="es-US"/>
        </w:rPr>
        <w:t xml:space="preserve">rancelarios, </w:t>
      </w:r>
      <w:r>
        <w:rPr>
          <w:lang w:val="es-US"/>
        </w:rPr>
        <w:t xml:space="preserve">y los </w:t>
      </w:r>
      <w:r w:rsidR="00DD2114">
        <w:rPr>
          <w:lang w:val="es-US"/>
        </w:rPr>
        <w:t>D</w:t>
      </w:r>
      <w:r w:rsidRPr="00AD68A4">
        <w:rPr>
          <w:lang w:val="es-US"/>
        </w:rPr>
        <w:t xml:space="preserve">erivados del </w:t>
      </w:r>
      <w:r w:rsidR="00DD2114">
        <w:rPr>
          <w:lang w:val="es-US"/>
        </w:rPr>
        <w:t>P</w:t>
      </w:r>
      <w:r w:rsidRPr="00AD68A4">
        <w:rPr>
          <w:lang w:val="es-US"/>
        </w:rPr>
        <w:t>etróleo</w:t>
      </w:r>
      <w:r>
        <w:rPr>
          <w:lang w:val="es-US"/>
        </w:rPr>
        <w:t>,</w:t>
      </w:r>
      <w:r w:rsidRPr="00AD68A4">
        <w:rPr>
          <w:lang w:val="es-US"/>
        </w:rPr>
        <w:t xml:space="preserve"> entre otros</w:t>
      </w:r>
      <w:r>
        <w:rPr>
          <w:lang w:val="es-US"/>
        </w:rPr>
        <w:t>;</w:t>
      </w:r>
      <w:r w:rsidRPr="00AD68A4">
        <w:rPr>
          <w:lang w:val="es-US"/>
        </w:rPr>
        <w:t xml:space="preserve"> </w:t>
      </w:r>
      <w:r>
        <w:rPr>
          <w:lang w:val="es-US"/>
        </w:rPr>
        <w:t>debido p</w:t>
      </w:r>
      <w:r w:rsidRPr="00AD68A4">
        <w:rPr>
          <w:lang w:val="es-US"/>
        </w:rPr>
        <w:t>rincipalmente</w:t>
      </w:r>
      <w:r>
        <w:rPr>
          <w:lang w:val="es-US"/>
        </w:rPr>
        <w:t xml:space="preserve"> a que en 2020 la economía y la recaudación tributaria se vi</w:t>
      </w:r>
      <w:r w:rsidR="00DD2114">
        <w:rPr>
          <w:lang w:val="es-US"/>
        </w:rPr>
        <w:t>eron</w:t>
      </w:r>
      <w:r>
        <w:rPr>
          <w:lang w:val="es-US"/>
        </w:rPr>
        <w:t xml:space="preserve"> severamente afectada</w:t>
      </w:r>
      <w:r w:rsidR="00DD2114">
        <w:rPr>
          <w:lang w:val="es-US"/>
        </w:rPr>
        <w:t>s</w:t>
      </w:r>
      <w:r w:rsidRPr="00AD68A4">
        <w:rPr>
          <w:lang w:val="es-US"/>
        </w:rPr>
        <w:t xml:space="preserve"> por la pandemia </w:t>
      </w:r>
      <w:r>
        <w:rPr>
          <w:lang w:val="es-US"/>
        </w:rPr>
        <w:t xml:space="preserve">del </w:t>
      </w:r>
      <w:r w:rsidRPr="00AD68A4">
        <w:rPr>
          <w:lang w:val="es-US"/>
        </w:rPr>
        <w:t>COVID-19</w:t>
      </w:r>
      <w:r w:rsidR="00DD2114">
        <w:rPr>
          <w:lang w:val="es-US"/>
        </w:rPr>
        <w:t>,</w:t>
      </w:r>
      <w:r>
        <w:rPr>
          <w:lang w:val="es-US"/>
        </w:rPr>
        <w:t xml:space="preserve"> que derivó en confinamiento absoluto y una reapertura gradual.</w:t>
      </w:r>
    </w:p>
    <w:p w:rsidR="00F34749" w:rsidRDefault="00F34749" w:rsidP="00F34749">
      <w:pPr>
        <w:jc w:val="both"/>
        <w:rPr>
          <w:lang w:val="es-US"/>
        </w:rPr>
      </w:pPr>
    </w:p>
    <w:p w:rsidR="00F34749" w:rsidRPr="00DB3403" w:rsidRDefault="00F34749" w:rsidP="00F34749">
      <w:pPr>
        <w:pStyle w:val="Descripcin"/>
        <w:spacing w:after="0"/>
        <w:jc w:val="center"/>
        <w:rPr>
          <w:rFonts w:ascii="Times New Roman" w:hAnsi="Times New Roman" w:cs="Times New Roman"/>
          <w:b/>
          <w:color w:val="auto"/>
          <w:sz w:val="24"/>
          <w:szCs w:val="20"/>
        </w:rPr>
      </w:pPr>
      <w:bookmarkStart w:id="36" w:name="_Toc73343510"/>
      <w:r w:rsidRPr="00DB3403">
        <w:rPr>
          <w:rFonts w:ascii="Times New Roman" w:hAnsi="Times New Roman" w:cs="Times New Roman"/>
          <w:b/>
          <w:i w:val="0"/>
          <w:color w:val="auto"/>
          <w:sz w:val="24"/>
          <w:szCs w:val="20"/>
        </w:rPr>
        <w:t>Gráfic</w:t>
      </w:r>
      <w:r w:rsidR="008125B6">
        <w:rPr>
          <w:rFonts w:ascii="Times New Roman" w:hAnsi="Times New Roman" w:cs="Times New Roman"/>
          <w:b/>
          <w:i w:val="0"/>
          <w:color w:val="auto"/>
          <w:sz w:val="24"/>
          <w:szCs w:val="20"/>
        </w:rPr>
        <w:t>a 22</w:t>
      </w:r>
      <w:r w:rsidRPr="00DB3403">
        <w:rPr>
          <w:rFonts w:ascii="Times New Roman" w:hAnsi="Times New Roman" w:cs="Times New Roman"/>
          <w:b/>
          <w:i w:val="0"/>
          <w:color w:val="auto"/>
          <w:sz w:val="24"/>
          <w:szCs w:val="20"/>
        </w:rPr>
        <w:t>.</w:t>
      </w:r>
      <w:r w:rsidRPr="00DB3403">
        <w:rPr>
          <w:rFonts w:ascii="Times New Roman" w:hAnsi="Times New Roman" w:cs="Times New Roman"/>
          <w:b/>
          <w:color w:val="auto"/>
          <w:sz w:val="24"/>
          <w:szCs w:val="20"/>
        </w:rPr>
        <w:t xml:space="preserve">  </w:t>
      </w:r>
      <w:r w:rsidRPr="00DB3403">
        <w:rPr>
          <w:rFonts w:ascii="Times New Roman" w:hAnsi="Times New Roman" w:cs="Times New Roman"/>
          <w:b/>
          <w:i w:val="0"/>
          <w:color w:val="auto"/>
          <w:sz w:val="24"/>
          <w:szCs w:val="20"/>
        </w:rPr>
        <w:t xml:space="preserve">Recaudación Tributaria Acumulada al 30 de </w:t>
      </w:r>
      <w:bookmarkEnd w:id="36"/>
      <w:r w:rsidRPr="00DB3403">
        <w:rPr>
          <w:rFonts w:ascii="Times New Roman" w:hAnsi="Times New Roman" w:cs="Times New Roman"/>
          <w:b/>
          <w:i w:val="0"/>
          <w:color w:val="auto"/>
          <w:sz w:val="24"/>
          <w:szCs w:val="20"/>
        </w:rPr>
        <w:t>junio</w:t>
      </w:r>
    </w:p>
    <w:p w:rsidR="00F34749" w:rsidRPr="008125B6" w:rsidRDefault="008125B6" w:rsidP="00F34749">
      <w:pPr>
        <w:jc w:val="center"/>
        <w:rPr>
          <w:b/>
          <w:szCs w:val="20"/>
        </w:rPr>
      </w:pPr>
      <w:r w:rsidRPr="008125B6">
        <w:rPr>
          <w:b/>
          <w:szCs w:val="20"/>
        </w:rPr>
        <w:t xml:space="preserve">(En </w:t>
      </w:r>
      <w:r w:rsidR="00F34749" w:rsidRPr="008125B6">
        <w:rPr>
          <w:b/>
          <w:szCs w:val="20"/>
        </w:rPr>
        <w:t xml:space="preserve">Millones de </w:t>
      </w:r>
      <w:r w:rsidRPr="008125B6">
        <w:rPr>
          <w:b/>
          <w:szCs w:val="20"/>
        </w:rPr>
        <w:t>Q</w:t>
      </w:r>
      <w:r w:rsidR="00F34749" w:rsidRPr="008125B6">
        <w:rPr>
          <w:b/>
          <w:szCs w:val="20"/>
        </w:rPr>
        <w:t>uetzales</w:t>
      </w:r>
      <w:r w:rsidRPr="008125B6">
        <w:rPr>
          <w:b/>
          <w:szCs w:val="20"/>
        </w:rPr>
        <w:t>)</w:t>
      </w:r>
    </w:p>
    <w:p w:rsidR="00F34749" w:rsidRPr="00D67B50" w:rsidRDefault="00F34749" w:rsidP="00DD2114">
      <w:r w:rsidRPr="00D67B50">
        <w:rPr>
          <w:b/>
          <w:noProof/>
          <w:sz w:val="20"/>
          <w:lang w:val="es-GT" w:eastAsia="es-GT"/>
        </w:rPr>
        <w:drawing>
          <wp:inline distT="0" distB="0" distL="0" distR="0" wp14:anchorId="476C8BB3" wp14:editId="2A383FB9">
            <wp:extent cx="5638800" cy="2628900"/>
            <wp:effectExtent l="0" t="0" r="0" b="0"/>
            <wp:docPr id="75"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34749" w:rsidRPr="00D67B50" w:rsidRDefault="00C55F0D" w:rsidP="00DD2114">
      <w:pPr>
        <w:ind w:left="851"/>
        <w:jc w:val="both"/>
        <w:rPr>
          <w:sz w:val="16"/>
        </w:rPr>
      </w:pPr>
      <w:r>
        <w:rPr>
          <w:noProof/>
          <w:sz w:val="18"/>
          <w:lang w:val="es-ES_tradnl"/>
        </w:rPr>
        <w:t>Fuente: Ministerio de Finanzas Públicas.</w:t>
      </w:r>
    </w:p>
    <w:p w:rsidR="00F34749" w:rsidRDefault="00F34749" w:rsidP="00F34749">
      <w:pPr>
        <w:jc w:val="both"/>
        <w:rPr>
          <w:lang w:val="es-US"/>
        </w:rPr>
      </w:pPr>
    </w:p>
    <w:p w:rsidR="00F34749" w:rsidRPr="00AD68A4" w:rsidRDefault="00F34749" w:rsidP="00F34749">
      <w:pPr>
        <w:jc w:val="both"/>
        <w:rPr>
          <w:lang w:val="es-US"/>
        </w:rPr>
      </w:pPr>
      <w:r>
        <w:rPr>
          <w:lang w:val="es-US"/>
        </w:rPr>
        <w:t>Adicional al impulso que las condiciones de mercado generan sobre la recaudación, d</w:t>
      </w:r>
      <w:r w:rsidRPr="00AD68A4">
        <w:rPr>
          <w:lang w:val="es-US"/>
        </w:rPr>
        <w:t xml:space="preserve">entro de las principales acciones que se han establecido en materia tributaria sobresale lo realizado por la </w:t>
      </w:r>
      <w:r>
        <w:rPr>
          <w:lang w:val="es-US"/>
        </w:rPr>
        <w:t>I</w:t>
      </w:r>
      <w:r w:rsidRPr="00AD68A4">
        <w:rPr>
          <w:lang w:val="es-US"/>
        </w:rPr>
        <w:t xml:space="preserve">ntendencia de </w:t>
      </w:r>
      <w:r>
        <w:rPr>
          <w:lang w:val="es-US"/>
        </w:rPr>
        <w:t>R</w:t>
      </w:r>
      <w:r w:rsidRPr="00AD68A4">
        <w:rPr>
          <w:lang w:val="es-US"/>
        </w:rPr>
        <w:t>ecaudación</w:t>
      </w:r>
      <w:r w:rsidR="00FA425D">
        <w:rPr>
          <w:lang w:val="es-US"/>
        </w:rPr>
        <w:t xml:space="preserve"> (IVE)</w:t>
      </w:r>
      <w:r>
        <w:rPr>
          <w:lang w:val="es-US"/>
        </w:rPr>
        <w:t>,</w:t>
      </w:r>
      <w:r w:rsidRPr="00AD68A4">
        <w:rPr>
          <w:lang w:val="es-US"/>
        </w:rPr>
        <w:t xml:space="preserve"> logrando </w:t>
      </w:r>
      <w:r>
        <w:rPr>
          <w:lang w:val="es-US"/>
        </w:rPr>
        <w:t>un</w:t>
      </w:r>
      <w:r w:rsidRPr="00AD68A4">
        <w:rPr>
          <w:lang w:val="es-US"/>
        </w:rPr>
        <w:t xml:space="preserve"> aumento en </w:t>
      </w:r>
      <w:r>
        <w:rPr>
          <w:lang w:val="es-US"/>
        </w:rPr>
        <w:t xml:space="preserve">el </w:t>
      </w:r>
      <w:r w:rsidRPr="00AD68A4">
        <w:rPr>
          <w:lang w:val="es-US"/>
        </w:rPr>
        <w:t>número de contribuyentes al RTU (afiliaciones al IVA e ISR),</w:t>
      </w:r>
      <w:r>
        <w:rPr>
          <w:lang w:val="es-US"/>
        </w:rPr>
        <w:t xml:space="preserve"> </w:t>
      </w:r>
      <w:r w:rsidRPr="00AD68A4">
        <w:rPr>
          <w:lang w:val="es-US"/>
        </w:rPr>
        <w:t>aumento de emisores de documentos tributarios electrónicos, recuperaciones por cumplimiento de control tributario, mejoras al sistema de facilidades de pago</w:t>
      </w:r>
      <w:r>
        <w:rPr>
          <w:lang w:val="es-US"/>
        </w:rPr>
        <w:t>,</w:t>
      </w:r>
      <w:r w:rsidRPr="00AD68A4">
        <w:rPr>
          <w:lang w:val="es-US"/>
        </w:rPr>
        <w:t xml:space="preserve"> entre otras.</w:t>
      </w:r>
    </w:p>
    <w:p w:rsidR="00F34749" w:rsidRPr="00AD68A4" w:rsidRDefault="00F34749" w:rsidP="00F34749">
      <w:pPr>
        <w:jc w:val="both"/>
        <w:rPr>
          <w:lang w:val="es-US"/>
        </w:rPr>
      </w:pPr>
    </w:p>
    <w:p w:rsidR="00F34749" w:rsidRDefault="00F34749" w:rsidP="00F34749">
      <w:pPr>
        <w:jc w:val="both"/>
        <w:rPr>
          <w:lang w:val="es-US"/>
        </w:rPr>
      </w:pPr>
      <w:r w:rsidRPr="00AD68A4">
        <w:rPr>
          <w:lang w:val="es-US"/>
        </w:rPr>
        <w:t>En el ramo de aduanas también se han realizado acciones en pro de la recaudación</w:t>
      </w:r>
      <w:r>
        <w:rPr>
          <w:lang w:val="es-US"/>
        </w:rPr>
        <w:t>,</w:t>
      </w:r>
      <w:r w:rsidRPr="00AD68A4">
        <w:rPr>
          <w:lang w:val="es-US"/>
        </w:rPr>
        <w:t xml:space="preserve"> combati</w:t>
      </w:r>
      <w:r>
        <w:rPr>
          <w:lang w:val="es-US"/>
        </w:rPr>
        <w:t>endo</w:t>
      </w:r>
      <w:r w:rsidRPr="00AD68A4">
        <w:rPr>
          <w:lang w:val="es-US"/>
        </w:rPr>
        <w:t xml:space="preserve"> la defraudación</w:t>
      </w:r>
      <w:r>
        <w:rPr>
          <w:lang w:val="es-US"/>
        </w:rPr>
        <w:t xml:space="preserve"> y el contrabando mediante </w:t>
      </w:r>
      <w:r w:rsidRPr="00AD68A4">
        <w:rPr>
          <w:lang w:val="es-US"/>
        </w:rPr>
        <w:t>la realización de ajustes a través de rectificaciones, ajustes por conceptos de medidas administrativas, medidas de control en materia de riesgo, mejoras en tiempos de despacho y gestión, mayor simplificación y automatización en la transmisión de declaraciones y controles aduaneros y el establecimiento de puestos de control interinstitucional</w:t>
      </w:r>
      <w:r>
        <w:rPr>
          <w:lang w:val="es-US"/>
        </w:rPr>
        <w:t>,</w:t>
      </w:r>
      <w:r w:rsidRPr="00AD68A4">
        <w:rPr>
          <w:lang w:val="es-US"/>
        </w:rPr>
        <w:t xml:space="preserve"> entre otras.</w:t>
      </w:r>
    </w:p>
    <w:p w:rsidR="00F34749" w:rsidRPr="00AD68A4" w:rsidRDefault="00F34749" w:rsidP="00F34749">
      <w:pPr>
        <w:jc w:val="both"/>
        <w:rPr>
          <w:lang w:val="es-US"/>
        </w:rPr>
      </w:pPr>
      <w:r>
        <w:rPr>
          <w:lang w:val="es-US"/>
        </w:rPr>
        <w:t>El</w:t>
      </w:r>
      <w:r w:rsidRPr="00AD68A4">
        <w:rPr>
          <w:lang w:val="es-US"/>
        </w:rPr>
        <w:t xml:space="preserve"> crecimiento </w:t>
      </w:r>
      <w:r>
        <w:rPr>
          <w:lang w:val="es-US"/>
        </w:rPr>
        <w:t>interanual en la recaudación tributaria neta</w:t>
      </w:r>
      <w:r w:rsidRPr="00AD68A4">
        <w:rPr>
          <w:lang w:val="es-US"/>
        </w:rPr>
        <w:t xml:space="preserve"> </w:t>
      </w:r>
      <w:r>
        <w:rPr>
          <w:lang w:val="es-US"/>
        </w:rPr>
        <w:t xml:space="preserve">está también explicado por el buen desempeño </w:t>
      </w:r>
      <w:r w:rsidRPr="00AD68A4">
        <w:rPr>
          <w:lang w:val="es-US"/>
        </w:rPr>
        <w:t>de la recaudación asociada al comercio internacional</w:t>
      </w:r>
      <w:r>
        <w:rPr>
          <w:lang w:val="es-US"/>
        </w:rPr>
        <w:t>,</w:t>
      </w:r>
      <w:r w:rsidRPr="00AD68A4">
        <w:rPr>
          <w:lang w:val="es-US"/>
        </w:rPr>
        <w:t xml:space="preserve"> la cual crece en 41.2% </w:t>
      </w:r>
      <w:r w:rsidRPr="00AD68A4">
        <w:rPr>
          <w:lang w:val="es-US"/>
        </w:rPr>
        <w:lastRenderedPageBreak/>
        <w:t>(Q</w:t>
      </w:r>
      <w:r w:rsidR="000216AB">
        <w:rPr>
          <w:lang w:val="es-US"/>
        </w:rPr>
        <w:t>.</w:t>
      </w:r>
      <w:r w:rsidRPr="00AD68A4">
        <w:rPr>
          <w:lang w:val="es-US"/>
        </w:rPr>
        <w:t xml:space="preserve">3,085.4 millones), de los cuales el IVA de </w:t>
      </w:r>
      <w:r w:rsidR="000216AB">
        <w:rPr>
          <w:lang w:val="es-US"/>
        </w:rPr>
        <w:t>I</w:t>
      </w:r>
      <w:r w:rsidRPr="00AD68A4">
        <w:rPr>
          <w:lang w:val="es-US"/>
        </w:rPr>
        <w:t>mportaciones supera lo observado en</w:t>
      </w:r>
      <w:r>
        <w:rPr>
          <w:lang w:val="es-US"/>
        </w:rPr>
        <w:t xml:space="preserve"> 2020 por</w:t>
      </w:r>
      <w:r w:rsidRPr="00AD68A4">
        <w:rPr>
          <w:lang w:val="es-US"/>
        </w:rPr>
        <w:t xml:space="preserve"> Q</w:t>
      </w:r>
      <w:r w:rsidR="000216AB">
        <w:rPr>
          <w:lang w:val="es-US"/>
        </w:rPr>
        <w:t>.</w:t>
      </w:r>
      <w:r w:rsidRPr="00AD68A4">
        <w:rPr>
          <w:lang w:val="es-US"/>
        </w:rPr>
        <w:t>2,628.8 millones y los derechos arancelarios en Q</w:t>
      </w:r>
      <w:r w:rsidR="000216AB">
        <w:rPr>
          <w:lang w:val="es-US"/>
        </w:rPr>
        <w:t>.</w:t>
      </w:r>
      <w:r w:rsidRPr="00AD68A4">
        <w:rPr>
          <w:lang w:val="es-US"/>
        </w:rPr>
        <w:t>456.7 millones</w:t>
      </w:r>
      <w:r>
        <w:rPr>
          <w:lang w:val="es-US"/>
        </w:rPr>
        <w:t>. E</w:t>
      </w:r>
      <w:r w:rsidRPr="00AD68A4">
        <w:rPr>
          <w:lang w:val="es-US"/>
        </w:rPr>
        <w:t xml:space="preserve">stos crecimientos se explican en gran medida </w:t>
      </w:r>
      <w:r>
        <w:rPr>
          <w:lang w:val="es-US"/>
        </w:rPr>
        <w:t>por</w:t>
      </w:r>
      <w:r w:rsidRPr="00AD68A4">
        <w:rPr>
          <w:lang w:val="es-US"/>
        </w:rPr>
        <w:t xml:space="preserve"> la contracción que se observó en 2020</w:t>
      </w:r>
      <w:r w:rsidR="000216AB">
        <w:rPr>
          <w:lang w:val="es-US"/>
        </w:rPr>
        <w:t>,</w:t>
      </w:r>
      <w:r w:rsidRPr="00AD68A4">
        <w:rPr>
          <w:lang w:val="es-US"/>
        </w:rPr>
        <w:t xml:space="preserve"> </w:t>
      </w:r>
      <w:r w:rsidR="000216AB">
        <w:rPr>
          <w:lang w:val="es-US"/>
        </w:rPr>
        <w:t xml:space="preserve">como </w:t>
      </w:r>
      <w:r w:rsidRPr="00AD68A4">
        <w:rPr>
          <w:lang w:val="es-US"/>
        </w:rPr>
        <w:t>producto de las medidas de confinamiento y cierres que realizaron los socios comerciales de Guatemala en prevención de contagios</w:t>
      </w:r>
      <w:r w:rsidR="000216AB">
        <w:rPr>
          <w:lang w:val="es-US"/>
        </w:rPr>
        <w:t>;</w:t>
      </w:r>
      <w:r w:rsidRPr="00AD68A4">
        <w:rPr>
          <w:lang w:val="es-US"/>
        </w:rPr>
        <w:t xml:space="preserve"> también influye en estas cifras los efectos del precio internacional del petróleo, </w:t>
      </w:r>
      <w:r>
        <w:rPr>
          <w:lang w:val="es-US"/>
        </w:rPr>
        <w:t xml:space="preserve">extremo que, </w:t>
      </w:r>
      <w:r w:rsidRPr="00AD68A4">
        <w:rPr>
          <w:lang w:val="es-US"/>
        </w:rPr>
        <w:t>según el Banco de Guatemala</w:t>
      </w:r>
      <w:r>
        <w:rPr>
          <w:lang w:val="es-US"/>
        </w:rPr>
        <w:t>,</w:t>
      </w:r>
      <w:r w:rsidRPr="00AD68A4">
        <w:rPr>
          <w:lang w:val="es-US"/>
        </w:rPr>
        <w:t xml:space="preserve"> al mes de </w:t>
      </w:r>
      <w:r>
        <w:rPr>
          <w:lang w:val="es-US"/>
        </w:rPr>
        <w:t>junio,</w:t>
      </w:r>
      <w:r w:rsidRPr="00AD68A4">
        <w:rPr>
          <w:lang w:val="es-US"/>
        </w:rPr>
        <w:t xml:space="preserve"> el valor de las importaciones de combustibles y lubricantes creció </w:t>
      </w:r>
      <w:r>
        <w:rPr>
          <w:lang w:val="es-US"/>
        </w:rPr>
        <w:t>67.2</w:t>
      </w:r>
      <w:r w:rsidRPr="00AD68A4">
        <w:rPr>
          <w:lang w:val="es-US"/>
        </w:rPr>
        <w:t>%, el volumen en 1</w:t>
      </w:r>
      <w:r>
        <w:rPr>
          <w:lang w:val="es-US"/>
        </w:rPr>
        <w:t>0.6</w:t>
      </w:r>
      <w:r w:rsidRPr="00AD68A4">
        <w:rPr>
          <w:lang w:val="es-US"/>
        </w:rPr>
        <w:t xml:space="preserve">% y el precio en </w:t>
      </w:r>
      <w:r>
        <w:rPr>
          <w:lang w:val="es-US"/>
        </w:rPr>
        <w:t>51.2</w:t>
      </w:r>
      <w:r w:rsidRPr="00AD68A4">
        <w:rPr>
          <w:lang w:val="es-US"/>
        </w:rPr>
        <w:t>%</w:t>
      </w:r>
      <w:r>
        <w:rPr>
          <w:lang w:val="es-US"/>
        </w:rPr>
        <w:t>. L</w:t>
      </w:r>
      <w:r w:rsidRPr="00AD68A4">
        <w:rPr>
          <w:lang w:val="es-US"/>
        </w:rPr>
        <w:t>as importaciones gravadas totales crec</w:t>
      </w:r>
      <w:r>
        <w:rPr>
          <w:lang w:val="es-US"/>
        </w:rPr>
        <w:t>i</w:t>
      </w:r>
      <w:r w:rsidRPr="00AD68A4">
        <w:rPr>
          <w:lang w:val="es-US"/>
        </w:rPr>
        <w:t>e</w:t>
      </w:r>
      <w:r>
        <w:rPr>
          <w:lang w:val="es-US"/>
        </w:rPr>
        <w:t>ro</w:t>
      </w:r>
      <w:r w:rsidRPr="00AD68A4">
        <w:rPr>
          <w:lang w:val="es-US"/>
        </w:rPr>
        <w:t xml:space="preserve">n </w:t>
      </w:r>
      <w:r>
        <w:rPr>
          <w:lang w:val="es-US"/>
        </w:rPr>
        <w:t>37.8</w:t>
      </w:r>
      <w:r w:rsidRPr="00AD68A4">
        <w:rPr>
          <w:lang w:val="es-US"/>
        </w:rPr>
        <w:t>%</w:t>
      </w:r>
      <w:r>
        <w:rPr>
          <w:lang w:val="es-US"/>
        </w:rPr>
        <w:t>,</w:t>
      </w:r>
      <w:r w:rsidRPr="00AD68A4">
        <w:rPr>
          <w:lang w:val="es-US"/>
        </w:rPr>
        <w:t xml:space="preserve"> </w:t>
      </w:r>
      <w:r>
        <w:rPr>
          <w:lang w:val="es-US"/>
        </w:rPr>
        <w:t xml:space="preserve">mientras que </w:t>
      </w:r>
      <w:r w:rsidRPr="00AD68A4">
        <w:rPr>
          <w:lang w:val="es-US"/>
        </w:rPr>
        <w:t xml:space="preserve">en 2020 se observó una caída de </w:t>
      </w:r>
      <w:r>
        <w:rPr>
          <w:lang w:val="es-US"/>
        </w:rPr>
        <w:t>9.5</w:t>
      </w:r>
      <w:r w:rsidRPr="00AD68A4">
        <w:rPr>
          <w:lang w:val="es-US"/>
        </w:rPr>
        <w:t>%</w:t>
      </w:r>
      <w:r>
        <w:rPr>
          <w:lang w:val="es-US"/>
        </w:rPr>
        <w:t>.</w:t>
      </w:r>
    </w:p>
    <w:p w:rsidR="00F34749" w:rsidRPr="00EF6BF2" w:rsidRDefault="00F34749" w:rsidP="00F34749">
      <w:pPr>
        <w:jc w:val="both"/>
        <w:rPr>
          <w:sz w:val="20"/>
          <w:lang w:val="es-US"/>
        </w:rPr>
      </w:pPr>
    </w:p>
    <w:p w:rsidR="00F34749" w:rsidRPr="00F507F6" w:rsidRDefault="00F34749" w:rsidP="004C636B">
      <w:pPr>
        <w:pStyle w:val="Ttulo3"/>
        <w:numPr>
          <w:ilvl w:val="1"/>
          <w:numId w:val="6"/>
        </w:numPr>
        <w:spacing w:before="0"/>
        <w:ind w:left="709"/>
        <w:rPr>
          <w:rFonts w:ascii="Times New Roman" w:hAnsi="Times New Roman"/>
          <w:color w:val="auto"/>
        </w:rPr>
      </w:pPr>
      <w:bookmarkStart w:id="37" w:name="_Toc81213744"/>
      <w:bookmarkStart w:id="38" w:name="_Toc81387074"/>
      <w:bookmarkStart w:id="39" w:name="_Toc81388543"/>
      <w:bookmarkStart w:id="40" w:name="_Toc73513998"/>
      <w:bookmarkStart w:id="41" w:name="_Toc81388545"/>
      <w:bookmarkStart w:id="42" w:name="_Toc83713639"/>
      <w:bookmarkEnd w:id="37"/>
      <w:bookmarkEnd w:id="38"/>
      <w:bookmarkEnd w:id="39"/>
      <w:r w:rsidRPr="00F507F6">
        <w:rPr>
          <w:rFonts w:ascii="Times New Roman" w:hAnsi="Times New Roman"/>
          <w:color w:val="auto"/>
        </w:rPr>
        <w:t xml:space="preserve">Desempeño del </w:t>
      </w:r>
      <w:r w:rsidR="000216AB">
        <w:rPr>
          <w:rFonts w:ascii="Times New Roman" w:hAnsi="Times New Roman"/>
          <w:color w:val="auto"/>
        </w:rPr>
        <w:t>I</w:t>
      </w:r>
      <w:r w:rsidRPr="00F507F6">
        <w:rPr>
          <w:rFonts w:ascii="Times New Roman" w:hAnsi="Times New Roman"/>
          <w:color w:val="auto"/>
        </w:rPr>
        <w:t xml:space="preserve">mpuesto </w:t>
      </w:r>
      <w:r w:rsidR="000216AB">
        <w:rPr>
          <w:rFonts w:ascii="Times New Roman" w:hAnsi="Times New Roman"/>
          <w:color w:val="auto"/>
        </w:rPr>
        <w:t>S</w:t>
      </w:r>
      <w:r w:rsidRPr="00F507F6">
        <w:rPr>
          <w:rFonts w:ascii="Times New Roman" w:hAnsi="Times New Roman"/>
          <w:color w:val="auto"/>
        </w:rPr>
        <w:t xml:space="preserve">obre la </w:t>
      </w:r>
      <w:r w:rsidR="000216AB">
        <w:rPr>
          <w:rFonts w:ascii="Times New Roman" w:hAnsi="Times New Roman"/>
          <w:color w:val="auto"/>
        </w:rPr>
        <w:t>R</w:t>
      </w:r>
      <w:r w:rsidRPr="00F507F6">
        <w:rPr>
          <w:rFonts w:ascii="Times New Roman" w:hAnsi="Times New Roman"/>
          <w:color w:val="auto"/>
        </w:rPr>
        <w:t>enta y el ISO</w:t>
      </w:r>
      <w:bookmarkEnd w:id="40"/>
      <w:bookmarkEnd w:id="41"/>
      <w:bookmarkEnd w:id="42"/>
    </w:p>
    <w:p w:rsidR="00F34749" w:rsidRPr="000216AB" w:rsidRDefault="00F34749" w:rsidP="00F34749">
      <w:pPr>
        <w:jc w:val="both"/>
      </w:pPr>
    </w:p>
    <w:p w:rsidR="00F34749" w:rsidRDefault="00F34749" w:rsidP="00F34749">
      <w:pPr>
        <w:jc w:val="both"/>
        <w:rPr>
          <w:lang w:val="es-MX"/>
        </w:rPr>
      </w:pPr>
      <w:r w:rsidRPr="00AD68A4">
        <w:rPr>
          <w:lang w:val="es-US"/>
        </w:rPr>
        <w:t xml:space="preserve">Estos impuestos de manera acumulada generan una brecha positiva a junio de </w:t>
      </w:r>
      <w:r w:rsidR="000216AB">
        <w:rPr>
          <w:lang w:val="es-US"/>
        </w:rPr>
        <w:t xml:space="preserve">2020 de </w:t>
      </w:r>
      <w:r w:rsidRPr="00AD68A4">
        <w:rPr>
          <w:lang w:val="es-US"/>
        </w:rPr>
        <w:t>Q</w:t>
      </w:r>
      <w:r w:rsidR="000216AB">
        <w:rPr>
          <w:lang w:val="es-US"/>
        </w:rPr>
        <w:t>.</w:t>
      </w:r>
      <w:r w:rsidRPr="00AD68A4">
        <w:rPr>
          <w:lang w:val="es-US"/>
        </w:rPr>
        <w:t>2,095.7 millones respecto a la meta de presupuesto</w:t>
      </w:r>
      <w:r w:rsidR="000216AB">
        <w:rPr>
          <w:lang w:val="es-US"/>
        </w:rPr>
        <w:t>,</w:t>
      </w:r>
      <w:r w:rsidRPr="00AD68A4">
        <w:rPr>
          <w:lang w:val="es-US"/>
        </w:rPr>
        <w:t xml:space="preserve"> y con relación al año 2020 la brecha es de Q</w:t>
      </w:r>
      <w:r w:rsidR="000216AB">
        <w:rPr>
          <w:lang w:val="es-US"/>
        </w:rPr>
        <w:t>.</w:t>
      </w:r>
      <w:r w:rsidRPr="00AD68A4">
        <w:rPr>
          <w:lang w:val="es-US"/>
        </w:rPr>
        <w:t>2,072.5 millones</w:t>
      </w:r>
      <w:r>
        <w:rPr>
          <w:lang w:val="es-US"/>
        </w:rPr>
        <w:t>. De</w:t>
      </w:r>
      <w:r w:rsidRPr="008A285F">
        <w:rPr>
          <w:lang w:val="es-MX"/>
        </w:rPr>
        <w:t xml:space="preserve"> conformidad a los regímenes del </w:t>
      </w:r>
      <w:r>
        <w:rPr>
          <w:lang w:val="es-MX"/>
        </w:rPr>
        <w:t>I</w:t>
      </w:r>
      <w:r w:rsidRPr="008A285F">
        <w:rPr>
          <w:lang w:val="es-MX"/>
        </w:rPr>
        <w:t xml:space="preserve">mpuesto </w:t>
      </w:r>
      <w:r>
        <w:rPr>
          <w:lang w:val="es-MX"/>
        </w:rPr>
        <w:t>S</w:t>
      </w:r>
      <w:r w:rsidRPr="008A285F">
        <w:rPr>
          <w:lang w:val="es-MX"/>
        </w:rPr>
        <w:t xml:space="preserve">obre la </w:t>
      </w:r>
      <w:r>
        <w:rPr>
          <w:lang w:val="es-MX"/>
        </w:rPr>
        <w:t>R</w:t>
      </w:r>
      <w:r w:rsidRPr="008A285F">
        <w:rPr>
          <w:lang w:val="es-MX"/>
        </w:rPr>
        <w:t>enta se puede observar a junio un crecimiento de 25</w:t>
      </w:r>
      <w:r w:rsidR="000216AB">
        <w:rPr>
          <w:lang w:val="es-MX"/>
        </w:rPr>
        <w:t>.0</w:t>
      </w:r>
      <w:r w:rsidRPr="008A285F">
        <w:rPr>
          <w:lang w:val="es-MX"/>
        </w:rPr>
        <w:t>% en el régimen</w:t>
      </w:r>
      <w:r>
        <w:rPr>
          <w:lang w:val="es-MX"/>
        </w:rPr>
        <w:t xml:space="preserve"> de actividades lucrativas, este régimen se divide en dos subreg</w:t>
      </w:r>
      <w:r w:rsidR="000216AB">
        <w:rPr>
          <w:lang w:val="es-MX"/>
        </w:rPr>
        <w:t>í</w:t>
      </w:r>
      <w:r>
        <w:rPr>
          <w:lang w:val="es-MX"/>
        </w:rPr>
        <w:t>menes, el de renta imponible y el de ingresos</w:t>
      </w:r>
      <w:r w:rsidR="000216AB">
        <w:rPr>
          <w:lang w:val="es-MX"/>
        </w:rPr>
        <w:t>;</w:t>
      </w:r>
      <w:r>
        <w:rPr>
          <w:lang w:val="es-MX"/>
        </w:rPr>
        <w:t xml:space="preserve"> el primero de los cuales creció 36.5% respecto a lo observado en 2020 y el segundo, 15.8%.  El régimen de empleados en relación de dependencia creció en 7</w:t>
      </w:r>
      <w:r w:rsidR="000216AB">
        <w:rPr>
          <w:lang w:val="es-MX"/>
        </w:rPr>
        <w:t>.0</w:t>
      </w:r>
      <w:r>
        <w:rPr>
          <w:lang w:val="es-MX"/>
        </w:rPr>
        <w:t>%, monto menor al observado en 2020 (11.5%). El régimen de retenciones a no domiciliados creció a junio en 22.2% y el de productos financieros y rentas de capital 18.7%.</w:t>
      </w:r>
    </w:p>
    <w:p w:rsidR="00F34749" w:rsidRPr="00EF6BF2" w:rsidRDefault="00F34749" w:rsidP="00F34749">
      <w:pPr>
        <w:jc w:val="both"/>
        <w:rPr>
          <w:sz w:val="20"/>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F34749" w:rsidTr="00C55F0D">
        <w:tc>
          <w:tcPr>
            <w:tcW w:w="4549" w:type="dxa"/>
          </w:tcPr>
          <w:p w:rsidR="00F34749" w:rsidRPr="00EF6BF2" w:rsidRDefault="00F34749" w:rsidP="00EF6BF2">
            <w:pPr>
              <w:jc w:val="center"/>
              <w:rPr>
                <w:b/>
                <w:lang w:val="es-MX"/>
              </w:rPr>
            </w:pPr>
            <w:r>
              <w:rPr>
                <w:b/>
                <w:lang w:val="es-MX"/>
              </w:rPr>
              <w:t>Gráfic</w:t>
            </w:r>
            <w:r w:rsidR="008125B6">
              <w:rPr>
                <w:b/>
                <w:lang w:val="es-MX"/>
              </w:rPr>
              <w:t>a 23</w:t>
            </w:r>
            <w:r>
              <w:rPr>
                <w:b/>
                <w:lang w:val="es-MX"/>
              </w:rPr>
              <w:t xml:space="preserve">. Variación de </w:t>
            </w:r>
            <w:r w:rsidR="00EF6BF2">
              <w:rPr>
                <w:b/>
                <w:lang w:val="es-MX"/>
              </w:rPr>
              <w:t>ISR a junio de cada año</w:t>
            </w:r>
          </w:p>
        </w:tc>
        <w:tc>
          <w:tcPr>
            <w:tcW w:w="4549" w:type="dxa"/>
          </w:tcPr>
          <w:p w:rsidR="00F34749" w:rsidRPr="005B2979" w:rsidRDefault="00F34749" w:rsidP="008F67E7">
            <w:pPr>
              <w:jc w:val="center"/>
              <w:rPr>
                <w:b/>
                <w:lang w:val="es-MX"/>
              </w:rPr>
            </w:pPr>
            <w:r>
              <w:rPr>
                <w:b/>
                <w:lang w:val="es-MX"/>
              </w:rPr>
              <w:t>Gráfic</w:t>
            </w:r>
            <w:r w:rsidR="008125B6">
              <w:rPr>
                <w:b/>
                <w:lang w:val="es-MX"/>
              </w:rPr>
              <w:t>a</w:t>
            </w:r>
            <w:r>
              <w:rPr>
                <w:b/>
                <w:lang w:val="es-MX"/>
              </w:rPr>
              <w:t xml:space="preserve"> </w:t>
            </w:r>
            <w:r w:rsidR="008125B6">
              <w:rPr>
                <w:b/>
                <w:lang w:val="es-MX"/>
              </w:rPr>
              <w:t>24</w:t>
            </w:r>
            <w:r>
              <w:rPr>
                <w:b/>
                <w:lang w:val="es-MX"/>
              </w:rPr>
              <w:t xml:space="preserve">.  </w:t>
            </w:r>
            <w:r w:rsidRPr="005B2979">
              <w:rPr>
                <w:b/>
                <w:lang w:val="es-MX"/>
              </w:rPr>
              <w:t xml:space="preserve">ISR por </w:t>
            </w:r>
            <w:r w:rsidR="000216AB">
              <w:rPr>
                <w:b/>
                <w:lang w:val="es-MX"/>
              </w:rPr>
              <w:t>R</w:t>
            </w:r>
            <w:r w:rsidRPr="005B2979">
              <w:rPr>
                <w:b/>
                <w:lang w:val="es-MX"/>
              </w:rPr>
              <w:t>égimen</w:t>
            </w:r>
          </w:p>
          <w:p w:rsidR="00F34749" w:rsidRPr="00EF6BF2" w:rsidRDefault="00F34749" w:rsidP="008F67E7">
            <w:pPr>
              <w:jc w:val="center"/>
              <w:rPr>
                <w:b/>
                <w:lang w:val="es-MX"/>
              </w:rPr>
            </w:pPr>
            <w:r w:rsidRPr="00EF6BF2">
              <w:rPr>
                <w:b/>
                <w:lang w:val="es-MX"/>
              </w:rPr>
              <w:t>Variación</w:t>
            </w:r>
          </w:p>
        </w:tc>
      </w:tr>
      <w:tr w:rsidR="00F34749" w:rsidTr="00C55F0D">
        <w:tc>
          <w:tcPr>
            <w:tcW w:w="4549" w:type="dxa"/>
          </w:tcPr>
          <w:p w:rsidR="00F34749" w:rsidRDefault="00F34749" w:rsidP="008F67E7">
            <w:pPr>
              <w:jc w:val="both"/>
              <w:rPr>
                <w:lang w:val="es-MX"/>
              </w:rPr>
            </w:pPr>
            <w:r>
              <w:rPr>
                <w:noProof/>
                <w:lang w:val="es-GT" w:eastAsia="es-GT"/>
              </w:rPr>
              <w:drawing>
                <wp:inline distT="0" distB="0" distL="0" distR="0" wp14:anchorId="7807FC42" wp14:editId="6565762C">
                  <wp:extent cx="2751455" cy="2139351"/>
                  <wp:effectExtent l="0" t="0" r="0" b="0"/>
                  <wp:docPr id="20"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549" w:type="dxa"/>
          </w:tcPr>
          <w:p w:rsidR="00F34749" w:rsidRDefault="00F34749" w:rsidP="008F67E7">
            <w:pPr>
              <w:jc w:val="both"/>
              <w:rPr>
                <w:lang w:val="es-MX"/>
              </w:rPr>
            </w:pPr>
            <w:r>
              <w:rPr>
                <w:noProof/>
                <w:lang w:val="es-GT" w:eastAsia="es-GT"/>
              </w:rPr>
              <w:drawing>
                <wp:inline distT="0" distB="0" distL="0" distR="0" wp14:anchorId="00735C1E" wp14:editId="64A18E1D">
                  <wp:extent cx="2751455" cy="2139315"/>
                  <wp:effectExtent l="0" t="0" r="0" b="0"/>
                  <wp:docPr id="2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rsidR="00F34749" w:rsidRPr="000216AB" w:rsidRDefault="00C55F0D" w:rsidP="00F34749">
      <w:pPr>
        <w:jc w:val="both"/>
        <w:rPr>
          <w:sz w:val="18"/>
          <w:lang w:val="es-MX"/>
        </w:rPr>
      </w:pPr>
      <w:r>
        <w:rPr>
          <w:noProof/>
          <w:sz w:val="18"/>
          <w:lang w:val="es-ES_tradnl"/>
        </w:rPr>
        <w:t>Fuente: Ministerio de Finanzas Públicas.</w:t>
      </w:r>
    </w:p>
    <w:p w:rsidR="00F34749" w:rsidRDefault="00F34749" w:rsidP="00F34749">
      <w:pPr>
        <w:jc w:val="both"/>
        <w:rPr>
          <w:lang w:val="es-US"/>
        </w:rPr>
      </w:pPr>
    </w:p>
    <w:p w:rsidR="00F34749" w:rsidRPr="00F507F6" w:rsidRDefault="00F34749" w:rsidP="004C636B">
      <w:pPr>
        <w:pStyle w:val="Ttulo3"/>
        <w:numPr>
          <w:ilvl w:val="1"/>
          <w:numId w:val="6"/>
        </w:numPr>
        <w:spacing w:before="0"/>
        <w:ind w:left="709"/>
        <w:rPr>
          <w:rFonts w:ascii="Times New Roman" w:hAnsi="Times New Roman"/>
          <w:color w:val="auto"/>
        </w:rPr>
      </w:pPr>
      <w:bookmarkStart w:id="43" w:name="_Toc73513999"/>
      <w:bookmarkStart w:id="44" w:name="_Toc81388546"/>
      <w:bookmarkStart w:id="45" w:name="_Toc83713640"/>
      <w:r w:rsidRPr="00F507F6">
        <w:rPr>
          <w:rFonts w:ascii="Times New Roman" w:hAnsi="Times New Roman"/>
          <w:color w:val="auto"/>
        </w:rPr>
        <w:t>El Impuesto al Valor Agregado</w:t>
      </w:r>
      <w:bookmarkEnd w:id="43"/>
      <w:bookmarkEnd w:id="44"/>
      <w:bookmarkEnd w:id="45"/>
    </w:p>
    <w:p w:rsidR="00F34749" w:rsidRPr="00EF6BF2" w:rsidRDefault="00F34749" w:rsidP="00F34749">
      <w:pPr>
        <w:jc w:val="both"/>
        <w:rPr>
          <w:sz w:val="20"/>
          <w:lang w:val="es-US"/>
        </w:rPr>
      </w:pPr>
    </w:p>
    <w:p w:rsidR="00F34749" w:rsidRPr="00AD68A4" w:rsidRDefault="00F34749" w:rsidP="00F34749">
      <w:pPr>
        <w:jc w:val="both"/>
        <w:rPr>
          <w:lang w:val="es-US"/>
        </w:rPr>
      </w:pPr>
      <w:r w:rsidRPr="00AD68A4">
        <w:rPr>
          <w:lang w:val="es-US"/>
        </w:rPr>
        <w:t>Este impuesto ha recobrado su dinámica en el primer semestre</w:t>
      </w:r>
      <w:r w:rsidR="000216AB">
        <w:rPr>
          <w:lang w:val="es-US"/>
        </w:rPr>
        <w:t xml:space="preserve"> de 2021</w:t>
      </w:r>
      <w:r>
        <w:rPr>
          <w:lang w:val="es-US"/>
        </w:rPr>
        <w:t xml:space="preserve">, </w:t>
      </w:r>
      <w:r w:rsidRPr="004C72F4">
        <w:rPr>
          <w:lang w:val="es-US"/>
        </w:rPr>
        <w:t>influenciado</w:t>
      </w:r>
      <w:r w:rsidRPr="00AD68A4">
        <w:rPr>
          <w:lang w:val="es-US"/>
        </w:rPr>
        <w:t xml:space="preserve"> principalmente por un aumento en el consumo</w:t>
      </w:r>
      <w:r w:rsidR="000216AB">
        <w:rPr>
          <w:lang w:val="es-US"/>
        </w:rPr>
        <w:t>,</w:t>
      </w:r>
      <w:r w:rsidRPr="00AD68A4">
        <w:rPr>
          <w:lang w:val="es-US"/>
        </w:rPr>
        <w:t xml:space="preserve"> el cual puede haberse dinamizado por mayor disponibilidad de recursos </w:t>
      </w:r>
      <w:r>
        <w:rPr>
          <w:lang w:val="es-US"/>
        </w:rPr>
        <w:t xml:space="preserve">ante </w:t>
      </w:r>
      <w:r w:rsidRPr="00AD68A4">
        <w:rPr>
          <w:lang w:val="es-US"/>
        </w:rPr>
        <w:t>la recuperación en las remesas familiares que a junio han superado lo observado en los últimos 10 años (sin incluir 2020 año de pandemia)</w:t>
      </w:r>
      <w:r w:rsidR="00844461">
        <w:rPr>
          <w:lang w:val="es-US"/>
        </w:rPr>
        <w:t>;</w:t>
      </w:r>
      <w:r w:rsidRPr="00AD68A4">
        <w:rPr>
          <w:lang w:val="es-US"/>
        </w:rPr>
        <w:t xml:space="preserve"> para 2021 se observa un crecimiento de 43</w:t>
      </w:r>
      <w:r w:rsidR="00844461">
        <w:rPr>
          <w:lang w:val="es-US"/>
        </w:rPr>
        <w:t>.0</w:t>
      </w:r>
      <w:r w:rsidRPr="00AD68A4">
        <w:rPr>
          <w:lang w:val="es-US"/>
        </w:rPr>
        <w:t>%, el promedio de los últimos 10 años es de 10.7%.</w:t>
      </w:r>
    </w:p>
    <w:p w:rsidR="00F34749" w:rsidRDefault="00EF6BF2" w:rsidP="00F34749">
      <w:pPr>
        <w:jc w:val="both"/>
        <w:rPr>
          <w:lang w:val="es-US"/>
        </w:rPr>
      </w:pPr>
      <w:r>
        <w:rPr>
          <w:lang w:val="es-US"/>
        </w:rPr>
        <w:t xml:space="preserve"> </w:t>
      </w:r>
      <w:r w:rsidR="00F34749" w:rsidRPr="00AD68A4">
        <w:rPr>
          <w:lang w:val="es-US"/>
        </w:rPr>
        <w:t>De manera acumulada</w:t>
      </w:r>
      <w:r w:rsidR="00F34749">
        <w:rPr>
          <w:lang w:val="es-US"/>
        </w:rPr>
        <w:t>,</w:t>
      </w:r>
      <w:r w:rsidR="00F34749" w:rsidRPr="00AD68A4">
        <w:rPr>
          <w:lang w:val="es-US"/>
        </w:rPr>
        <w:t xml:space="preserve"> </w:t>
      </w:r>
      <w:r w:rsidR="00F34749">
        <w:rPr>
          <w:lang w:val="es-US"/>
        </w:rPr>
        <w:t>el IVA</w:t>
      </w:r>
      <w:r w:rsidR="00F34749" w:rsidRPr="00AD68A4">
        <w:rPr>
          <w:lang w:val="es-US"/>
        </w:rPr>
        <w:t xml:space="preserve"> gener</w:t>
      </w:r>
      <w:r w:rsidR="00F34749">
        <w:rPr>
          <w:lang w:val="es-US"/>
        </w:rPr>
        <w:t>ó</w:t>
      </w:r>
      <w:r w:rsidR="00F34749" w:rsidRPr="00AD68A4">
        <w:rPr>
          <w:lang w:val="es-US"/>
        </w:rPr>
        <w:t xml:space="preserve"> </w:t>
      </w:r>
      <w:r w:rsidR="00F34749">
        <w:rPr>
          <w:lang w:val="es-US"/>
        </w:rPr>
        <w:t xml:space="preserve">una </w:t>
      </w:r>
      <w:r w:rsidR="00F34749" w:rsidRPr="00AD68A4">
        <w:rPr>
          <w:lang w:val="es-US"/>
        </w:rPr>
        <w:t>brecha positiva de Q</w:t>
      </w:r>
      <w:r w:rsidR="00844461">
        <w:rPr>
          <w:lang w:val="es-US"/>
        </w:rPr>
        <w:t>.</w:t>
      </w:r>
      <w:r w:rsidR="00F34749" w:rsidRPr="00AD68A4">
        <w:rPr>
          <w:lang w:val="es-US"/>
        </w:rPr>
        <w:t>2,359.1 millones respecto a la meta de presupuesto y Q</w:t>
      </w:r>
      <w:r w:rsidR="00844461">
        <w:rPr>
          <w:lang w:val="es-US"/>
        </w:rPr>
        <w:t>.</w:t>
      </w:r>
      <w:r w:rsidR="00F34749" w:rsidRPr="00AD68A4">
        <w:rPr>
          <w:lang w:val="es-US"/>
        </w:rPr>
        <w:t>3,994.4 millones respecto a 2020</w:t>
      </w:r>
      <w:r w:rsidR="00844461">
        <w:rPr>
          <w:lang w:val="es-US"/>
        </w:rPr>
        <w:t>;</w:t>
      </w:r>
      <w:r w:rsidR="00F34749" w:rsidRPr="00AD68A4">
        <w:rPr>
          <w:lang w:val="es-US"/>
        </w:rPr>
        <w:t xml:space="preserve"> sobresale en este resultado la </w:t>
      </w:r>
      <w:r w:rsidR="00F34749" w:rsidRPr="00AD68A4">
        <w:rPr>
          <w:lang w:val="es-US"/>
        </w:rPr>
        <w:lastRenderedPageBreak/>
        <w:t>recuperación en el régimen de retenciones que creció en 18.5%, el del pequeño contribuyente creció 19.8%</w:t>
      </w:r>
      <w:r w:rsidR="00F34749">
        <w:rPr>
          <w:lang w:val="es-US"/>
        </w:rPr>
        <w:t xml:space="preserve">, régimen que </w:t>
      </w:r>
      <w:r w:rsidR="00F34749" w:rsidRPr="00AD68A4">
        <w:rPr>
          <w:lang w:val="es-US"/>
        </w:rPr>
        <w:t>en 2020 tuvo una caída del 13.9%</w:t>
      </w:r>
      <w:r w:rsidR="00844461">
        <w:rPr>
          <w:lang w:val="es-US"/>
        </w:rPr>
        <w:t>, t</w:t>
      </w:r>
      <w:r w:rsidR="00F34749" w:rsidRPr="00AD68A4">
        <w:rPr>
          <w:lang w:val="es-US"/>
        </w:rPr>
        <w:t>raspaso de vehículos creció en 77.5% (en 2020 cayó en 35.7%) y el de facturas especiales que crec</w:t>
      </w:r>
      <w:r w:rsidR="00F34749">
        <w:rPr>
          <w:lang w:val="es-US"/>
        </w:rPr>
        <w:t>ió</w:t>
      </w:r>
      <w:r w:rsidR="00F34749" w:rsidRPr="00AD68A4">
        <w:rPr>
          <w:lang w:val="es-US"/>
        </w:rPr>
        <w:t xml:space="preserve"> en 11.5% (en 2020 cayó en 5.7%).</w:t>
      </w:r>
    </w:p>
    <w:p w:rsidR="00F34749" w:rsidRPr="00344EB7" w:rsidRDefault="00F34749" w:rsidP="00F34749">
      <w:pPr>
        <w:jc w:val="both"/>
        <w:rPr>
          <w:sz w:val="28"/>
          <w:lang w:val="es-US"/>
        </w:rPr>
      </w:pPr>
    </w:p>
    <w:p w:rsidR="00F34749" w:rsidRPr="00DB3403" w:rsidRDefault="00F34749" w:rsidP="00F34749">
      <w:pPr>
        <w:pStyle w:val="Descripcin"/>
        <w:spacing w:after="0"/>
        <w:jc w:val="center"/>
        <w:rPr>
          <w:rFonts w:ascii="Times New Roman" w:hAnsi="Times New Roman" w:cs="Times New Roman"/>
          <w:b/>
          <w:bCs/>
          <w:i w:val="0"/>
          <w:iCs w:val="0"/>
          <w:color w:val="auto"/>
          <w:sz w:val="24"/>
          <w:szCs w:val="24"/>
        </w:rPr>
      </w:pPr>
      <w:bookmarkStart w:id="46" w:name="_Toc50016841"/>
      <w:bookmarkStart w:id="47" w:name="_Toc73343512"/>
      <w:r>
        <w:rPr>
          <w:rFonts w:ascii="Times New Roman" w:hAnsi="Times New Roman" w:cs="Times New Roman"/>
          <w:b/>
          <w:i w:val="0"/>
          <w:color w:val="auto"/>
          <w:sz w:val="24"/>
          <w:szCs w:val="24"/>
        </w:rPr>
        <w:t>Gráfic</w:t>
      </w:r>
      <w:r w:rsidR="008125B6">
        <w:rPr>
          <w:rFonts w:ascii="Times New Roman" w:hAnsi="Times New Roman" w:cs="Times New Roman"/>
          <w:b/>
          <w:i w:val="0"/>
          <w:color w:val="auto"/>
          <w:sz w:val="24"/>
          <w:szCs w:val="24"/>
        </w:rPr>
        <w:t>a 25</w:t>
      </w:r>
      <w:r w:rsidRPr="00DB3403">
        <w:rPr>
          <w:rFonts w:ascii="Times New Roman" w:hAnsi="Times New Roman" w:cs="Times New Roman"/>
          <w:b/>
          <w:i w:val="0"/>
          <w:color w:val="auto"/>
          <w:sz w:val="24"/>
          <w:szCs w:val="24"/>
        </w:rPr>
        <w:t xml:space="preserve">.  IVA </w:t>
      </w:r>
      <w:r w:rsidR="00844461">
        <w:rPr>
          <w:rFonts w:ascii="Times New Roman" w:hAnsi="Times New Roman" w:cs="Times New Roman"/>
          <w:b/>
          <w:i w:val="0"/>
          <w:color w:val="auto"/>
          <w:sz w:val="24"/>
          <w:szCs w:val="24"/>
        </w:rPr>
        <w:t>D</w:t>
      </w:r>
      <w:r w:rsidRPr="00DB3403">
        <w:rPr>
          <w:rFonts w:ascii="Times New Roman" w:hAnsi="Times New Roman" w:cs="Times New Roman"/>
          <w:b/>
          <w:i w:val="0"/>
          <w:color w:val="auto"/>
          <w:sz w:val="24"/>
          <w:szCs w:val="24"/>
        </w:rPr>
        <w:t xml:space="preserve">oméstico e </w:t>
      </w:r>
      <w:r w:rsidR="00844461">
        <w:rPr>
          <w:rFonts w:ascii="Times New Roman" w:hAnsi="Times New Roman" w:cs="Times New Roman"/>
          <w:b/>
          <w:i w:val="0"/>
          <w:color w:val="auto"/>
          <w:sz w:val="24"/>
          <w:szCs w:val="24"/>
        </w:rPr>
        <w:t>I</w:t>
      </w:r>
      <w:r w:rsidRPr="00DB3403">
        <w:rPr>
          <w:rFonts w:ascii="Times New Roman" w:hAnsi="Times New Roman" w:cs="Times New Roman"/>
          <w:b/>
          <w:i w:val="0"/>
          <w:color w:val="auto"/>
          <w:sz w:val="24"/>
          <w:szCs w:val="24"/>
        </w:rPr>
        <w:t>mportaciones</w:t>
      </w:r>
      <w:bookmarkEnd w:id="46"/>
      <w:bookmarkEnd w:id="47"/>
    </w:p>
    <w:tbl>
      <w:tblPr>
        <w:tblW w:w="9328" w:type="dxa"/>
        <w:jc w:val="center"/>
        <w:tblLook w:val="04A0" w:firstRow="1" w:lastRow="0" w:firstColumn="1" w:lastColumn="0" w:noHBand="0" w:noVBand="1"/>
      </w:tblPr>
      <w:tblGrid>
        <w:gridCol w:w="4791"/>
        <w:gridCol w:w="4596"/>
      </w:tblGrid>
      <w:tr w:rsidR="00F34749" w:rsidRPr="00D67B50" w:rsidTr="008F67E7">
        <w:trPr>
          <w:trHeight w:val="1470"/>
          <w:jc w:val="center"/>
        </w:trPr>
        <w:tc>
          <w:tcPr>
            <w:tcW w:w="4773" w:type="dxa"/>
          </w:tcPr>
          <w:p w:rsidR="00F34749" w:rsidRPr="00C55F0D" w:rsidRDefault="00C55F0D" w:rsidP="00C55F0D">
            <w:pPr>
              <w:jc w:val="both"/>
              <w:rPr>
                <w:sz w:val="20"/>
                <w:szCs w:val="20"/>
                <w:lang w:val="es-GT"/>
              </w:rPr>
            </w:pPr>
            <w:r>
              <w:rPr>
                <w:noProof/>
                <w:sz w:val="18"/>
                <w:lang w:val="es-ES_tradnl"/>
              </w:rPr>
              <w:t>Fuente: Ministerio de Finanzas Públicas.</w:t>
            </w:r>
            <w:r w:rsidR="00F34749" w:rsidRPr="00844461">
              <w:rPr>
                <w:noProof/>
                <w:sz w:val="28"/>
                <w:szCs w:val="20"/>
                <w:lang w:val="es-GT" w:eastAsia="es-GT"/>
              </w:rPr>
              <w:drawing>
                <wp:anchor distT="0" distB="0" distL="114300" distR="114300" simplePos="0" relativeHeight="251671552" behindDoc="0" locked="0" layoutInCell="1" allowOverlap="1" wp14:anchorId="5452DBBC" wp14:editId="09C499DC">
                  <wp:simplePos x="0" y="0"/>
                  <wp:positionH relativeFrom="column">
                    <wp:posOffset>-20320</wp:posOffset>
                  </wp:positionH>
                  <wp:positionV relativeFrom="paragraph">
                    <wp:posOffset>29845</wp:posOffset>
                  </wp:positionV>
                  <wp:extent cx="2905125" cy="2457450"/>
                  <wp:effectExtent l="0" t="0" r="0" b="0"/>
                  <wp:wrapSquare wrapText="bothSides"/>
                  <wp:docPr id="7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tc>
        <w:tc>
          <w:tcPr>
            <w:tcW w:w="4555" w:type="dxa"/>
          </w:tcPr>
          <w:p w:rsidR="00F34749" w:rsidRPr="00D67B50" w:rsidRDefault="00F34749" w:rsidP="008F67E7">
            <w:pPr>
              <w:jc w:val="both"/>
              <w:rPr>
                <w:sz w:val="20"/>
                <w:szCs w:val="20"/>
                <w:lang w:val="es-US"/>
              </w:rPr>
            </w:pPr>
            <w:r w:rsidRPr="00D67B50">
              <w:rPr>
                <w:noProof/>
                <w:sz w:val="20"/>
                <w:szCs w:val="20"/>
                <w:lang w:val="es-GT" w:eastAsia="es-GT"/>
              </w:rPr>
              <w:drawing>
                <wp:anchor distT="0" distB="0" distL="114300" distR="114300" simplePos="0" relativeHeight="251672576" behindDoc="0" locked="0" layoutInCell="1" allowOverlap="1" wp14:anchorId="564F493D" wp14:editId="3AB98B77">
                  <wp:simplePos x="0" y="0"/>
                  <wp:positionH relativeFrom="column">
                    <wp:posOffset>-24130</wp:posOffset>
                  </wp:positionH>
                  <wp:positionV relativeFrom="paragraph">
                    <wp:posOffset>96519</wp:posOffset>
                  </wp:positionV>
                  <wp:extent cx="2781300" cy="2390775"/>
                  <wp:effectExtent l="0" t="0" r="0" b="0"/>
                  <wp:wrapSquare wrapText="bothSides"/>
                  <wp:docPr id="79"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tc>
      </w:tr>
    </w:tbl>
    <w:p w:rsidR="00F34749" w:rsidRDefault="00F34749" w:rsidP="00F34749">
      <w:pPr>
        <w:jc w:val="both"/>
        <w:rPr>
          <w:lang w:val="es-US"/>
        </w:rPr>
      </w:pPr>
    </w:p>
    <w:p w:rsidR="00344EB7" w:rsidRDefault="00344EB7" w:rsidP="00F34749">
      <w:pPr>
        <w:jc w:val="both"/>
        <w:rPr>
          <w:lang w:val="es-US"/>
        </w:rPr>
      </w:pPr>
    </w:p>
    <w:p w:rsidR="00F34749" w:rsidRDefault="00F34749" w:rsidP="00F34749">
      <w:pPr>
        <w:jc w:val="both"/>
        <w:rPr>
          <w:lang w:val="es-MX"/>
        </w:rPr>
      </w:pPr>
      <w:r w:rsidRPr="0056381F">
        <w:rPr>
          <w:lang w:val="es-MX"/>
        </w:rPr>
        <w:t>En términos de productividad de este impuesto</w:t>
      </w:r>
      <w:r w:rsidR="00844461">
        <w:rPr>
          <w:lang w:val="es-MX"/>
        </w:rPr>
        <w:t>,</w:t>
      </w:r>
      <w:r w:rsidRPr="0056381F">
        <w:rPr>
          <w:lang w:val="es-MX"/>
        </w:rPr>
        <w:t xml:space="preserve"> podemos indicar que el IVA total presenta una recuperación luego de la caída observada en 2020</w:t>
      </w:r>
      <w:r w:rsidR="00844461">
        <w:rPr>
          <w:lang w:val="es-MX"/>
        </w:rPr>
        <w:t>,</w:t>
      </w:r>
      <w:r w:rsidRPr="0056381F">
        <w:rPr>
          <w:lang w:val="es-MX"/>
        </w:rPr>
        <w:t xml:space="preserve"> la cual está siendo influenciada por el IVA importaciones</w:t>
      </w:r>
      <w:r>
        <w:rPr>
          <w:lang w:val="es-MX"/>
        </w:rPr>
        <w:t xml:space="preserve"> el cual ha mostrado buen rendimiento como se indicó anteriormente.  Asimismo,</w:t>
      </w:r>
      <w:r w:rsidRPr="0056381F">
        <w:rPr>
          <w:lang w:val="es-MX"/>
        </w:rPr>
        <w:t xml:space="preserve"> el IVA asociado al consumo interno </w:t>
      </w:r>
      <w:r>
        <w:rPr>
          <w:lang w:val="es-MX"/>
        </w:rPr>
        <w:t>se recupera</w:t>
      </w:r>
      <w:r w:rsidRPr="0056381F">
        <w:rPr>
          <w:lang w:val="es-MX"/>
        </w:rPr>
        <w:t>.</w:t>
      </w:r>
    </w:p>
    <w:p w:rsidR="00F34749" w:rsidRPr="00344EB7" w:rsidRDefault="00F34749" w:rsidP="00F34749">
      <w:pPr>
        <w:jc w:val="both"/>
        <w:rPr>
          <w:sz w:val="28"/>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F34749" w:rsidRPr="00665155" w:rsidTr="00C55F0D">
        <w:tc>
          <w:tcPr>
            <w:tcW w:w="4641" w:type="dxa"/>
          </w:tcPr>
          <w:p w:rsidR="00F34749" w:rsidRDefault="00F34749" w:rsidP="008F67E7">
            <w:pPr>
              <w:jc w:val="center"/>
              <w:rPr>
                <w:b/>
                <w:lang w:val="es-MX"/>
              </w:rPr>
            </w:pPr>
            <w:r>
              <w:rPr>
                <w:b/>
                <w:lang w:val="es-MX"/>
              </w:rPr>
              <w:t>Gráfic</w:t>
            </w:r>
            <w:r w:rsidR="008125B6">
              <w:rPr>
                <w:b/>
                <w:lang w:val="es-MX"/>
              </w:rPr>
              <w:t>a 26</w:t>
            </w:r>
            <w:r>
              <w:rPr>
                <w:b/>
                <w:lang w:val="es-MX"/>
              </w:rPr>
              <w:t xml:space="preserve">. </w:t>
            </w:r>
            <w:r w:rsidRPr="00665155">
              <w:rPr>
                <w:b/>
                <w:lang w:val="es-MX"/>
              </w:rPr>
              <w:t xml:space="preserve">Productividad del IVA </w:t>
            </w:r>
            <w:r w:rsidR="009E67EE">
              <w:rPr>
                <w:b/>
                <w:lang w:val="es-MX"/>
              </w:rPr>
              <w:t>T</w:t>
            </w:r>
            <w:r w:rsidRPr="00665155">
              <w:rPr>
                <w:b/>
                <w:lang w:val="es-MX"/>
              </w:rPr>
              <w:t xml:space="preserve">otal </w:t>
            </w:r>
          </w:p>
          <w:p w:rsidR="00F34749" w:rsidRPr="00665155" w:rsidRDefault="00F34749" w:rsidP="008F67E7">
            <w:pPr>
              <w:jc w:val="center"/>
              <w:rPr>
                <w:b/>
                <w:lang w:val="es-MX"/>
              </w:rPr>
            </w:pPr>
            <w:r w:rsidRPr="00665155">
              <w:rPr>
                <w:b/>
                <w:lang w:val="es-MX"/>
              </w:rPr>
              <w:t>a junio de cada año</w:t>
            </w:r>
          </w:p>
          <w:p w:rsidR="00F34749" w:rsidRPr="009E67EE" w:rsidRDefault="00F34749" w:rsidP="008F67E7">
            <w:pPr>
              <w:jc w:val="center"/>
              <w:rPr>
                <w:b/>
                <w:lang w:val="es-MX"/>
              </w:rPr>
            </w:pPr>
            <w:r w:rsidRPr="009E67EE">
              <w:rPr>
                <w:b/>
                <w:lang w:val="es-MX"/>
              </w:rPr>
              <w:t>Porcentajes</w:t>
            </w:r>
          </w:p>
        </w:tc>
        <w:tc>
          <w:tcPr>
            <w:tcW w:w="4641" w:type="dxa"/>
          </w:tcPr>
          <w:p w:rsidR="00F34749" w:rsidRPr="00665155" w:rsidRDefault="00F34749" w:rsidP="008F67E7">
            <w:pPr>
              <w:jc w:val="center"/>
              <w:rPr>
                <w:b/>
                <w:lang w:val="es-MX"/>
              </w:rPr>
            </w:pPr>
            <w:r>
              <w:rPr>
                <w:b/>
                <w:lang w:val="es-MX"/>
              </w:rPr>
              <w:t>Gráfic</w:t>
            </w:r>
            <w:r w:rsidR="008125B6">
              <w:rPr>
                <w:b/>
                <w:lang w:val="es-MX"/>
              </w:rPr>
              <w:t>a 27</w:t>
            </w:r>
            <w:r>
              <w:rPr>
                <w:b/>
                <w:lang w:val="es-MX"/>
              </w:rPr>
              <w:t xml:space="preserve">. </w:t>
            </w:r>
            <w:r w:rsidRPr="00665155">
              <w:rPr>
                <w:b/>
                <w:lang w:val="es-MX"/>
              </w:rPr>
              <w:t xml:space="preserve">Productividad del IVA </w:t>
            </w:r>
            <w:r w:rsidR="009E67EE">
              <w:rPr>
                <w:b/>
                <w:lang w:val="es-MX"/>
              </w:rPr>
              <w:t>I</w:t>
            </w:r>
            <w:r w:rsidRPr="00665155">
              <w:rPr>
                <w:b/>
                <w:lang w:val="es-MX"/>
              </w:rPr>
              <w:t xml:space="preserve">mportaciones e IVA </w:t>
            </w:r>
            <w:r w:rsidR="009E67EE">
              <w:rPr>
                <w:b/>
                <w:lang w:val="es-MX"/>
              </w:rPr>
              <w:t>D</w:t>
            </w:r>
            <w:r w:rsidRPr="00665155">
              <w:rPr>
                <w:b/>
                <w:lang w:val="es-MX"/>
              </w:rPr>
              <w:t>oméstico a junio de cada año</w:t>
            </w:r>
          </w:p>
          <w:p w:rsidR="00F34749" w:rsidRPr="009E67EE" w:rsidRDefault="00F34749" w:rsidP="008F67E7">
            <w:pPr>
              <w:jc w:val="center"/>
              <w:rPr>
                <w:b/>
                <w:lang w:val="es-MX"/>
              </w:rPr>
            </w:pPr>
            <w:r w:rsidRPr="009E67EE">
              <w:rPr>
                <w:b/>
                <w:lang w:val="es-MX"/>
              </w:rPr>
              <w:t>Porcentajes</w:t>
            </w:r>
          </w:p>
        </w:tc>
      </w:tr>
      <w:tr w:rsidR="00F34749" w:rsidTr="00C55F0D">
        <w:tc>
          <w:tcPr>
            <w:tcW w:w="4641" w:type="dxa"/>
          </w:tcPr>
          <w:p w:rsidR="00F34749" w:rsidRDefault="00F34749" w:rsidP="008F67E7">
            <w:pPr>
              <w:jc w:val="both"/>
              <w:rPr>
                <w:lang w:val="es-MX"/>
              </w:rPr>
            </w:pPr>
            <w:r>
              <w:rPr>
                <w:noProof/>
                <w:lang w:val="es-GT" w:eastAsia="es-GT"/>
              </w:rPr>
              <w:drawing>
                <wp:inline distT="0" distB="0" distL="0" distR="0" wp14:anchorId="2BDA8D5F" wp14:editId="7A6E515F">
                  <wp:extent cx="2809875" cy="2139351"/>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641" w:type="dxa"/>
          </w:tcPr>
          <w:p w:rsidR="00F34749" w:rsidRDefault="00F34749" w:rsidP="008F67E7">
            <w:pPr>
              <w:jc w:val="both"/>
              <w:rPr>
                <w:lang w:val="es-MX"/>
              </w:rPr>
            </w:pPr>
            <w:r>
              <w:rPr>
                <w:noProof/>
                <w:lang w:val="es-GT" w:eastAsia="es-GT"/>
              </w:rPr>
              <w:drawing>
                <wp:inline distT="0" distB="0" distL="0" distR="0" wp14:anchorId="75349DDF" wp14:editId="7E9977A8">
                  <wp:extent cx="2809875" cy="2199736"/>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F34749" w:rsidRDefault="00C55F0D" w:rsidP="00F34749">
      <w:pPr>
        <w:jc w:val="both"/>
        <w:rPr>
          <w:noProof/>
          <w:sz w:val="18"/>
          <w:lang w:val="es-ES_tradnl"/>
        </w:rPr>
      </w:pPr>
      <w:r>
        <w:rPr>
          <w:noProof/>
          <w:sz w:val="18"/>
          <w:lang w:val="es-ES_tradnl"/>
        </w:rPr>
        <w:t>Fuente: Ministerio de Finanzas Públicas.</w:t>
      </w:r>
    </w:p>
    <w:p w:rsidR="00344EB7" w:rsidRDefault="00344EB7" w:rsidP="00F34749">
      <w:pPr>
        <w:jc w:val="both"/>
        <w:rPr>
          <w:sz w:val="18"/>
          <w:lang w:val="es-MX"/>
        </w:rPr>
      </w:pPr>
    </w:p>
    <w:p w:rsidR="00344EB7" w:rsidRPr="00344EB7" w:rsidRDefault="00344EB7" w:rsidP="00F34749">
      <w:pPr>
        <w:jc w:val="both"/>
        <w:rPr>
          <w:lang w:val="es-MX"/>
        </w:rPr>
      </w:pPr>
    </w:p>
    <w:p w:rsidR="00F34749" w:rsidRDefault="00F34749" w:rsidP="00F34749">
      <w:pPr>
        <w:jc w:val="both"/>
        <w:rPr>
          <w:lang w:val="es-US"/>
        </w:rPr>
      </w:pPr>
      <w:r>
        <w:rPr>
          <w:lang w:val="es-US"/>
        </w:rPr>
        <w:t xml:space="preserve">La recaudación acumulada asociada al comercio exterior (IVA de </w:t>
      </w:r>
      <w:r w:rsidR="00844461">
        <w:rPr>
          <w:lang w:val="es-US"/>
        </w:rPr>
        <w:t>I</w:t>
      </w:r>
      <w:r>
        <w:rPr>
          <w:lang w:val="es-US"/>
        </w:rPr>
        <w:t xml:space="preserve">mportaciones y Derechos </w:t>
      </w:r>
      <w:r w:rsidR="00844461">
        <w:rPr>
          <w:lang w:val="es-US"/>
        </w:rPr>
        <w:t>A</w:t>
      </w:r>
      <w:r>
        <w:rPr>
          <w:lang w:val="es-US"/>
        </w:rPr>
        <w:t xml:space="preserve">rancelarios a la </w:t>
      </w:r>
      <w:r w:rsidR="00844461">
        <w:rPr>
          <w:lang w:val="es-US"/>
        </w:rPr>
        <w:t>I</w:t>
      </w:r>
      <w:r>
        <w:rPr>
          <w:lang w:val="es-US"/>
        </w:rPr>
        <w:t>mportación) muestra mayor dinamismo respecto a lo observado en 2020 creciendo en 41.2% respecto a este y 22.1% respecto a la meta de presupuesto. Este dinamismo puede estar explicado en gran medida a la recuperación y reapertura gradual de las economías de los países socios. Otros aspectos que también juegan un papel importante en esta recuperación son el precio internacional del petróleo y el tipo de cambio.</w:t>
      </w:r>
    </w:p>
    <w:p w:rsidR="00F34749" w:rsidRPr="00344EB7" w:rsidRDefault="00F34749" w:rsidP="00F34749">
      <w:pPr>
        <w:jc w:val="both"/>
        <w:rPr>
          <w:lang w:val="es-US"/>
        </w:rPr>
      </w:pPr>
    </w:p>
    <w:p w:rsidR="00F34749" w:rsidRDefault="00F34749" w:rsidP="00F34749">
      <w:pPr>
        <w:jc w:val="both"/>
        <w:rPr>
          <w:lang w:val="es-US"/>
        </w:rPr>
      </w:pPr>
      <w:r>
        <w:rPr>
          <w:lang w:val="es-US"/>
        </w:rPr>
        <w:t xml:space="preserve">Según información de la </w:t>
      </w:r>
      <w:r w:rsidRPr="00C46560">
        <w:rPr>
          <w:lang w:val="es-US"/>
        </w:rPr>
        <w:t xml:space="preserve">Superintendencia de Administración Tributaria </w:t>
      </w:r>
      <w:r w:rsidR="00844461">
        <w:rPr>
          <w:lang w:val="es-US"/>
        </w:rPr>
        <w:t>(</w:t>
      </w:r>
      <w:r w:rsidRPr="00C46560">
        <w:rPr>
          <w:lang w:val="es-US"/>
        </w:rPr>
        <w:t>SAT</w:t>
      </w:r>
      <w:r w:rsidR="00844461">
        <w:rPr>
          <w:lang w:val="es-US"/>
        </w:rPr>
        <w:t>),</w:t>
      </w:r>
      <w:r w:rsidRPr="00C46560">
        <w:rPr>
          <w:lang w:val="es-US"/>
        </w:rPr>
        <w:t xml:space="preserve"> las aduanas que aportan el 89.3% de la recaudación total asociada al comercio internacional son la Aduana Central, el Express Aéreo, Aduana Puerto Quetzal, Aduana Puerto Santo Tomas, la </w:t>
      </w:r>
      <w:r w:rsidR="00844461">
        <w:rPr>
          <w:lang w:val="es-US"/>
        </w:rPr>
        <w:t>A</w:t>
      </w:r>
      <w:r w:rsidRPr="00C46560">
        <w:rPr>
          <w:lang w:val="es-US"/>
        </w:rPr>
        <w:t>duana Puerto Barrios y la Aduana Tecún Umán II</w:t>
      </w:r>
      <w:r w:rsidR="00844461">
        <w:rPr>
          <w:lang w:val="es-US"/>
        </w:rPr>
        <w:t>. E</w:t>
      </w:r>
      <w:r w:rsidRPr="00C46560">
        <w:rPr>
          <w:lang w:val="es-US"/>
        </w:rPr>
        <w:t xml:space="preserve">ste </w:t>
      </w:r>
      <w:r>
        <w:rPr>
          <w:lang w:val="es-US"/>
        </w:rPr>
        <w:t>grupo de aduanas creció 41</w:t>
      </w:r>
      <w:r w:rsidR="00844461">
        <w:rPr>
          <w:lang w:val="es-US"/>
        </w:rPr>
        <w:t>.0</w:t>
      </w:r>
      <w:r>
        <w:rPr>
          <w:lang w:val="es-US"/>
        </w:rPr>
        <w:t>% en su conjunto (Q</w:t>
      </w:r>
      <w:r w:rsidR="00844461">
        <w:rPr>
          <w:lang w:val="es-US"/>
        </w:rPr>
        <w:t>.</w:t>
      </w:r>
      <w:r>
        <w:rPr>
          <w:lang w:val="es-US"/>
        </w:rPr>
        <w:t>2,953.9 millones) respecto a lo observado en 2020, el resto de aduanas a pesar que algunas tuvieron crecimientos importantes respecto a 2020</w:t>
      </w:r>
      <w:r w:rsidR="00844461">
        <w:rPr>
          <w:lang w:val="es-US"/>
        </w:rPr>
        <w:t>,</w:t>
      </w:r>
      <w:r>
        <w:rPr>
          <w:lang w:val="es-US"/>
        </w:rPr>
        <w:t xml:space="preserve"> su aporte a la recaudación asociada al comercio exterior es menor.</w:t>
      </w:r>
    </w:p>
    <w:p w:rsidR="00F34749" w:rsidRPr="00344EB7" w:rsidRDefault="00F34749" w:rsidP="00F34749">
      <w:pPr>
        <w:jc w:val="both"/>
        <w:rPr>
          <w:lang w:val="es-US"/>
        </w:rPr>
      </w:pPr>
    </w:p>
    <w:p w:rsidR="00F34749" w:rsidRDefault="00F34749" w:rsidP="00F34749">
      <w:pPr>
        <w:jc w:val="both"/>
        <w:rPr>
          <w:lang w:val="es-US"/>
        </w:rPr>
      </w:pPr>
      <w:r>
        <w:rPr>
          <w:lang w:val="es-US"/>
        </w:rPr>
        <w:t>Aunado a las cifras de recaudación en las aduanas nacionales, también se observa un crecimiento del 18.6% (47,180 contenedores) en el movimiento acumulado de contenedores en las empresas portuarias EPQ y TCQ al mes de junio.</w:t>
      </w:r>
    </w:p>
    <w:p w:rsidR="00844461" w:rsidRDefault="00844461" w:rsidP="00F34749">
      <w:pPr>
        <w:rPr>
          <w:lang w:val="es-US"/>
        </w:rPr>
      </w:pPr>
    </w:p>
    <w:p w:rsidR="00F34749" w:rsidRPr="00F507F6" w:rsidRDefault="00F34749" w:rsidP="00F34749">
      <w:pPr>
        <w:pStyle w:val="Descripcin"/>
        <w:spacing w:after="0"/>
        <w:jc w:val="center"/>
        <w:rPr>
          <w:rFonts w:ascii="Times New Roman" w:hAnsi="Times New Roman" w:cs="Times New Roman"/>
          <w:b/>
          <w:i w:val="0"/>
          <w:color w:val="auto"/>
          <w:sz w:val="24"/>
        </w:rPr>
      </w:pPr>
      <w:r>
        <w:rPr>
          <w:rFonts w:ascii="Times New Roman" w:hAnsi="Times New Roman" w:cs="Times New Roman"/>
          <w:b/>
          <w:i w:val="0"/>
          <w:color w:val="auto"/>
          <w:sz w:val="24"/>
        </w:rPr>
        <w:t>Gráfic</w:t>
      </w:r>
      <w:r w:rsidR="008125B6">
        <w:rPr>
          <w:rFonts w:ascii="Times New Roman" w:hAnsi="Times New Roman" w:cs="Times New Roman"/>
          <w:b/>
          <w:i w:val="0"/>
          <w:color w:val="auto"/>
          <w:sz w:val="24"/>
        </w:rPr>
        <w:t>a 28</w:t>
      </w:r>
      <w:r w:rsidRPr="00F507F6">
        <w:rPr>
          <w:rFonts w:ascii="Times New Roman" w:hAnsi="Times New Roman" w:cs="Times New Roman"/>
          <w:b/>
          <w:i w:val="0"/>
          <w:color w:val="auto"/>
          <w:sz w:val="24"/>
        </w:rPr>
        <w:t xml:space="preserve">. Variación Interanual </w:t>
      </w:r>
      <w:r w:rsidR="00844461">
        <w:rPr>
          <w:rFonts w:ascii="Times New Roman" w:hAnsi="Times New Roman" w:cs="Times New Roman"/>
          <w:b/>
          <w:i w:val="0"/>
          <w:color w:val="auto"/>
          <w:sz w:val="24"/>
        </w:rPr>
        <w:t>I</w:t>
      </w:r>
      <w:r w:rsidRPr="00F507F6">
        <w:rPr>
          <w:rFonts w:ascii="Times New Roman" w:hAnsi="Times New Roman" w:cs="Times New Roman"/>
          <w:b/>
          <w:i w:val="0"/>
          <w:color w:val="auto"/>
          <w:sz w:val="24"/>
        </w:rPr>
        <w:t xml:space="preserve">mpuestos </w:t>
      </w:r>
      <w:r w:rsidR="00844461">
        <w:rPr>
          <w:rFonts w:ascii="Times New Roman" w:hAnsi="Times New Roman" w:cs="Times New Roman"/>
          <w:b/>
          <w:i w:val="0"/>
          <w:color w:val="auto"/>
          <w:sz w:val="24"/>
        </w:rPr>
        <w:t>A</w:t>
      </w:r>
      <w:r w:rsidRPr="00F507F6">
        <w:rPr>
          <w:rFonts w:ascii="Times New Roman" w:hAnsi="Times New Roman" w:cs="Times New Roman"/>
          <w:b/>
          <w:i w:val="0"/>
          <w:color w:val="auto"/>
          <w:sz w:val="24"/>
        </w:rPr>
        <w:t xml:space="preserve">sociados al </w:t>
      </w:r>
      <w:r w:rsidR="00844461">
        <w:rPr>
          <w:rFonts w:ascii="Times New Roman" w:hAnsi="Times New Roman" w:cs="Times New Roman"/>
          <w:b/>
          <w:i w:val="0"/>
          <w:color w:val="auto"/>
          <w:sz w:val="24"/>
        </w:rPr>
        <w:t>C</w:t>
      </w:r>
      <w:r w:rsidRPr="00F507F6">
        <w:rPr>
          <w:rFonts w:ascii="Times New Roman" w:hAnsi="Times New Roman" w:cs="Times New Roman"/>
          <w:b/>
          <w:i w:val="0"/>
          <w:color w:val="auto"/>
          <w:sz w:val="24"/>
        </w:rPr>
        <w:t xml:space="preserve">omercio </w:t>
      </w:r>
      <w:r w:rsidR="00844461">
        <w:rPr>
          <w:rFonts w:ascii="Times New Roman" w:hAnsi="Times New Roman" w:cs="Times New Roman"/>
          <w:b/>
          <w:i w:val="0"/>
          <w:color w:val="auto"/>
          <w:sz w:val="24"/>
        </w:rPr>
        <w:t>E</w:t>
      </w:r>
      <w:r w:rsidRPr="00F507F6">
        <w:rPr>
          <w:rFonts w:ascii="Times New Roman" w:hAnsi="Times New Roman" w:cs="Times New Roman"/>
          <w:b/>
          <w:i w:val="0"/>
          <w:color w:val="auto"/>
          <w:sz w:val="24"/>
        </w:rPr>
        <w:t>xterior (términos brutos)</w:t>
      </w:r>
    </w:p>
    <w:p w:rsidR="00F34749" w:rsidRPr="008125B6" w:rsidRDefault="00F34749" w:rsidP="00F34749">
      <w:pPr>
        <w:jc w:val="center"/>
        <w:rPr>
          <w:b/>
        </w:rPr>
      </w:pPr>
      <w:r w:rsidRPr="008125B6">
        <w:rPr>
          <w:b/>
        </w:rPr>
        <w:t>Porcentajes (2021</w:t>
      </w:r>
      <w:r w:rsidR="009E67EE">
        <w:rPr>
          <w:b/>
        </w:rPr>
        <w:t xml:space="preserve"> </w:t>
      </w:r>
      <w:r w:rsidRPr="008125B6">
        <w:rPr>
          <w:b/>
        </w:rPr>
        <w:t>/</w:t>
      </w:r>
      <w:r w:rsidR="009E67EE">
        <w:rPr>
          <w:b/>
        </w:rPr>
        <w:t xml:space="preserve"> </w:t>
      </w:r>
      <w:r w:rsidRPr="008125B6">
        <w:rPr>
          <w:b/>
        </w:rPr>
        <w:t>2020)</w:t>
      </w:r>
    </w:p>
    <w:p w:rsidR="00F34749" w:rsidRDefault="00F34749" w:rsidP="00F34749">
      <w:pPr>
        <w:jc w:val="center"/>
        <w:rPr>
          <w:lang w:val="es-US"/>
        </w:rPr>
      </w:pPr>
      <w:r>
        <w:rPr>
          <w:noProof/>
          <w:lang w:val="es-GT" w:eastAsia="es-GT"/>
        </w:rPr>
        <w:drawing>
          <wp:inline distT="0" distB="0" distL="0" distR="0" wp14:anchorId="7671C46E" wp14:editId="0589A4B5">
            <wp:extent cx="4046983" cy="4002656"/>
            <wp:effectExtent l="0" t="0" r="0" b="0"/>
            <wp:docPr id="103" name="Imagen 103" descr="Gráfic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Gráfico, Mapa&#10;&#10;Descripción generada automáticament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530"/>
                    <a:stretch/>
                  </pic:blipFill>
                  <pic:spPr bwMode="auto">
                    <a:xfrm>
                      <a:off x="0" y="0"/>
                      <a:ext cx="4121304" cy="4076163"/>
                    </a:xfrm>
                    <a:prstGeom prst="rect">
                      <a:avLst/>
                    </a:prstGeom>
                    <a:noFill/>
                    <a:ln>
                      <a:noFill/>
                    </a:ln>
                    <a:extLst>
                      <a:ext uri="{53640926-AAD7-44D8-BBD7-CCE9431645EC}">
                        <a14:shadowObscured xmlns:a14="http://schemas.microsoft.com/office/drawing/2010/main"/>
                      </a:ext>
                    </a:extLst>
                  </pic:spPr>
                </pic:pic>
              </a:graphicData>
            </a:graphic>
          </wp:inline>
        </w:drawing>
      </w:r>
    </w:p>
    <w:p w:rsidR="00F34749" w:rsidRPr="00844461" w:rsidRDefault="00C55F0D" w:rsidP="00F34749">
      <w:pPr>
        <w:ind w:left="708" w:firstLine="708"/>
        <w:jc w:val="both"/>
        <w:rPr>
          <w:sz w:val="18"/>
          <w:szCs w:val="20"/>
          <w:lang w:val="es-US"/>
        </w:rPr>
      </w:pPr>
      <w:r>
        <w:rPr>
          <w:noProof/>
          <w:sz w:val="18"/>
          <w:lang w:val="es-ES_tradnl"/>
        </w:rPr>
        <w:t>Fuente: Ministerio de Finanzas Públicas.</w:t>
      </w:r>
    </w:p>
    <w:p w:rsidR="00844461" w:rsidRPr="00844461" w:rsidRDefault="00844461" w:rsidP="00F34749">
      <w:pPr>
        <w:ind w:left="708" w:firstLine="708"/>
        <w:jc w:val="both"/>
        <w:rPr>
          <w:lang w:val="es-US"/>
        </w:rPr>
      </w:pPr>
    </w:p>
    <w:p w:rsidR="00F34749" w:rsidRPr="00F507F6" w:rsidRDefault="00F34749" w:rsidP="004C636B">
      <w:pPr>
        <w:pStyle w:val="Ttulo3"/>
        <w:numPr>
          <w:ilvl w:val="1"/>
          <w:numId w:val="6"/>
        </w:numPr>
        <w:spacing w:before="0"/>
        <w:ind w:left="709"/>
        <w:rPr>
          <w:rFonts w:ascii="Times New Roman" w:hAnsi="Times New Roman"/>
          <w:color w:val="auto"/>
        </w:rPr>
      </w:pPr>
      <w:bookmarkStart w:id="48" w:name="_Toc81388547"/>
      <w:bookmarkStart w:id="49" w:name="_Toc83713641"/>
      <w:r w:rsidRPr="00F507F6">
        <w:rPr>
          <w:rFonts w:ascii="Times New Roman" w:hAnsi="Times New Roman"/>
          <w:color w:val="auto"/>
        </w:rPr>
        <w:t>Impuesto de Circulación de Vehículos</w:t>
      </w:r>
      <w:bookmarkEnd w:id="48"/>
      <w:bookmarkEnd w:id="49"/>
    </w:p>
    <w:p w:rsidR="00F34749" w:rsidRPr="0008463E" w:rsidRDefault="00F34749" w:rsidP="00F34749">
      <w:pPr>
        <w:ind w:left="1"/>
        <w:jc w:val="both"/>
        <w:rPr>
          <w:b/>
          <w:bCs/>
        </w:rPr>
      </w:pPr>
    </w:p>
    <w:p w:rsidR="00F34749" w:rsidRDefault="00F34749" w:rsidP="00F34749">
      <w:pPr>
        <w:jc w:val="both"/>
        <w:rPr>
          <w:bCs/>
        </w:rPr>
      </w:pPr>
      <w:r w:rsidRPr="0008463E">
        <w:rPr>
          <w:bCs/>
        </w:rPr>
        <w:t xml:space="preserve">El </w:t>
      </w:r>
      <w:r w:rsidR="00844461">
        <w:rPr>
          <w:bCs/>
        </w:rPr>
        <w:t>I</w:t>
      </w:r>
      <w:r w:rsidRPr="0008463E">
        <w:rPr>
          <w:bCs/>
        </w:rPr>
        <w:t xml:space="preserve">mpuesto de </w:t>
      </w:r>
      <w:r w:rsidR="00844461">
        <w:rPr>
          <w:bCs/>
        </w:rPr>
        <w:t>C</w:t>
      </w:r>
      <w:r w:rsidRPr="0008463E">
        <w:rPr>
          <w:bCs/>
        </w:rPr>
        <w:t xml:space="preserve">irculación de </w:t>
      </w:r>
      <w:r w:rsidR="00844461">
        <w:rPr>
          <w:bCs/>
        </w:rPr>
        <w:t>V</w:t>
      </w:r>
      <w:r w:rsidRPr="0008463E">
        <w:rPr>
          <w:bCs/>
        </w:rPr>
        <w:t xml:space="preserve">ehículos </w:t>
      </w:r>
      <w:r>
        <w:rPr>
          <w:bCs/>
        </w:rPr>
        <w:t xml:space="preserve">a un mes del vencimiento anual </w:t>
      </w:r>
      <w:r w:rsidRPr="0008463E">
        <w:rPr>
          <w:bCs/>
        </w:rPr>
        <w:t>presenta un crecimiento acumulado</w:t>
      </w:r>
      <w:r>
        <w:rPr>
          <w:bCs/>
        </w:rPr>
        <w:t xml:space="preserve"> de 21.2% </w:t>
      </w:r>
      <w:r w:rsidR="00844461">
        <w:rPr>
          <w:bCs/>
        </w:rPr>
        <w:t xml:space="preserve">con </w:t>
      </w:r>
      <w:r>
        <w:rPr>
          <w:bCs/>
        </w:rPr>
        <w:t xml:space="preserve">respecto a la meta de presupuesto y de manera interanual crecen en 57.9%, este crecimiento interanual en gran medida se explica por la vigencia del Decreto </w:t>
      </w:r>
      <w:r w:rsidR="00844461">
        <w:rPr>
          <w:bCs/>
        </w:rPr>
        <w:t xml:space="preserve">No. </w:t>
      </w:r>
      <w:r>
        <w:rPr>
          <w:bCs/>
        </w:rPr>
        <w:t>24-2020 que postergó el pago de este impuesto para octubre de 202</w:t>
      </w:r>
      <w:r w:rsidR="00844461">
        <w:rPr>
          <w:bCs/>
        </w:rPr>
        <w:t>0.</w:t>
      </w:r>
    </w:p>
    <w:p w:rsidR="00F34749" w:rsidRPr="00C265C5" w:rsidRDefault="00F34749" w:rsidP="00F34749">
      <w:pPr>
        <w:jc w:val="both"/>
      </w:pPr>
    </w:p>
    <w:p w:rsidR="00F34749" w:rsidRPr="00F507F6" w:rsidRDefault="00F34749" w:rsidP="004C636B">
      <w:pPr>
        <w:pStyle w:val="Ttulo3"/>
        <w:numPr>
          <w:ilvl w:val="1"/>
          <w:numId w:val="6"/>
        </w:numPr>
        <w:spacing w:before="0"/>
        <w:ind w:left="709"/>
        <w:rPr>
          <w:rFonts w:ascii="Times New Roman" w:hAnsi="Times New Roman"/>
          <w:color w:val="auto"/>
        </w:rPr>
      </w:pPr>
      <w:bookmarkStart w:id="50" w:name="_Toc73514000"/>
      <w:bookmarkStart w:id="51" w:name="_Toc81388548"/>
      <w:bookmarkStart w:id="52" w:name="_Toc83713642"/>
      <w:r w:rsidRPr="00F507F6">
        <w:rPr>
          <w:rFonts w:ascii="Times New Roman" w:hAnsi="Times New Roman"/>
          <w:color w:val="auto"/>
        </w:rPr>
        <w:t>Los demás impuestos</w:t>
      </w:r>
      <w:bookmarkEnd w:id="50"/>
      <w:bookmarkEnd w:id="51"/>
      <w:bookmarkEnd w:id="52"/>
    </w:p>
    <w:p w:rsidR="00F34749" w:rsidRPr="00D67B50" w:rsidRDefault="00F34749" w:rsidP="00F34749">
      <w:pPr>
        <w:jc w:val="both"/>
        <w:rPr>
          <w:b/>
          <w:bCs/>
          <w:lang w:val="es-US"/>
        </w:rPr>
      </w:pPr>
    </w:p>
    <w:p w:rsidR="00F34749" w:rsidRDefault="00F34749" w:rsidP="00F34749">
      <w:pPr>
        <w:jc w:val="both"/>
        <w:rPr>
          <w:lang w:val="es-US"/>
        </w:rPr>
      </w:pPr>
      <w:r w:rsidRPr="00AD68A4">
        <w:rPr>
          <w:lang w:val="es-US"/>
        </w:rPr>
        <w:t xml:space="preserve">De los </w:t>
      </w:r>
      <w:r>
        <w:rPr>
          <w:lang w:val="es-US"/>
        </w:rPr>
        <w:t>otros</w:t>
      </w:r>
      <w:r w:rsidRPr="00AD68A4">
        <w:rPr>
          <w:lang w:val="es-US"/>
        </w:rPr>
        <w:t xml:space="preserve"> impuestos, en </w:t>
      </w:r>
      <w:r>
        <w:rPr>
          <w:lang w:val="es-US"/>
        </w:rPr>
        <w:t>el primer semestre</w:t>
      </w:r>
      <w:r w:rsidR="00844461">
        <w:rPr>
          <w:lang w:val="es-US"/>
        </w:rPr>
        <w:t xml:space="preserve"> de 2021</w:t>
      </w:r>
      <w:r>
        <w:rPr>
          <w:lang w:val="es-US"/>
        </w:rPr>
        <w:t xml:space="preserve"> </w:t>
      </w:r>
      <w:r w:rsidRPr="00AD68A4">
        <w:rPr>
          <w:lang w:val="es-US"/>
        </w:rPr>
        <w:t>destaca que el impuesto a</w:t>
      </w:r>
      <w:r>
        <w:rPr>
          <w:lang w:val="es-US"/>
        </w:rPr>
        <w:t>l</w:t>
      </w:r>
      <w:r w:rsidRPr="00AD68A4">
        <w:rPr>
          <w:lang w:val="es-US"/>
        </w:rPr>
        <w:t xml:space="preserve"> patrimonio, </w:t>
      </w:r>
      <w:r>
        <w:rPr>
          <w:lang w:val="es-US"/>
        </w:rPr>
        <w:t>el de tabacos</w:t>
      </w:r>
      <w:r w:rsidRPr="00AD68A4">
        <w:rPr>
          <w:lang w:val="es-US"/>
        </w:rPr>
        <w:t xml:space="preserve"> y los impuestos no administrados por SAT</w:t>
      </w:r>
      <w:r w:rsidR="00844461">
        <w:rPr>
          <w:lang w:val="es-US"/>
        </w:rPr>
        <w:t>,</w:t>
      </w:r>
      <w:r w:rsidRPr="00AD68A4">
        <w:rPr>
          <w:lang w:val="es-US"/>
        </w:rPr>
        <w:t xml:space="preserve"> no superaron la meta de presupuesto y</w:t>
      </w:r>
      <w:r>
        <w:rPr>
          <w:lang w:val="es-US"/>
        </w:rPr>
        <w:t xml:space="preserve"> se</w:t>
      </w:r>
      <w:r w:rsidRPr="00AD68A4">
        <w:rPr>
          <w:lang w:val="es-US"/>
        </w:rPr>
        <w:t xml:space="preserve"> dejaron de percibir Q</w:t>
      </w:r>
      <w:r w:rsidR="00844461">
        <w:rPr>
          <w:lang w:val="es-US"/>
        </w:rPr>
        <w:t>.</w:t>
      </w:r>
      <w:r>
        <w:rPr>
          <w:lang w:val="es-US"/>
        </w:rPr>
        <w:t>141</w:t>
      </w:r>
      <w:r w:rsidR="00844461">
        <w:rPr>
          <w:lang w:val="es-US"/>
        </w:rPr>
        <w:t>.0</w:t>
      </w:r>
      <w:r>
        <w:rPr>
          <w:lang w:val="es-US"/>
        </w:rPr>
        <w:t xml:space="preserve"> </w:t>
      </w:r>
      <w:r w:rsidRPr="00AD68A4">
        <w:rPr>
          <w:lang w:val="es-US"/>
        </w:rPr>
        <w:t xml:space="preserve">millones en </w:t>
      </w:r>
      <w:r>
        <w:rPr>
          <w:lang w:val="es-US"/>
        </w:rPr>
        <w:t xml:space="preserve">su </w:t>
      </w:r>
      <w:r w:rsidRPr="00AD68A4">
        <w:rPr>
          <w:lang w:val="es-US"/>
        </w:rPr>
        <w:t>conjunto.</w:t>
      </w:r>
    </w:p>
    <w:p w:rsidR="00F34749" w:rsidRDefault="00F34749" w:rsidP="00F34749">
      <w:pPr>
        <w:jc w:val="both"/>
        <w:rPr>
          <w:lang w:val="es-US"/>
        </w:rPr>
      </w:pPr>
    </w:p>
    <w:p w:rsidR="00F34749" w:rsidRDefault="00F34749" w:rsidP="00F34749">
      <w:pPr>
        <w:jc w:val="both"/>
        <w:rPr>
          <w:lang w:val="es-US"/>
        </w:rPr>
      </w:pPr>
      <w:r>
        <w:rPr>
          <w:lang w:val="es-US"/>
        </w:rPr>
        <w:t xml:space="preserve">La recaudación por actividad económica al mes de junio da cuenta de una recuperación en la actividad de Explotación de </w:t>
      </w:r>
      <w:r w:rsidR="00844461">
        <w:rPr>
          <w:lang w:val="es-US"/>
        </w:rPr>
        <w:t>M</w:t>
      </w:r>
      <w:r>
        <w:rPr>
          <w:lang w:val="es-US"/>
        </w:rPr>
        <w:t xml:space="preserve">inas y </w:t>
      </w:r>
      <w:r w:rsidR="00844461">
        <w:rPr>
          <w:lang w:val="es-US"/>
        </w:rPr>
        <w:t>C</w:t>
      </w:r>
      <w:r>
        <w:rPr>
          <w:lang w:val="es-US"/>
        </w:rPr>
        <w:t xml:space="preserve">anteras que en 2020 cayó a 24.7% y en 2021 crece en 123.3%, lo cual aún no se ve reflejado en la recaudación tributaria, otra actividad que sigue en deterioro es la de Hoteles y </w:t>
      </w:r>
      <w:r w:rsidR="00844461">
        <w:rPr>
          <w:lang w:val="es-US"/>
        </w:rPr>
        <w:t>R</w:t>
      </w:r>
      <w:r>
        <w:rPr>
          <w:lang w:val="es-US"/>
        </w:rPr>
        <w:t xml:space="preserve">estaurantes </w:t>
      </w:r>
      <w:r w:rsidR="00844461">
        <w:rPr>
          <w:lang w:val="es-US"/>
        </w:rPr>
        <w:t xml:space="preserve">que </w:t>
      </w:r>
      <w:r>
        <w:rPr>
          <w:lang w:val="es-US"/>
        </w:rPr>
        <w:t>mantiene una caída de 0.1% respecto a lo observado en 2020.</w:t>
      </w:r>
    </w:p>
    <w:p w:rsidR="00F34749" w:rsidRDefault="00F34749" w:rsidP="00F34749">
      <w:pPr>
        <w:jc w:val="both"/>
        <w:rPr>
          <w:lang w:val="es-US"/>
        </w:rPr>
      </w:pPr>
    </w:p>
    <w:p w:rsidR="00F34749" w:rsidRPr="00F507F6" w:rsidRDefault="00F34749" w:rsidP="00F34749">
      <w:pPr>
        <w:pStyle w:val="Descripcin"/>
        <w:spacing w:after="0"/>
        <w:jc w:val="center"/>
        <w:rPr>
          <w:rFonts w:ascii="Times New Roman" w:hAnsi="Times New Roman" w:cs="Times New Roman"/>
          <w:b/>
          <w:i w:val="0"/>
          <w:color w:val="auto"/>
          <w:sz w:val="24"/>
        </w:rPr>
      </w:pPr>
      <w:r>
        <w:rPr>
          <w:rFonts w:ascii="Times New Roman" w:hAnsi="Times New Roman" w:cs="Times New Roman"/>
          <w:b/>
          <w:i w:val="0"/>
          <w:color w:val="auto"/>
          <w:sz w:val="24"/>
        </w:rPr>
        <w:t>Gráfic</w:t>
      </w:r>
      <w:r w:rsidR="008125B6">
        <w:rPr>
          <w:rFonts w:ascii="Times New Roman" w:hAnsi="Times New Roman" w:cs="Times New Roman"/>
          <w:b/>
          <w:i w:val="0"/>
          <w:color w:val="auto"/>
          <w:sz w:val="24"/>
        </w:rPr>
        <w:t>a 29</w:t>
      </w:r>
      <w:r w:rsidRPr="00F507F6">
        <w:rPr>
          <w:rFonts w:ascii="Times New Roman" w:hAnsi="Times New Roman" w:cs="Times New Roman"/>
          <w:b/>
          <w:i w:val="0"/>
          <w:color w:val="auto"/>
          <w:sz w:val="24"/>
        </w:rPr>
        <w:t xml:space="preserve">.  Variación Interanual de </w:t>
      </w:r>
      <w:r w:rsidR="00844461">
        <w:rPr>
          <w:rFonts w:ascii="Times New Roman" w:hAnsi="Times New Roman" w:cs="Times New Roman"/>
          <w:b/>
          <w:i w:val="0"/>
          <w:color w:val="auto"/>
          <w:sz w:val="24"/>
        </w:rPr>
        <w:t>R</w:t>
      </w:r>
      <w:r w:rsidRPr="00F507F6">
        <w:rPr>
          <w:rFonts w:ascii="Times New Roman" w:hAnsi="Times New Roman" w:cs="Times New Roman"/>
          <w:b/>
          <w:i w:val="0"/>
          <w:color w:val="auto"/>
          <w:sz w:val="24"/>
        </w:rPr>
        <w:t xml:space="preserve">ecaudación </w:t>
      </w:r>
      <w:r w:rsidR="00844461">
        <w:rPr>
          <w:rFonts w:ascii="Times New Roman" w:hAnsi="Times New Roman" w:cs="Times New Roman"/>
          <w:b/>
          <w:i w:val="0"/>
          <w:color w:val="auto"/>
          <w:sz w:val="24"/>
        </w:rPr>
        <w:t>T</w:t>
      </w:r>
      <w:r w:rsidRPr="00F507F6">
        <w:rPr>
          <w:rFonts w:ascii="Times New Roman" w:hAnsi="Times New Roman" w:cs="Times New Roman"/>
          <w:b/>
          <w:i w:val="0"/>
          <w:color w:val="auto"/>
          <w:sz w:val="24"/>
        </w:rPr>
        <w:t xml:space="preserve">ributaria por </w:t>
      </w:r>
      <w:r w:rsidR="00844461">
        <w:rPr>
          <w:rFonts w:ascii="Times New Roman" w:hAnsi="Times New Roman" w:cs="Times New Roman"/>
          <w:b/>
          <w:i w:val="0"/>
          <w:color w:val="auto"/>
          <w:sz w:val="24"/>
        </w:rPr>
        <w:t>A</w:t>
      </w:r>
      <w:r w:rsidRPr="00F507F6">
        <w:rPr>
          <w:rFonts w:ascii="Times New Roman" w:hAnsi="Times New Roman" w:cs="Times New Roman"/>
          <w:b/>
          <w:i w:val="0"/>
          <w:color w:val="auto"/>
          <w:sz w:val="24"/>
        </w:rPr>
        <w:t xml:space="preserve">ctividad </w:t>
      </w:r>
      <w:r w:rsidR="00844461">
        <w:rPr>
          <w:rFonts w:ascii="Times New Roman" w:hAnsi="Times New Roman" w:cs="Times New Roman"/>
          <w:b/>
          <w:i w:val="0"/>
          <w:color w:val="auto"/>
          <w:sz w:val="24"/>
        </w:rPr>
        <w:t>E</w:t>
      </w:r>
      <w:r w:rsidRPr="00F507F6">
        <w:rPr>
          <w:rFonts w:ascii="Times New Roman" w:hAnsi="Times New Roman" w:cs="Times New Roman"/>
          <w:b/>
          <w:i w:val="0"/>
          <w:color w:val="auto"/>
          <w:sz w:val="24"/>
        </w:rPr>
        <w:t>conómica</w:t>
      </w:r>
    </w:p>
    <w:p w:rsidR="00F34749" w:rsidRPr="009E67EE" w:rsidRDefault="00F34749" w:rsidP="00F34749">
      <w:pPr>
        <w:jc w:val="center"/>
        <w:rPr>
          <w:b/>
        </w:rPr>
      </w:pPr>
      <w:r w:rsidRPr="009E67EE">
        <w:rPr>
          <w:b/>
        </w:rPr>
        <w:t>Porcentajes (2021</w:t>
      </w:r>
      <w:r w:rsidR="009E67EE" w:rsidRPr="009E67EE">
        <w:rPr>
          <w:b/>
        </w:rPr>
        <w:t xml:space="preserve"> </w:t>
      </w:r>
      <w:r w:rsidRPr="009E67EE">
        <w:rPr>
          <w:b/>
        </w:rPr>
        <w:t>/</w:t>
      </w:r>
      <w:r w:rsidR="009E67EE" w:rsidRPr="009E67EE">
        <w:rPr>
          <w:b/>
        </w:rPr>
        <w:t xml:space="preserve"> </w:t>
      </w:r>
      <w:r w:rsidRPr="009E67EE">
        <w:rPr>
          <w:b/>
        </w:rPr>
        <w:t>2020)</w:t>
      </w:r>
    </w:p>
    <w:p w:rsidR="00F34749" w:rsidRPr="00844461" w:rsidRDefault="00F34749" w:rsidP="00F34749">
      <w:pPr>
        <w:jc w:val="both"/>
        <w:rPr>
          <w:sz w:val="28"/>
          <w:lang w:val="es-US"/>
        </w:rPr>
      </w:pPr>
      <w:r>
        <w:rPr>
          <w:noProof/>
          <w:lang w:val="es-GT" w:eastAsia="es-GT"/>
        </w:rPr>
        <w:drawing>
          <wp:inline distT="0" distB="0" distL="0" distR="0" wp14:anchorId="0C8057A6" wp14:editId="32AF2F02">
            <wp:extent cx="5724525" cy="3914775"/>
            <wp:effectExtent l="0" t="0" r="0" b="0"/>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C55F0D" w:rsidRPr="00C55F0D">
        <w:rPr>
          <w:noProof/>
          <w:sz w:val="18"/>
          <w:lang w:val="es-ES_tradnl"/>
        </w:rPr>
        <w:t xml:space="preserve"> </w:t>
      </w:r>
      <w:r w:rsidR="00C55F0D">
        <w:rPr>
          <w:noProof/>
          <w:sz w:val="18"/>
          <w:lang w:val="es-ES_tradnl"/>
        </w:rPr>
        <w:t>Fuente: Ministerio de Finanzas Públicas.</w:t>
      </w:r>
    </w:p>
    <w:p w:rsidR="00F34749" w:rsidRPr="00844461" w:rsidRDefault="00F34749" w:rsidP="00F34749">
      <w:pPr>
        <w:pStyle w:val="Prrafodelista"/>
        <w:autoSpaceDE w:val="0"/>
        <w:autoSpaceDN w:val="0"/>
        <w:adjustRightInd w:val="0"/>
        <w:ind w:left="720"/>
        <w:rPr>
          <w:b/>
          <w:bCs/>
          <w:sz w:val="28"/>
        </w:rPr>
      </w:pPr>
    </w:p>
    <w:p w:rsidR="00F34749" w:rsidRPr="001227FE" w:rsidRDefault="00F34749" w:rsidP="004C636B">
      <w:pPr>
        <w:pStyle w:val="Ttulo3"/>
        <w:numPr>
          <w:ilvl w:val="0"/>
          <w:numId w:val="9"/>
        </w:numPr>
        <w:ind w:left="426"/>
        <w:rPr>
          <w:rFonts w:ascii="Times New Roman" w:hAnsi="Times New Roman"/>
          <w:color w:val="auto"/>
        </w:rPr>
      </w:pPr>
      <w:bookmarkStart w:id="53" w:name="_Toc81388549"/>
      <w:bookmarkStart w:id="54" w:name="_Toc83713643"/>
      <w:r w:rsidRPr="001227FE">
        <w:rPr>
          <w:rFonts w:ascii="Times New Roman" w:hAnsi="Times New Roman"/>
          <w:color w:val="auto"/>
        </w:rPr>
        <w:lastRenderedPageBreak/>
        <w:t>Perspectivas de Cierre 2021</w:t>
      </w:r>
      <w:bookmarkEnd w:id="53"/>
      <w:bookmarkEnd w:id="54"/>
    </w:p>
    <w:p w:rsidR="00F34749" w:rsidRPr="00A52A89" w:rsidRDefault="00F34749" w:rsidP="00F34749">
      <w:pPr>
        <w:jc w:val="both"/>
        <w:rPr>
          <w:sz w:val="18"/>
        </w:rPr>
      </w:pPr>
    </w:p>
    <w:p w:rsidR="00F34749" w:rsidRPr="00A52A89" w:rsidRDefault="00F34749" w:rsidP="00F34749">
      <w:pPr>
        <w:jc w:val="both"/>
      </w:pPr>
      <w:r w:rsidRPr="00A52A89">
        <w:t xml:space="preserve">Tomando en consideración los escenarios macroeconómicos actualizados para 2021, así como la estimación de recaudación tributaria revisada conjuntamente con la Superintendencia de Administración Tributaria </w:t>
      </w:r>
      <w:r w:rsidR="004F61D4">
        <w:t>(</w:t>
      </w:r>
      <w:r w:rsidRPr="00A52A89">
        <w:t>SAT</w:t>
      </w:r>
      <w:r w:rsidR="004F61D4">
        <w:t>),</w:t>
      </w:r>
      <w:r w:rsidRPr="00A52A89">
        <w:t xml:space="preserve"> y considerando los esfuerzos realizados por </w:t>
      </w:r>
      <w:r>
        <w:t>esta entidad</w:t>
      </w:r>
      <w:r w:rsidRPr="00A52A89">
        <w:t xml:space="preserve"> en pro de la recaudación tributaria</w:t>
      </w:r>
      <w:r>
        <w:t>,</w:t>
      </w:r>
      <w:r w:rsidRPr="00A52A89">
        <w:t xml:space="preserve"> los cuales están enfocados en aumentar la percepción de riesgo de los contribuyentes</w:t>
      </w:r>
      <w:r>
        <w:t>,</w:t>
      </w:r>
      <w:r w:rsidRPr="00A52A89">
        <w:t xml:space="preserve"> permiten establecer una estimación de cierre viable en torno a Q</w:t>
      </w:r>
      <w:r w:rsidR="009A7B85">
        <w:t>.</w:t>
      </w:r>
      <w:r w:rsidRPr="00A52A89">
        <w:t>70,768.4 millones para el ejercicio fiscal 2021, lo cual representa una brecha positiva de Q</w:t>
      </w:r>
      <w:r w:rsidR="009A7B85">
        <w:t>.</w:t>
      </w:r>
      <w:r w:rsidRPr="00A52A89">
        <w:t>6</w:t>
      </w:r>
      <w:r>
        <w:t>,</w:t>
      </w:r>
      <w:r w:rsidRPr="00A52A89">
        <w:t xml:space="preserve">740.9 millones </w:t>
      </w:r>
      <w:r w:rsidR="009A7B85">
        <w:t xml:space="preserve">con </w:t>
      </w:r>
      <w:r w:rsidRPr="00A52A89">
        <w:t xml:space="preserve">respecto a la meta de presupuesto, siendo el </w:t>
      </w:r>
      <w:r w:rsidR="009A7B85">
        <w:t>I</w:t>
      </w:r>
      <w:r w:rsidRPr="00A52A89">
        <w:t xml:space="preserve">mpuesto </w:t>
      </w:r>
      <w:r w:rsidR="009A7B85">
        <w:t>S</w:t>
      </w:r>
      <w:r w:rsidRPr="00A52A89">
        <w:t xml:space="preserve">obre la </w:t>
      </w:r>
      <w:r w:rsidR="009A7B85">
        <w:t>R</w:t>
      </w:r>
      <w:r w:rsidRPr="00A52A89">
        <w:t>enta el que más aporta a esta brecha (Q</w:t>
      </w:r>
      <w:r w:rsidR="009A7B85">
        <w:t>.</w:t>
      </w:r>
      <w:r w:rsidRPr="00A52A89">
        <w:t>2,802.2 millones)</w:t>
      </w:r>
      <w:r>
        <w:t>,</w:t>
      </w:r>
      <w:r w:rsidRPr="00A52A89">
        <w:t xml:space="preserve"> un grado de ejecución del presupuesto vigente de 110.5% y con relación a la ejecución observada en 2020 se</w:t>
      </w:r>
      <w:r w:rsidR="009A7B85">
        <w:t xml:space="preserve"> tiene un crecimiento de 17.4%.</w:t>
      </w:r>
    </w:p>
    <w:p w:rsidR="004F61D4" w:rsidRPr="00C265C5" w:rsidRDefault="004F61D4" w:rsidP="00F34749">
      <w:pPr>
        <w:jc w:val="both"/>
      </w:pPr>
    </w:p>
    <w:p w:rsidR="00F34749" w:rsidRPr="00E13749" w:rsidRDefault="00F34749" w:rsidP="00F34749">
      <w:pPr>
        <w:jc w:val="center"/>
        <w:rPr>
          <w:rFonts w:eastAsiaTheme="minorHAnsi"/>
          <w:b/>
          <w:i/>
          <w:iCs/>
          <w:szCs w:val="18"/>
          <w:lang w:val="es-GT" w:eastAsia="en-US"/>
        </w:rPr>
      </w:pPr>
      <w:r>
        <w:rPr>
          <w:rFonts w:eastAsiaTheme="minorHAnsi"/>
          <w:b/>
          <w:szCs w:val="18"/>
          <w:lang w:val="es-GT" w:eastAsia="en-US"/>
        </w:rPr>
        <w:t>Gráfic</w:t>
      </w:r>
      <w:r w:rsidR="003A1CAD">
        <w:rPr>
          <w:rFonts w:eastAsiaTheme="minorHAnsi"/>
          <w:b/>
          <w:szCs w:val="18"/>
          <w:lang w:val="es-GT" w:eastAsia="en-US"/>
        </w:rPr>
        <w:t>a 30</w:t>
      </w:r>
      <w:r>
        <w:rPr>
          <w:rFonts w:eastAsiaTheme="minorHAnsi"/>
          <w:b/>
          <w:szCs w:val="18"/>
          <w:lang w:val="es-GT" w:eastAsia="en-US"/>
        </w:rPr>
        <w:t xml:space="preserve">.  Recaudación </w:t>
      </w:r>
      <w:r w:rsidR="004A1C38">
        <w:rPr>
          <w:rFonts w:eastAsiaTheme="minorHAnsi"/>
          <w:b/>
          <w:szCs w:val="18"/>
          <w:lang w:val="es-GT" w:eastAsia="en-US"/>
        </w:rPr>
        <w:t>E</w:t>
      </w:r>
      <w:r>
        <w:rPr>
          <w:rFonts w:eastAsiaTheme="minorHAnsi"/>
          <w:b/>
          <w:szCs w:val="18"/>
          <w:lang w:val="es-GT" w:eastAsia="en-US"/>
        </w:rPr>
        <w:t>sperada para el segundo semestre de 2021</w:t>
      </w:r>
    </w:p>
    <w:p w:rsidR="00F34749" w:rsidRPr="009E67EE" w:rsidRDefault="00F34749" w:rsidP="00F34749">
      <w:pPr>
        <w:jc w:val="center"/>
        <w:rPr>
          <w:b/>
        </w:rPr>
      </w:pPr>
      <w:r w:rsidRPr="009E67EE">
        <w:rPr>
          <w:b/>
        </w:rPr>
        <w:t xml:space="preserve">Millones de </w:t>
      </w:r>
      <w:r w:rsidR="009E67EE" w:rsidRPr="009E67EE">
        <w:rPr>
          <w:b/>
        </w:rPr>
        <w:t>Q</w:t>
      </w:r>
      <w:r w:rsidRPr="009E67EE">
        <w:rPr>
          <w:b/>
        </w:rPr>
        <w:t>uetzales</w:t>
      </w:r>
    </w:p>
    <w:p w:rsidR="00F34749" w:rsidRPr="00A52A89" w:rsidRDefault="00F34749" w:rsidP="00F34749">
      <w:pPr>
        <w:jc w:val="center"/>
      </w:pPr>
      <w:r>
        <w:rPr>
          <w:noProof/>
          <w:lang w:val="es-GT" w:eastAsia="es-GT"/>
        </w:rPr>
        <w:drawing>
          <wp:inline distT="0" distB="0" distL="0" distR="0" wp14:anchorId="05AB1FF2" wp14:editId="10F52D95">
            <wp:extent cx="5382260" cy="2631057"/>
            <wp:effectExtent l="0" t="0" r="889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34749" w:rsidRPr="009A7B85" w:rsidRDefault="00C55F0D" w:rsidP="00F34749">
      <w:pPr>
        <w:ind w:firstLine="708"/>
        <w:rPr>
          <w:bCs/>
          <w:sz w:val="18"/>
        </w:rPr>
      </w:pPr>
      <w:r>
        <w:rPr>
          <w:noProof/>
          <w:sz w:val="18"/>
          <w:lang w:val="es-ES_tradnl"/>
        </w:rPr>
        <w:t>Fuente: Ministerio de Finanzas Públicas.</w:t>
      </w:r>
    </w:p>
    <w:p w:rsidR="00F34749" w:rsidRDefault="00F34749" w:rsidP="00F34749">
      <w:pPr>
        <w:rPr>
          <w:bCs/>
        </w:rPr>
      </w:pPr>
    </w:p>
    <w:p w:rsidR="00F34749" w:rsidRPr="00A52A89" w:rsidRDefault="00F34749" w:rsidP="00F34749">
      <w:pPr>
        <w:jc w:val="both"/>
        <w:rPr>
          <w:lang w:val="es-US"/>
        </w:rPr>
      </w:pPr>
      <w:r w:rsidRPr="00A52A89">
        <w:rPr>
          <w:lang w:val="es-US"/>
        </w:rPr>
        <w:t>Con los resultados anteriormente expuestos se prevé que la carga tributaria para 2021 se ubiqu</w:t>
      </w:r>
      <w:r w:rsidR="009A7B85">
        <w:rPr>
          <w:lang w:val="es-US"/>
        </w:rPr>
        <w:t>e</w:t>
      </w:r>
      <w:r w:rsidRPr="00A52A89">
        <w:rPr>
          <w:lang w:val="es-US"/>
        </w:rPr>
        <w:t xml:space="preserve"> en 1</w:t>
      </w:r>
      <w:r>
        <w:rPr>
          <w:lang w:val="es-US"/>
        </w:rPr>
        <w:t>1.0</w:t>
      </w:r>
      <w:r w:rsidRPr="00A52A89">
        <w:rPr>
          <w:lang w:val="es-US"/>
        </w:rPr>
        <w:t>%, monto mayor al observado en 2020 (10.</w:t>
      </w:r>
      <w:r>
        <w:rPr>
          <w:lang w:val="es-US"/>
        </w:rPr>
        <w:t>1</w:t>
      </w:r>
      <w:r w:rsidRPr="00A52A89">
        <w:rPr>
          <w:lang w:val="es-US"/>
        </w:rPr>
        <w:t xml:space="preserve">%). Este nivel de carga tributaria deriva </w:t>
      </w:r>
      <w:r w:rsidR="009A7B85">
        <w:rPr>
          <w:lang w:val="es-US"/>
        </w:rPr>
        <w:t>de</w:t>
      </w:r>
      <w:r w:rsidRPr="00A52A89">
        <w:rPr>
          <w:lang w:val="es-US"/>
        </w:rPr>
        <w:t xml:space="preserve"> la apertura de la economía de manera gradual y a los esfuerzos del ente recaudador para recobrar la senda positiva en la recaudación tributaria, incrementando la percepción de riesgo y mejorando por ende el cumplimiento voluntario. Aspectos relevantes que ha logrado fortalecer el ente recaudador son la ampliación de la base tributaria mediante la revisión y actualización del registro tributario unificado para impuestos como el Impuesto sobre la </w:t>
      </w:r>
      <w:r w:rsidR="009A7B85">
        <w:rPr>
          <w:lang w:val="es-US"/>
        </w:rPr>
        <w:t>R</w:t>
      </w:r>
      <w:r w:rsidRPr="00A52A89">
        <w:rPr>
          <w:lang w:val="es-US"/>
        </w:rPr>
        <w:t xml:space="preserve">enta y el Impuesto al </w:t>
      </w:r>
      <w:r w:rsidR="009A7B85">
        <w:rPr>
          <w:lang w:val="es-US"/>
        </w:rPr>
        <w:t>V</w:t>
      </w:r>
      <w:r w:rsidRPr="00A52A89">
        <w:rPr>
          <w:lang w:val="es-US"/>
        </w:rPr>
        <w:t xml:space="preserve">alor </w:t>
      </w:r>
      <w:r w:rsidR="009A7B85">
        <w:rPr>
          <w:lang w:val="es-US"/>
        </w:rPr>
        <w:t>A</w:t>
      </w:r>
      <w:r w:rsidRPr="00A52A89">
        <w:rPr>
          <w:lang w:val="es-US"/>
        </w:rPr>
        <w:t>gregado, la puesta en marcha de puestos interinstitucionales de control, la mejora en los tiempos de despacho y gestión de aduanas, una mayor simplificación y automatización en la transmisión de declaraciones y controles aduaneros y mejoras en los sistemas de pago, a mejoras en la valoración de mercancías en las aduanas, una mayor eficiencia en los principales puertos del país, una mejora en los planes internos de la SAT mediante la implementación de planes de fiscalización.</w:t>
      </w:r>
    </w:p>
    <w:p w:rsidR="00F34749" w:rsidRDefault="00F34749" w:rsidP="00F34749">
      <w:pPr>
        <w:rPr>
          <w:bCs/>
          <w:lang w:val="es-US"/>
        </w:rPr>
      </w:pPr>
    </w:p>
    <w:p w:rsidR="009A7B85" w:rsidRDefault="009A7B85" w:rsidP="00F34749">
      <w:pPr>
        <w:rPr>
          <w:bCs/>
          <w:lang w:val="es-US"/>
        </w:rPr>
      </w:pPr>
    </w:p>
    <w:p w:rsidR="00F34749" w:rsidRDefault="00F34749" w:rsidP="00F34749">
      <w:pPr>
        <w:rPr>
          <w:bCs/>
          <w:lang w:val="es-US"/>
        </w:rPr>
      </w:pPr>
    </w:p>
    <w:p w:rsidR="009B000B" w:rsidRDefault="009B000B" w:rsidP="00F34749">
      <w:pPr>
        <w:rPr>
          <w:bCs/>
          <w:lang w:val="es-US"/>
        </w:rPr>
      </w:pPr>
    </w:p>
    <w:p w:rsidR="00F34749" w:rsidRPr="00E13749" w:rsidRDefault="00F34749" w:rsidP="00F34749">
      <w:pPr>
        <w:jc w:val="center"/>
        <w:rPr>
          <w:rFonts w:eastAsiaTheme="minorHAnsi"/>
          <w:b/>
          <w:i/>
          <w:iCs/>
          <w:szCs w:val="18"/>
          <w:lang w:val="es-GT" w:eastAsia="en-US"/>
        </w:rPr>
      </w:pPr>
      <w:r>
        <w:rPr>
          <w:rFonts w:eastAsiaTheme="minorHAnsi"/>
          <w:b/>
          <w:szCs w:val="18"/>
          <w:lang w:val="es-GT" w:eastAsia="en-US"/>
        </w:rPr>
        <w:t>Gráfic</w:t>
      </w:r>
      <w:r w:rsidR="003A1CAD">
        <w:rPr>
          <w:rFonts w:eastAsiaTheme="minorHAnsi"/>
          <w:b/>
          <w:szCs w:val="18"/>
          <w:lang w:val="es-GT" w:eastAsia="en-US"/>
        </w:rPr>
        <w:t>a 31</w:t>
      </w:r>
      <w:r>
        <w:rPr>
          <w:rFonts w:eastAsiaTheme="minorHAnsi"/>
          <w:b/>
          <w:szCs w:val="18"/>
          <w:lang w:val="es-GT" w:eastAsia="en-US"/>
        </w:rPr>
        <w:t xml:space="preserve">.  Evolución de la </w:t>
      </w:r>
      <w:r w:rsidR="009A7B85">
        <w:rPr>
          <w:rFonts w:eastAsiaTheme="minorHAnsi"/>
          <w:b/>
          <w:szCs w:val="18"/>
          <w:lang w:val="es-GT" w:eastAsia="en-US"/>
        </w:rPr>
        <w:t>C</w:t>
      </w:r>
      <w:r>
        <w:rPr>
          <w:rFonts w:eastAsiaTheme="minorHAnsi"/>
          <w:b/>
          <w:szCs w:val="18"/>
          <w:lang w:val="es-GT" w:eastAsia="en-US"/>
        </w:rPr>
        <w:t xml:space="preserve">arga </w:t>
      </w:r>
      <w:r w:rsidR="009A7B85">
        <w:rPr>
          <w:rFonts w:eastAsiaTheme="minorHAnsi"/>
          <w:b/>
          <w:szCs w:val="18"/>
          <w:lang w:val="es-GT" w:eastAsia="en-US"/>
        </w:rPr>
        <w:t>T</w:t>
      </w:r>
      <w:r>
        <w:rPr>
          <w:rFonts w:eastAsiaTheme="minorHAnsi"/>
          <w:b/>
          <w:szCs w:val="18"/>
          <w:lang w:val="es-GT" w:eastAsia="en-US"/>
        </w:rPr>
        <w:t>ributaria</w:t>
      </w:r>
    </w:p>
    <w:p w:rsidR="00F34749" w:rsidRPr="003A1CAD" w:rsidRDefault="003A1CAD" w:rsidP="00F34749">
      <w:pPr>
        <w:jc w:val="center"/>
        <w:rPr>
          <w:b/>
        </w:rPr>
      </w:pPr>
      <w:r w:rsidRPr="003A1CAD">
        <w:rPr>
          <w:b/>
        </w:rPr>
        <w:t xml:space="preserve">(En </w:t>
      </w:r>
      <w:r w:rsidR="00F34749" w:rsidRPr="003A1CAD">
        <w:rPr>
          <w:b/>
        </w:rPr>
        <w:t>Porcentajes</w:t>
      </w:r>
      <w:r w:rsidRPr="003A1CAD">
        <w:rPr>
          <w:b/>
        </w:rPr>
        <w:t>)</w:t>
      </w:r>
    </w:p>
    <w:p w:rsidR="00F34749" w:rsidRPr="00A52A89" w:rsidRDefault="00F34749" w:rsidP="00F34749">
      <w:pPr>
        <w:jc w:val="center"/>
      </w:pPr>
      <w:r w:rsidRPr="00A52A89">
        <w:rPr>
          <w:noProof/>
          <w:lang w:val="es-GT" w:eastAsia="es-GT"/>
        </w:rPr>
        <w:drawing>
          <wp:inline distT="0" distB="0" distL="0" distR="0" wp14:anchorId="28E2561E" wp14:editId="0E0E7E17">
            <wp:extent cx="5372100" cy="2181225"/>
            <wp:effectExtent l="0" t="0" r="0" b="0"/>
            <wp:docPr id="28"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34749" w:rsidRPr="009A7B85" w:rsidRDefault="000134B5" w:rsidP="00F34749">
      <w:pPr>
        <w:ind w:firstLine="708"/>
        <w:rPr>
          <w:bCs/>
          <w:sz w:val="18"/>
        </w:rPr>
      </w:pPr>
      <w:r>
        <w:rPr>
          <w:noProof/>
          <w:sz w:val="18"/>
          <w:lang w:val="es-ES_tradnl"/>
        </w:rPr>
        <w:t>Fuente: Ministerio de Finanzas Públicas.</w:t>
      </w:r>
    </w:p>
    <w:p w:rsidR="00F34749" w:rsidRDefault="00F34749" w:rsidP="00F34749">
      <w:pPr>
        <w:rPr>
          <w:bCs/>
        </w:rPr>
      </w:pPr>
    </w:p>
    <w:p w:rsidR="009B000B" w:rsidRDefault="009B000B" w:rsidP="00F34749">
      <w:pPr>
        <w:rPr>
          <w:bCs/>
        </w:rPr>
      </w:pPr>
    </w:p>
    <w:p w:rsidR="00344EB7" w:rsidRDefault="00344EB7" w:rsidP="00F34749">
      <w:pPr>
        <w:rPr>
          <w:bCs/>
        </w:rPr>
      </w:pPr>
    </w:p>
    <w:p w:rsidR="00693D37" w:rsidRDefault="00693D37" w:rsidP="00693D37">
      <w:pPr>
        <w:autoSpaceDE w:val="0"/>
        <w:autoSpaceDN w:val="0"/>
        <w:adjustRightInd w:val="0"/>
        <w:jc w:val="center"/>
        <w:rPr>
          <w:lang w:eastAsia="en-US"/>
        </w:rPr>
      </w:pPr>
      <w:r w:rsidRPr="00446DA9">
        <w:rPr>
          <w:b/>
          <w:szCs w:val="20"/>
          <w:lang w:val="es-MX"/>
        </w:rPr>
        <w:t xml:space="preserve">Cuadro </w:t>
      </w:r>
      <w:r>
        <w:rPr>
          <w:b/>
          <w:szCs w:val="20"/>
          <w:lang w:val="es-MX"/>
        </w:rPr>
        <w:t>20</w:t>
      </w:r>
    </w:p>
    <w:p w:rsidR="00693D37" w:rsidRDefault="00693D37" w:rsidP="00693D37">
      <w:pPr>
        <w:pStyle w:val="Descripcin"/>
        <w:keepNext/>
        <w:spacing w:after="0"/>
        <w:jc w:val="center"/>
        <w:rPr>
          <w:rFonts w:ascii="Times New Roman" w:hAnsi="Times New Roman" w:cs="Times New Roman"/>
          <w:b/>
          <w:bCs/>
          <w:i w:val="0"/>
          <w:iCs w:val="0"/>
          <w:color w:val="auto"/>
          <w:sz w:val="24"/>
          <w:szCs w:val="24"/>
        </w:rPr>
      </w:pPr>
      <w:r w:rsidRPr="00D4372B">
        <w:rPr>
          <w:rFonts w:ascii="Times New Roman" w:hAnsi="Times New Roman" w:cs="Times New Roman"/>
          <w:b/>
          <w:bCs/>
          <w:i w:val="0"/>
          <w:iCs w:val="0"/>
          <w:color w:val="auto"/>
          <w:sz w:val="24"/>
          <w:szCs w:val="24"/>
        </w:rPr>
        <w:t>P</w:t>
      </w:r>
      <w:r w:rsidR="003A495E">
        <w:rPr>
          <w:rFonts w:ascii="Times New Roman" w:hAnsi="Times New Roman" w:cs="Times New Roman"/>
          <w:b/>
          <w:bCs/>
          <w:i w:val="0"/>
          <w:iCs w:val="0"/>
          <w:color w:val="auto"/>
          <w:sz w:val="24"/>
          <w:szCs w:val="24"/>
        </w:rPr>
        <w:t>resupuesto Asignado y Estimación de Ingresos Totales</w:t>
      </w:r>
    </w:p>
    <w:p w:rsidR="003A495E" w:rsidRPr="003A495E" w:rsidRDefault="003A495E" w:rsidP="003A495E">
      <w:pPr>
        <w:jc w:val="center"/>
        <w:rPr>
          <w:b/>
          <w:lang w:val="es-GT" w:eastAsia="en-US"/>
        </w:rPr>
      </w:pPr>
      <w:r w:rsidRPr="003A495E">
        <w:rPr>
          <w:b/>
          <w:lang w:val="es-GT" w:eastAsia="en-US"/>
        </w:rPr>
        <w:t>Ejercicio Fiscal 2021</w:t>
      </w:r>
    </w:p>
    <w:p w:rsidR="00693D37" w:rsidRPr="00A249D5" w:rsidRDefault="00693D37" w:rsidP="00693D37">
      <w:pPr>
        <w:pStyle w:val="Descripcin"/>
        <w:keepNext/>
        <w:spacing w:after="0"/>
        <w:jc w:val="center"/>
        <w:rPr>
          <w:rFonts w:ascii="Times New Roman" w:hAnsi="Times New Roman" w:cs="Times New Roman"/>
          <w:b/>
          <w:bCs/>
          <w:i w:val="0"/>
          <w:iCs w:val="0"/>
          <w:color w:val="auto"/>
          <w:sz w:val="22"/>
        </w:rPr>
      </w:pPr>
      <w:r w:rsidRPr="00A249D5">
        <w:rPr>
          <w:rFonts w:ascii="Times New Roman" w:hAnsi="Times New Roman" w:cs="Times New Roman"/>
          <w:b/>
          <w:bCs/>
          <w:i w:val="0"/>
          <w:iCs w:val="0"/>
          <w:color w:val="auto"/>
          <w:sz w:val="22"/>
        </w:rPr>
        <w:t xml:space="preserve">(En </w:t>
      </w:r>
      <w:r w:rsidR="003A495E">
        <w:rPr>
          <w:rFonts w:ascii="Times New Roman" w:hAnsi="Times New Roman" w:cs="Times New Roman"/>
          <w:b/>
          <w:bCs/>
          <w:i w:val="0"/>
          <w:iCs w:val="0"/>
          <w:color w:val="auto"/>
          <w:sz w:val="22"/>
        </w:rPr>
        <w:t>Millones de Quetzales</w:t>
      </w:r>
      <w:r w:rsidRPr="00A249D5">
        <w:rPr>
          <w:rFonts w:ascii="Times New Roman" w:hAnsi="Times New Roman" w:cs="Times New Roman"/>
          <w:b/>
          <w:bCs/>
          <w:i w:val="0"/>
          <w:iCs w:val="0"/>
          <w:color w:val="auto"/>
          <w:sz w:val="22"/>
        </w:rPr>
        <w:t>)</w:t>
      </w:r>
    </w:p>
    <w:tbl>
      <w:tblPr>
        <w:tblW w:w="9087" w:type="dxa"/>
        <w:tblInd w:w="55" w:type="dxa"/>
        <w:tblCellMar>
          <w:left w:w="70" w:type="dxa"/>
          <w:right w:w="70" w:type="dxa"/>
        </w:tblCellMar>
        <w:tblLook w:val="04A0" w:firstRow="1" w:lastRow="0" w:firstColumn="1" w:lastColumn="0" w:noHBand="0" w:noVBand="1"/>
      </w:tblPr>
      <w:tblGrid>
        <w:gridCol w:w="4220"/>
        <w:gridCol w:w="2316"/>
        <w:gridCol w:w="2551"/>
      </w:tblGrid>
      <w:tr w:rsidR="00393182" w:rsidRPr="00393182" w:rsidTr="00A97701">
        <w:trPr>
          <w:trHeight w:val="330"/>
        </w:trPr>
        <w:tc>
          <w:tcPr>
            <w:tcW w:w="4220" w:type="dxa"/>
            <w:tcBorders>
              <w:top w:val="single" w:sz="8" w:space="0" w:color="auto"/>
              <w:left w:val="single" w:sz="8" w:space="0" w:color="auto"/>
              <w:bottom w:val="single" w:sz="8" w:space="0" w:color="auto"/>
              <w:right w:val="single" w:sz="8" w:space="0" w:color="auto"/>
            </w:tcBorders>
            <w:shd w:val="clear" w:color="000000" w:fill="366092"/>
            <w:noWrap/>
            <w:vAlign w:val="center"/>
            <w:hideMark/>
          </w:tcPr>
          <w:p w:rsidR="00393182" w:rsidRPr="00393182" w:rsidRDefault="00393182" w:rsidP="00393182">
            <w:pPr>
              <w:jc w:val="center"/>
              <w:rPr>
                <w:b/>
                <w:bCs/>
                <w:color w:val="FFFFFF"/>
                <w:lang w:val="es-GT" w:eastAsia="es-GT"/>
              </w:rPr>
            </w:pPr>
            <w:r w:rsidRPr="00393182">
              <w:rPr>
                <w:b/>
                <w:bCs/>
                <w:color w:val="FFFFFF"/>
                <w:lang w:val="es-GT" w:eastAsia="es-GT"/>
              </w:rPr>
              <w:t>Concepto</w:t>
            </w:r>
          </w:p>
        </w:tc>
        <w:tc>
          <w:tcPr>
            <w:tcW w:w="2316" w:type="dxa"/>
            <w:tcBorders>
              <w:top w:val="single" w:sz="8" w:space="0" w:color="auto"/>
              <w:left w:val="nil"/>
              <w:bottom w:val="single" w:sz="8" w:space="0" w:color="auto"/>
              <w:right w:val="single" w:sz="8" w:space="0" w:color="auto"/>
            </w:tcBorders>
            <w:shd w:val="clear" w:color="000000" w:fill="366092"/>
            <w:noWrap/>
            <w:vAlign w:val="center"/>
            <w:hideMark/>
          </w:tcPr>
          <w:p w:rsidR="00393182" w:rsidRPr="00393182" w:rsidRDefault="00393182" w:rsidP="00393182">
            <w:pPr>
              <w:jc w:val="center"/>
              <w:rPr>
                <w:b/>
                <w:bCs/>
                <w:color w:val="FFFFFF"/>
                <w:lang w:val="es-GT" w:eastAsia="es-GT"/>
              </w:rPr>
            </w:pPr>
            <w:r w:rsidRPr="00393182">
              <w:rPr>
                <w:b/>
                <w:bCs/>
                <w:color w:val="FFFFFF"/>
                <w:lang w:val="es-GT" w:eastAsia="es-GT"/>
              </w:rPr>
              <w:t>Presupuesto</w:t>
            </w:r>
          </w:p>
        </w:tc>
        <w:tc>
          <w:tcPr>
            <w:tcW w:w="2551" w:type="dxa"/>
            <w:tcBorders>
              <w:top w:val="single" w:sz="8" w:space="0" w:color="auto"/>
              <w:left w:val="nil"/>
              <w:bottom w:val="single" w:sz="8" w:space="0" w:color="auto"/>
              <w:right w:val="single" w:sz="8" w:space="0" w:color="auto"/>
            </w:tcBorders>
            <w:shd w:val="clear" w:color="000000" w:fill="366092"/>
            <w:noWrap/>
            <w:vAlign w:val="center"/>
            <w:hideMark/>
          </w:tcPr>
          <w:p w:rsidR="00393182" w:rsidRPr="00393182" w:rsidRDefault="00393182" w:rsidP="00393182">
            <w:pPr>
              <w:jc w:val="center"/>
              <w:rPr>
                <w:b/>
                <w:bCs/>
                <w:color w:val="FFFFFF"/>
                <w:lang w:val="es-GT" w:eastAsia="es-GT"/>
              </w:rPr>
            </w:pPr>
            <w:r w:rsidRPr="00393182">
              <w:rPr>
                <w:b/>
                <w:bCs/>
                <w:color w:val="FFFFFF"/>
                <w:lang w:val="es-GT" w:eastAsia="es-GT"/>
              </w:rPr>
              <w:t>Estimación</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jc w:val="center"/>
              <w:rPr>
                <w:b/>
                <w:bCs/>
                <w:sz w:val="22"/>
                <w:lang w:val="es-GT" w:eastAsia="es-GT"/>
              </w:rPr>
            </w:pPr>
            <w:r w:rsidRPr="00F96D85">
              <w:rPr>
                <w:b/>
                <w:bCs/>
                <w:sz w:val="22"/>
                <w:lang w:val="es-GT" w:eastAsia="es-GT"/>
              </w:rPr>
              <w:t>Total</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b/>
                <w:bCs/>
                <w:sz w:val="22"/>
                <w:lang w:val="es-GT" w:eastAsia="es-GT"/>
              </w:rPr>
            </w:pPr>
            <w:r w:rsidRPr="00F96D85">
              <w:rPr>
                <w:b/>
                <w:bCs/>
                <w:sz w:val="22"/>
                <w:lang w:val="es-GT" w:eastAsia="es-GT"/>
              </w:rPr>
              <w:t>107,521.5</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b/>
                <w:bCs/>
                <w:sz w:val="22"/>
                <w:lang w:val="es-GT" w:eastAsia="es-GT"/>
              </w:rPr>
            </w:pPr>
            <w:r w:rsidRPr="00F96D85">
              <w:rPr>
                <w:b/>
                <w:bCs/>
                <w:sz w:val="22"/>
                <w:lang w:val="es-GT" w:eastAsia="es-GT"/>
              </w:rPr>
              <w:t>92,433.5</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Ingresos Tributarios</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64,027.7</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70,768.4</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Ingresos No Tributarios</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4,516.3</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3,933.0</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Ingresos de Capital</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3.4</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18.2</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Desembolsos de Préstamos</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5,558.7</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579.8</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Negociación de Bonos*</w:t>
            </w:r>
          </w:p>
        </w:tc>
        <w:tc>
          <w:tcPr>
            <w:tcW w:w="2316"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30,047.9</w:t>
            </w:r>
          </w:p>
        </w:tc>
        <w:tc>
          <w:tcPr>
            <w:tcW w:w="2551" w:type="dxa"/>
            <w:tcBorders>
              <w:top w:val="nil"/>
              <w:left w:val="nil"/>
              <w:bottom w:val="nil"/>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19,080.5</w:t>
            </w:r>
          </w:p>
        </w:tc>
      </w:tr>
      <w:tr w:rsidR="00393182" w:rsidRPr="00393182" w:rsidTr="00A97701">
        <w:trPr>
          <w:trHeight w:val="315"/>
        </w:trPr>
        <w:tc>
          <w:tcPr>
            <w:tcW w:w="4220"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Prima de Colocación de Bonos</w:t>
            </w:r>
          </w:p>
        </w:tc>
        <w:tc>
          <w:tcPr>
            <w:tcW w:w="2316" w:type="dxa"/>
            <w:tcBorders>
              <w:top w:val="nil"/>
              <w:left w:val="nil"/>
              <w:bottom w:val="nil"/>
              <w:right w:val="single" w:sz="8" w:space="0" w:color="auto"/>
            </w:tcBorders>
            <w:shd w:val="clear" w:color="auto" w:fill="auto"/>
            <w:noWrap/>
            <w:hideMark/>
          </w:tcPr>
          <w:p w:rsidR="00393182" w:rsidRPr="00F96D85" w:rsidRDefault="00393182" w:rsidP="00393182">
            <w:pPr>
              <w:jc w:val="right"/>
              <w:rPr>
                <w:sz w:val="22"/>
                <w:lang w:val="es-GT" w:eastAsia="es-GT"/>
              </w:rPr>
            </w:pPr>
            <w:r w:rsidRPr="00F96D85">
              <w:rPr>
                <w:sz w:val="22"/>
                <w:lang w:val="es-GT" w:eastAsia="es-GT"/>
              </w:rPr>
              <w:t>0.0</w:t>
            </w:r>
          </w:p>
        </w:tc>
        <w:tc>
          <w:tcPr>
            <w:tcW w:w="2551" w:type="dxa"/>
            <w:tcBorders>
              <w:top w:val="nil"/>
              <w:left w:val="nil"/>
              <w:bottom w:val="nil"/>
              <w:right w:val="single" w:sz="8" w:space="0" w:color="auto"/>
            </w:tcBorders>
            <w:shd w:val="clear" w:color="auto" w:fill="auto"/>
            <w:noWrap/>
            <w:hideMark/>
          </w:tcPr>
          <w:p w:rsidR="00393182" w:rsidRPr="00F96D85" w:rsidRDefault="00393182" w:rsidP="00393182">
            <w:pPr>
              <w:jc w:val="right"/>
              <w:rPr>
                <w:sz w:val="22"/>
                <w:lang w:val="es-GT" w:eastAsia="es-GT"/>
              </w:rPr>
            </w:pPr>
            <w:r w:rsidRPr="00F96D85">
              <w:rPr>
                <w:sz w:val="22"/>
                <w:lang w:val="es-GT" w:eastAsia="es-GT"/>
              </w:rPr>
              <w:t>2,609.6</w:t>
            </w:r>
          </w:p>
        </w:tc>
      </w:tr>
      <w:tr w:rsidR="00393182" w:rsidRPr="00393182" w:rsidTr="00A97701">
        <w:trPr>
          <w:trHeight w:val="330"/>
        </w:trPr>
        <w:tc>
          <w:tcPr>
            <w:tcW w:w="4220" w:type="dxa"/>
            <w:tcBorders>
              <w:top w:val="nil"/>
              <w:left w:val="single" w:sz="8" w:space="0" w:color="auto"/>
              <w:bottom w:val="single" w:sz="8" w:space="0" w:color="auto"/>
              <w:right w:val="single" w:sz="8" w:space="0" w:color="auto"/>
            </w:tcBorders>
            <w:shd w:val="clear" w:color="auto" w:fill="auto"/>
            <w:noWrap/>
            <w:vAlign w:val="center"/>
            <w:hideMark/>
          </w:tcPr>
          <w:p w:rsidR="00393182" w:rsidRPr="00F96D85" w:rsidRDefault="00393182" w:rsidP="00393182">
            <w:pPr>
              <w:rPr>
                <w:sz w:val="22"/>
                <w:lang w:val="es-GT" w:eastAsia="es-GT"/>
              </w:rPr>
            </w:pPr>
            <w:r w:rsidRPr="00F96D85">
              <w:rPr>
                <w:sz w:val="22"/>
                <w:lang w:val="es-GT" w:eastAsia="es-GT"/>
              </w:rPr>
              <w:t>Uso de Recursos de Caja</w:t>
            </w:r>
          </w:p>
        </w:tc>
        <w:tc>
          <w:tcPr>
            <w:tcW w:w="2316" w:type="dxa"/>
            <w:tcBorders>
              <w:top w:val="nil"/>
              <w:left w:val="nil"/>
              <w:bottom w:val="single" w:sz="8" w:space="0" w:color="auto"/>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3,367.4</w:t>
            </w:r>
          </w:p>
        </w:tc>
        <w:tc>
          <w:tcPr>
            <w:tcW w:w="2551" w:type="dxa"/>
            <w:tcBorders>
              <w:top w:val="nil"/>
              <w:left w:val="nil"/>
              <w:bottom w:val="single" w:sz="8" w:space="0" w:color="auto"/>
              <w:right w:val="single" w:sz="8" w:space="0" w:color="auto"/>
            </w:tcBorders>
            <w:shd w:val="clear" w:color="auto" w:fill="auto"/>
            <w:noWrap/>
            <w:vAlign w:val="center"/>
            <w:hideMark/>
          </w:tcPr>
          <w:p w:rsidR="00393182" w:rsidRPr="00F96D85" w:rsidRDefault="00393182" w:rsidP="00393182">
            <w:pPr>
              <w:jc w:val="right"/>
              <w:rPr>
                <w:sz w:val="22"/>
                <w:lang w:val="es-GT" w:eastAsia="es-GT"/>
              </w:rPr>
            </w:pPr>
            <w:r w:rsidRPr="00F96D85">
              <w:rPr>
                <w:sz w:val="22"/>
                <w:lang w:val="es-GT" w:eastAsia="es-GT"/>
              </w:rPr>
              <w:t>-4,556.0</w:t>
            </w:r>
          </w:p>
        </w:tc>
      </w:tr>
    </w:tbl>
    <w:p w:rsidR="00393182" w:rsidRDefault="000134B5" w:rsidP="00F34749">
      <w:pPr>
        <w:rPr>
          <w:noProof/>
          <w:sz w:val="18"/>
          <w:lang w:val="es-ES_tradnl"/>
        </w:rPr>
      </w:pPr>
      <w:r>
        <w:rPr>
          <w:noProof/>
          <w:sz w:val="18"/>
          <w:lang w:val="es-ES_tradnl"/>
        </w:rPr>
        <w:t>Fuente: Ministerio de Finanzas Públicas.</w:t>
      </w:r>
    </w:p>
    <w:p w:rsidR="009B000B" w:rsidRDefault="009B000B" w:rsidP="00F34749">
      <w:pPr>
        <w:rPr>
          <w:noProof/>
          <w:sz w:val="18"/>
          <w:lang w:val="es-ES_tradnl"/>
        </w:rPr>
      </w:pPr>
    </w:p>
    <w:p w:rsidR="009B000B" w:rsidRDefault="009B000B" w:rsidP="00F34749">
      <w:pPr>
        <w:rPr>
          <w:noProof/>
          <w:sz w:val="18"/>
          <w:lang w:val="es-ES_tradnl"/>
        </w:rPr>
      </w:pPr>
    </w:p>
    <w:p w:rsidR="00A97701" w:rsidRDefault="00CE2E12" w:rsidP="00A97701">
      <w:pPr>
        <w:jc w:val="both"/>
        <w:rPr>
          <w:lang w:val="es-US"/>
        </w:rPr>
      </w:pPr>
      <w:r>
        <w:rPr>
          <w:lang w:val="es-US"/>
        </w:rPr>
        <w:t xml:space="preserve">El cuadro anterior refleja un nivel de cierre de los Ingresos Totales </w:t>
      </w:r>
      <w:r w:rsidR="00B234E2">
        <w:rPr>
          <w:lang w:val="es-US"/>
        </w:rPr>
        <w:t>que</w:t>
      </w:r>
      <w:r w:rsidR="00A97701">
        <w:rPr>
          <w:lang w:val="es-US"/>
        </w:rPr>
        <w:t xml:space="preserve"> asciende a Q.92,433.5 millones, de los cuales los Ingresos Tributarios cerrarían en Q.70,768.4 millones dados los niveles de recaudación reportados por la Superintendencia de Administración Tributaria (SAT), los Bonos del Tesoro se estima que cierren en Q.19,080.5 millones, mientras que los Ingresos No Tributarios cerrarían en Q.3,933.0 millones.</w:t>
      </w:r>
    </w:p>
    <w:p w:rsidR="00A97701" w:rsidRDefault="00A97701" w:rsidP="00F34749">
      <w:pPr>
        <w:rPr>
          <w:lang w:val="es-US"/>
        </w:rPr>
      </w:pPr>
    </w:p>
    <w:p w:rsidR="009B000B" w:rsidRDefault="009B000B" w:rsidP="00F34749">
      <w:pPr>
        <w:rPr>
          <w:noProof/>
          <w:sz w:val="18"/>
          <w:lang w:val="es-ES_tradnl"/>
        </w:rPr>
      </w:pPr>
    </w:p>
    <w:p w:rsidR="00A97701" w:rsidRDefault="00A97701" w:rsidP="00F34749">
      <w:pPr>
        <w:rPr>
          <w:noProof/>
          <w:sz w:val="18"/>
          <w:lang w:val="es-ES_tradnl"/>
        </w:rPr>
      </w:pPr>
    </w:p>
    <w:p w:rsidR="00A97701" w:rsidRDefault="00A97701" w:rsidP="00F34749">
      <w:pPr>
        <w:rPr>
          <w:noProof/>
          <w:sz w:val="18"/>
          <w:lang w:val="es-ES_tradnl"/>
        </w:rPr>
      </w:pPr>
    </w:p>
    <w:p w:rsidR="009B000B" w:rsidRDefault="009B000B" w:rsidP="00F34749">
      <w:pPr>
        <w:rPr>
          <w:noProof/>
          <w:sz w:val="18"/>
          <w:lang w:val="es-ES_tradnl"/>
        </w:rPr>
      </w:pPr>
    </w:p>
    <w:p w:rsidR="009B000B" w:rsidRDefault="009B000B" w:rsidP="00F34749">
      <w:pPr>
        <w:rPr>
          <w:noProof/>
          <w:sz w:val="18"/>
          <w:lang w:val="es-ES_tradnl"/>
        </w:rPr>
      </w:pPr>
    </w:p>
    <w:p w:rsidR="009B000B" w:rsidRDefault="009B000B" w:rsidP="00F34749">
      <w:pPr>
        <w:rPr>
          <w:noProof/>
          <w:sz w:val="18"/>
          <w:lang w:val="es-ES_tradnl"/>
        </w:rPr>
      </w:pPr>
    </w:p>
    <w:p w:rsidR="00693D37" w:rsidRDefault="00693D37" w:rsidP="00693D37">
      <w:pPr>
        <w:autoSpaceDE w:val="0"/>
        <w:autoSpaceDN w:val="0"/>
        <w:adjustRightInd w:val="0"/>
        <w:jc w:val="center"/>
        <w:rPr>
          <w:lang w:eastAsia="en-US"/>
        </w:rPr>
      </w:pPr>
      <w:r w:rsidRPr="00446DA9">
        <w:rPr>
          <w:b/>
          <w:szCs w:val="20"/>
          <w:lang w:val="es-MX"/>
        </w:rPr>
        <w:lastRenderedPageBreak/>
        <w:t xml:space="preserve">Cuadro </w:t>
      </w:r>
      <w:r>
        <w:rPr>
          <w:b/>
          <w:szCs w:val="20"/>
          <w:lang w:val="es-MX"/>
        </w:rPr>
        <w:t>21</w:t>
      </w:r>
    </w:p>
    <w:p w:rsidR="00F96D85" w:rsidRDefault="00F96D85" w:rsidP="00F96D85">
      <w:pPr>
        <w:pStyle w:val="Descripcin"/>
        <w:keepNext/>
        <w:spacing w:after="0"/>
        <w:jc w:val="center"/>
        <w:rPr>
          <w:rFonts w:ascii="Times New Roman" w:hAnsi="Times New Roman" w:cs="Times New Roman"/>
          <w:b/>
          <w:bCs/>
          <w:i w:val="0"/>
          <w:iCs w:val="0"/>
          <w:color w:val="auto"/>
          <w:sz w:val="24"/>
          <w:szCs w:val="24"/>
        </w:rPr>
      </w:pPr>
      <w:r w:rsidRPr="00D4372B">
        <w:rPr>
          <w:rFonts w:ascii="Times New Roman" w:hAnsi="Times New Roman" w:cs="Times New Roman"/>
          <w:b/>
          <w:bCs/>
          <w:i w:val="0"/>
          <w:iCs w:val="0"/>
          <w:color w:val="auto"/>
          <w:sz w:val="24"/>
          <w:szCs w:val="24"/>
        </w:rPr>
        <w:t>P</w:t>
      </w:r>
      <w:r>
        <w:rPr>
          <w:rFonts w:ascii="Times New Roman" w:hAnsi="Times New Roman" w:cs="Times New Roman"/>
          <w:b/>
          <w:bCs/>
          <w:i w:val="0"/>
          <w:iCs w:val="0"/>
          <w:color w:val="auto"/>
          <w:sz w:val="24"/>
          <w:szCs w:val="24"/>
        </w:rPr>
        <w:t>resupuesto Asignado y Estimación de Ingresos Tributarios</w:t>
      </w:r>
    </w:p>
    <w:p w:rsidR="00F96D85" w:rsidRPr="003A495E" w:rsidRDefault="00F96D85" w:rsidP="00F96D85">
      <w:pPr>
        <w:jc w:val="center"/>
        <w:rPr>
          <w:b/>
          <w:lang w:val="es-GT" w:eastAsia="en-US"/>
        </w:rPr>
      </w:pPr>
      <w:r w:rsidRPr="003A495E">
        <w:rPr>
          <w:b/>
          <w:lang w:val="es-GT" w:eastAsia="en-US"/>
        </w:rPr>
        <w:t>Ejercicio Fiscal 2021</w:t>
      </w:r>
    </w:p>
    <w:p w:rsidR="00F96D85" w:rsidRPr="00DB2131" w:rsidRDefault="00F96D85" w:rsidP="00F96D85">
      <w:pPr>
        <w:pStyle w:val="Descripcin"/>
        <w:keepNext/>
        <w:spacing w:after="0"/>
        <w:jc w:val="center"/>
        <w:rPr>
          <w:rFonts w:ascii="Times New Roman" w:hAnsi="Times New Roman" w:cs="Times New Roman"/>
          <w:b/>
          <w:bCs/>
          <w:i w:val="0"/>
          <w:iCs w:val="0"/>
          <w:color w:val="auto"/>
          <w:sz w:val="24"/>
        </w:rPr>
      </w:pPr>
      <w:r w:rsidRPr="00DB2131">
        <w:rPr>
          <w:rFonts w:ascii="Times New Roman" w:hAnsi="Times New Roman" w:cs="Times New Roman"/>
          <w:b/>
          <w:bCs/>
          <w:i w:val="0"/>
          <w:iCs w:val="0"/>
          <w:color w:val="auto"/>
          <w:sz w:val="24"/>
        </w:rPr>
        <w:t>(En Millones de Quetzales)</w:t>
      </w:r>
    </w:p>
    <w:tbl>
      <w:tblPr>
        <w:tblW w:w="9087" w:type="dxa"/>
        <w:tblInd w:w="55" w:type="dxa"/>
        <w:tblCellMar>
          <w:left w:w="70" w:type="dxa"/>
          <w:right w:w="70" w:type="dxa"/>
        </w:tblCellMar>
        <w:tblLook w:val="04A0" w:firstRow="1" w:lastRow="0" w:firstColumn="1" w:lastColumn="0" w:noHBand="0" w:noVBand="1"/>
      </w:tblPr>
      <w:tblGrid>
        <w:gridCol w:w="5118"/>
        <w:gridCol w:w="1985"/>
        <w:gridCol w:w="1984"/>
      </w:tblGrid>
      <w:tr w:rsidR="00393182" w:rsidRPr="00393182" w:rsidTr="00A262E1">
        <w:trPr>
          <w:trHeight w:val="315"/>
        </w:trPr>
        <w:tc>
          <w:tcPr>
            <w:tcW w:w="5118" w:type="dxa"/>
            <w:vMerge w:val="restart"/>
            <w:tcBorders>
              <w:top w:val="single" w:sz="8" w:space="0" w:color="auto"/>
              <w:left w:val="single" w:sz="8" w:space="0" w:color="auto"/>
              <w:bottom w:val="single" w:sz="8" w:space="0" w:color="000000"/>
              <w:right w:val="single" w:sz="8" w:space="0" w:color="auto"/>
            </w:tcBorders>
            <w:shd w:val="clear" w:color="000000" w:fill="366092"/>
            <w:noWrap/>
            <w:vAlign w:val="center"/>
            <w:hideMark/>
          </w:tcPr>
          <w:p w:rsidR="00393182" w:rsidRPr="00393182" w:rsidRDefault="00393182" w:rsidP="00393182">
            <w:pPr>
              <w:jc w:val="center"/>
              <w:rPr>
                <w:b/>
                <w:bCs/>
                <w:color w:val="FFFFFF"/>
                <w:sz w:val="22"/>
                <w:szCs w:val="22"/>
                <w:lang w:val="es-GT" w:eastAsia="es-GT"/>
              </w:rPr>
            </w:pPr>
            <w:r w:rsidRPr="00393182">
              <w:rPr>
                <w:b/>
                <w:bCs/>
                <w:color w:val="FFFFFF"/>
                <w:sz w:val="22"/>
                <w:szCs w:val="22"/>
                <w:lang w:val="es-GT" w:eastAsia="es-GT"/>
              </w:rPr>
              <w:t xml:space="preserve">Descripción </w:t>
            </w:r>
          </w:p>
        </w:tc>
        <w:tc>
          <w:tcPr>
            <w:tcW w:w="3969" w:type="dxa"/>
            <w:gridSpan w:val="2"/>
            <w:tcBorders>
              <w:top w:val="single" w:sz="8" w:space="0" w:color="auto"/>
              <w:left w:val="nil"/>
              <w:bottom w:val="single" w:sz="8" w:space="0" w:color="auto"/>
              <w:right w:val="single" w:sz="8" w:space="0" w:color="000000"/>
            </w:tcBorders>
            <w:shd w:val="clear" w:color="000000" w:fill="366092"/>
            <w:noWrap/>
            <w:vAlign w:val="bottom"/>
            <w:hideMark/>
          </w:tcPr>
          <w:p w:rsidR="00393182" w:rsidRPr="00393182" w:rsidRDefault="00393182" w:rsidP="00393182">
            <w:pPr>
              <w:jc w:val="center"/>
              <w:rPr>
                <w:b/>
                <w:bCs/>
                <w:color w:val="FFFFFF"/>
                <w:sz w:val="22"/>
                <w:szCs w:val="22"/>
                <w:lang w:val="es-GT" w:eastAsia="es-GT"/>
              </w:rPr>
            </w:pPr>
            <w:r w:rsidRPr="00393182">
              <w:rPr>
                <w:b/>
                <w:bCs/>
                <w:color w:val="FFFFFF"/>
                <w:sz w:val="22"/>
                <w:szCs w:val="22"/>
                <w:lang w:val="es-GT" w:eastAsia="es-GT"/>
              </w:rPr>
              <w:t>2021</w:t>
            </w:r>
          </w:p>
        </w:tc>
      </w:tr>
      <w:tr w:rsidR="00393182" w:rsidRPr="00393182" w:rsidTr="00A262E1">
        <w:trPr>
          <w:trHeight w:val="315"/>
        </w:trPr>
        <w:tc>
          <w:tcPr>
            <w:tcW w:w="5118" w:type="dxa"/>
            <w:vMerge/>
            <w:tcBorders>
              <w:top w:val="single" w:sz="8" w:space="0" w:color="auto"/>
              <w:left w:val="single" w:sz="8" w:space="0" w:color="auto"/>
              <w:bottom w:val="single" w:sz="8" w:space="0" w:color="000000"/>
              <w:right w:val="single" w:sz="8" w:space="0" w:color="auto"/>
            </w:tcBorders>
            <w:vAlign w:val="center"/>
            <w:hideMark/>
          </w:tcPr>
          <w:p w:rsidR="00393182" w:rsidRPr="00393182" w:rsidRDefault="00393182" w:rsidP="00393182">
            <w:pPr>
              <w:rPr>
                <w:b/>
                <w:bCs/>
                <w:color w:val="FFFFFF"/>
                <w:sz w:val="22"/>
                <w:szCs w:val="22"/>
                <w:lang w:val="es-GT" w:eastAsia="es-GT"/>
              </w:rPr>
            </w:pPr>
          </w:p>
        </w:tc>
        <w:tc>
          <w:tcPr>
            <w:tcW w:w="1985" w:type="dxa"/>
            <w:tcBorders>
              <w:top w:val="nil"/>
              <w:left w:val="single" w:sz="8" w:space="0" w:color="auto"/>
              <w:bottom w:val="single" w:sz="8" w:space="0" w:color="auto"/>
              <w:right w:val="single" w:sz="8" w:space="0" w:color="auto"/>
            </w:tcBorders>
            <w:shd w:val="clear" w:color="000000" w:fill="366092"/>
            <w:noWrap/>
            <w:vAlign w:val="bottom"/>
            <w:hideMark/>
          </w:tcPr>
          <w:p w:rsidR="00393182" w:rsidRPr="00393182" w:rsidRDefault="00393182" w:rsidP="00393182">
            <w:pPr>
              <w:jc w:val="center"/>
              <w:rPr>
                <w:b/>
                <w:bCs/>
                <w:color w:val="FFFFFF"/>
                <w:sz w:val="22"/>
                <w:szCs w:val="22"/>
                <w:lang w:val="es-GT" w:eastAsia="es-GT"/>
              </w:rPr>
            </w:pPr>
            <w:r w:rsidRPr="00393182">
              <w:rPr>
                <w:b/>
                <w:bCs/>
                <w:color w:val="FFFFFF"/>
                <w:sz w:val="22"/>
                <w:szCs w:val="22"/>
                <w:lang w:val="es-GT" w:eastAsia="es-GT"/>
              </w:rPr>
              <w:t xml:space="preserve">Presupuesto </w:t>
            </w:r>
          </w:p>
        </w:tc>
        <w:tc>
          <w:tcPr>
            <w:tcW w:w="1984" w:type="dxa"/>
            <w:tcBorders>
              <w:top w:val="nil"/>
              <w:left w:val="nil"/>
              <w:bottom w:val="single" w:sz="8" w:space="0" w:color="auto"/>
              <w:right w:val="single" w:sz="8" w:space="0" w:color="auto"/>
            </w:tcBorders>
            <w:shd w:val="clear" w:color="000000" w:fill="366092"/>
            <w:noWrap/>
            <w:vAlign w:val="bottom"/>
            <w:hideMark/>
          </w:tcPr>
          <w:p w:rsidR="00393182" w:rsidRPr="00393182" w:rsidRDefault="00393182" w:rsidP="00393182">
            <w:pPr>
              <w:jc w:val="center"/>
              <w:rPr>
                <w:b/>
                <w:bCs/>
                <w:color w:val="FFFFFF"/>
                <w:sz w:val="22"/>
                <w:szCs w:val="22"/>
                <w:lang w:val="es-GT" w:eastAsia="es-GT"/>
              </w:rPr>
            </w:pPr>
            <w:r w:rsidRPr="00393182">
              <w:rPr>
                <w:b/>
                <w:bCs/>
                <w:color w:val="FFFFFF"/>
                <w:sz w:val="22"/>
                <w:szCs w:val="22"/>
                <w:lang w:val="es-GT" w:eastAsia="es-GT"/>
              </w:rPr>
              <w:t xml:space="preserve">Estimación </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200" w:firstLine="442"/>
              <w:rPr>
                <w:b/>
                <w:bCs/>
                <w:sz w:val="22"/>
                <w:szCs w:val="20"/>
                <w:lang w:val="es-GT" w:eastAsia="es-GT"/>
              </w:rPr>
            </w:pPr>
            <w:r w:rsidRPr="00F96D85">
              <w:rPr>
                <w:b/>
                <w:bCs/>
                <w:sz w:val="22"/>
                <w:szCs w:val="20"/>
                <w:lang w:val="es-GT" w:eastAsia="es-GT"/>
              </w:rPr>
              <w:t xml:space="preserve">Ingresos Tributarios </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64,027.7</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70,768.4</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300" w:firstLine="663"/>
              <w:rPr>
                <w:b/>
                <w:bCs/>
                <w:sz w:val="22"/>
                <w:szCs w:val="20"/>
                <w:lang w:val="es-GT" w:eastAsia="es-GT"/>
              </w:rPr>
            </w:pPr>
            <w:r w:rsidRPr="00F96D85">
              <w:rPr>
                <w:b/>
                <w:bCs/>
                <w:sz w:val="22"/>
                <w:szCs w:val="20"/>
                <w:lang w:val="es-GT" w:eastAsia="es-GT"/>
              </w:rPr>
              <w:t>Impuestos Directos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21,669.4</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25,416.0</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  Impuesto sobre la Renta</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16,622.1</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20,326.7</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  Impuesto sobre la propiedad y otros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27.9</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19.7</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  A las Empresas Mercantiles y Agropecuarias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 </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3.3</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  IETAAP </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 </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7.9</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  Impues</w:t>
            </w:r>
            <w:r w:rsidR="002A3247" w:rsidRPr="00F96D85">
              <w:rPr>
                <w:sz w:val="22"/>
                <w:szCs w:val="20"/>
                <w:lang w:val="es-GT" w:eastAsia="es-GT"/>
              </w:rPr>
              <w:t>t</w:t>
            </w:r>
            <w:r w:rsidRPr="00F96D85">
              <w:rPr>
                <w:sz w:val="22"/>
                <w:szCs w:val="20"/>
                <w:lang w:val="es-GT" w:eastAsia="es-GT"/>
              </w:rPr>
              <w:t>o de Solidaridad</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5,019.3</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5,058.5</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center"/>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Otros Directos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 </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 </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300" w:firstLine="663"/>
              <w:rPr>
                <w:b/>
                <w:bCs/>
                <w:sz w:val="22"/>
                <w:szCs w:val="20"/>
                <w:lang w:val="es-GT" w:eastAsia="es-GT"/>
              </w:rPr>
            </w:pPr>
            <w:r w:rsidRPr="00F96D85">
              <w:rPr>
                <w:b/>
                <w:bCs/>
                <w:sz w:val="22"/>
                <w:szCs w:val="20"/>
                <w:lang w:val="es-GT" w:eastAsia="es-GT"/>
              </w:rPr>
              <w:t>Impuestos Indirectos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42,358.3</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b/>
                <w:bCs/>
                <w:sz w:val="22"/>
                <w:szCs w:val="20"/>
                <w:lang w:val="es-GT" w:eastAsia="es-GT"/>
              </w:rPr>
            </w:pPr>
            <w:r w:rsidRPr="00F96D85">
              <w:rPr>
                <w:b/>
                <w:bCs/>
                <w:sz w:val="22"/>
                <w:szCs w:val="20"/>
                <w:lang w:val="es-GT" w:eastAsia="es-GT"/>
              </w:rPr>
              <w:t>45,352.3</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Impuesto al Valor Agregado</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31,679.9</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33,932.6</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500" w:firstLine="1100"/>
              <w:rPr>
                <w:sz w:val="22"/>
                <w:szCs w:val="20"/>
                <w:lang w:val="es-GT" w:eastAsia="es-GT"/>
              </w:rPr>
            </w:pPr>
            <w:r w:rsidRPr="00F96D85">
              <w:rPr>
                <w:sz w:val="22"/>
                <w:szCs w:val="20"/>
                <w:lang w:val="es-GT" w:eastAsia="es-GT"/>
              </w:rPr>
              <w:t>Doméstico</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15,941.9</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15,923.0</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500" w:firstLine="1100"/>
              <w:rPr>
                <w:sz w:val="22"/>
                <w:szCs w:val="20"/>
                <w:lang w:val="es-GT" w:eastAsia="es-GT"/>
              </w:rPr>
            </w:pPr>
            <w:r w:rsidRPr="00F96D85">
              <w:rPr>
                <w:sz w:val="22"/>
                <w:szCs w:val="20"/>
                <w:lang w:val="es-GT" w:eastAsia="es-GT"/>
              </w:rPr>
              <w:t>Importaciones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15,738.0</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18,009.6</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Derechos Arancelarios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2,723.6</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3,140.7</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Petróleo</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3,514.6</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3,939.8</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Timbres Fiscales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498.3</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463.9</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Vehículos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914.8</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872.2</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IPRIMA</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1,048.0</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1,169.3</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Regalías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225.4</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147.4</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Salida del País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333.4</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152.4</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Impuestos Específicos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1,267.3</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1,337.4</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500" w:firstLine="1100"/>
              <w:rPr>
                <w:sz w:val="22"/>
                <w:szCs w:val="20"/>
                <w:lang w:val="es-GT" w:eastAsia="es-GT"/>
              </w:rPr>
            </w:pPr>
            <w:r w:rsidRPr="00F96D85">
              <w:rPr>
                <w:sz w:val="22"/>
                <w:szCs w:val="20"/>
                <w:lang w:val="es-GT" w:eastAsia="es-GT"/>
              </w:rPr>
              <w:t xml:space="preserve">Alcoholes y </w:t>
            </w:r>
            <w:r w:rsidR="002A3247" w:rsidRPr="00F96D85">
              <w:rPr>
                <w:sz w:val="22"/>
                <w:szCs w:val="20"/>
                <w:lang w:val="es-GT" w:eastAsia="es-GT"/>
              </w:rPr>
              <w:t>B</w:t>
            </w:r>
            <w:r w:rsidRPr="00F96D85">
              <w:rPr>
                <w:sz w:val="22"/>
                <w:szCs w:val="20"/>
                <w:lang w:val="es-GT" w:eastAsia="es-GT"/>
              </w:rPr>
              <w:t>ebidas</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910.4</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1,019.5</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500" w:firstLine="1100"/>
              <w:rPr>
                <w:sz w:val="22"/>
                <w:szCs w:val="20"/>
                <w:lang w:val="es-GT" w:eastAsia="es-GT"/>
              </w:rPr>
            </w:pPr>
            <w:r w:rsidRPr="00F96D85">
              <w:rPr>
                <w:sz w:val="22"/>
                <w:szCs w:val="20"/>
                <w:lang w:val="es-GT" w:eastAsia="es-GT"/>
              </w:rPr>
              <w:t>Tabaco</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356.9</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317.9</w:t>
            </w:r>
          </w:p>
        </w:tc>
      </w:tr>
      <w:tr w:rsidR="00393182" w:rsidRPr="00393182" w:rsidTr="00A262E1">
        <w:trPr>
          <w:trHeight w:val="300"/>
        </w:trPr>
        <w:tc>
          <w:tcPr>
            <w:tcW w:w="5118" w:type="dxa"/>
            <w:tcBorders>
              <w:top w:val="nil"/>
              <w:left w:val="single" w:sz="8" w:space="0" w:color="auto"/>
              <w:bottom w:val="nil"/>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Distribución de Cemento</w:t>
            </w:r>
          </w:p>
        </w:tc>
        <w:tc>
          <w:tcPr>
            <w:tcW w:w="1985"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144.6</w:t>
            </w:r>
          </w:p>
        </w:tc>
        <w:tc>
          <w:tcPr>
            <w:tcW w:w="1984" w:type="dxa"/>
            <w:tcBorders>
              <w:top w:val="nil"/>
              <w:left w:val="nil"/>
              <w:bottom w:val="nil"/>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188.9</w:t>
            </w:r>
          </w:p>
        </w:tc>
      </w:tr>
      <w:tr w:rsidR="00393182" w:rsidRPr="00393182" w:rsidTr="00A262E1">
        <w:trPr>
          <w:trHeight w:val="315"/>
        </w:trPr>
        <w:tc>
          <w:tcPr>
            <w:tcW w:w="5118" w:type="dxa"/>
            <w:tcBorders>
              <w:top w:val="nil"/>
              <w:left w:val="single" w:sz="8" w:space="0" w:color="auto"/>
              <w:bottom w:val="single" w:sz="8" w:space="0" w:color="auto"/>
              <w:right w:val="single" w:sz="8" w:space="0" w:color="auto"/>
            </w:tcBorders>
            <w:shd w:val="clear" w:color="auto" w:fill="auto"/>
            <w:noWrap/>
            <w:vAlign w:val="bottom"/>
            <w:hideMark/>
          </w:tcPr>
          <w:p w:rsidR="00393182" w:rsidRPr="00F96D85" w:rsidRDefault="00393182" w:rsidP="00F96D85">
            <w:pPr>
              <w:ind w:firstLineChars="400" w:firstLine="880"/>
              <w:rPr>
                <w:sz w:val="22"/>
                <w:szCs w:val="20"/>
                <w:lang w:val="es-GT" w:eastAsia="es-GT"/>
              </w:rPr>
            </w:pPr>
            <w:r w:rsidRPr="00F96D85">
              <w:rPr>
                <w:sz w:val="22"/>
                <w:szCs w:val="20"/>
                <w:lang w:val="es-GT" w:eastAsia="es-GT"/>
              </w:rPr>
              <w:t xml:space="preserve">Otros indirectos y medidas </w:t>
            </w:r>
          </w:p>
        </w:tc>
        <w:tc>
          <w:tcPr>
            <w:tcW w:w="1985" w:type="dxa"/>
            <w:tcBorders>
              <w:top w:val="nil"/>
              <w:left w:val="nil"/>
              <w:bottom w:val="single" w:sz="8" w:space="0" w:color="auto"/>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8.5</w:t>
            </w:r>
          </w:p>
        </w:tc>
        <w:tc>
          <w:tcPr>
            <w:tcW w:w="1984" w:type="dxa"/>
            <w:tcBorders>
              <w:top w:val="nil"/>
              <w:left w:val="nil"/>
              <w:bottom w:val="single" w:sz="8" w:space="0" w:color="auto"/>
              <w:right w:val="single" w:sz="8" w:space="0" w:color="auto"/>
            </w:tcBorders>
            <w:shd w:val="clear" w:color="auto" w:fill="auto"/>
            <w:noWrap/>
            <w:vAlign w:val="bottom"/>
            <w:hideMark/>
          </w:tcPr>
          <w:p w:rsidR="00393182" w:rsidRPr="00F96D85" w:rsidRDefault="00393182" w:rsidP="00393182">
            <w:pPr>
              <w:jc w:val="center"/>
              <w:rPr>
                <w:sz w:val="22"/>
                <w:szCs w:val="20"/>
                <w:lang w:val="es-GT" w:eastAsia="es-GT"/>
              </w:rPr>
            </w:pPr>
            <w:r w:rsidRPr="00F96D85">
              <w:rPr>
                <w:sz w:val="22"/>
                <w:szCs w:val="20"/>
                <w:lang w:val="es-GT" w:eastAsia="es-GT"/>
              </w:rPr>
              <w:t>7.6</w:t>
            </w:r>
          </w:p>
        </w:tc>
      </w:tr>
    </w:tbl>
    <w:p w:rsidR="00393182" w:rsidRDefault="000134B5" w:rsidP="00F34749">
      <w:pPr>
        <w:rPr>
          <w:bCs/>
        </w:rPr>
      </w:pPr>
      <w:r>
        <w:rPr>
          <w:noProof/>
          <w:sz w:val="18"/>
          <w:lang w:val="es-ES_tradnl"/>
        </w:rPr>
        <w:t>Fuente: Ministerio de Finanzas Públicas.</w:t>
      </w:r>
    </w:p>
    <w:p w:rsidR="00393182" w:rsidRDefault="00393182" w:rsidP="00F34749">
      <w:pPr>
        <w:rPr>
          <w:bCs/>
        </w:rPr>
      </w:pPr>
    </w:p>
    <w:p w:rsidR="00393182" w:rsidRPr="00DB2131" w:rsidRDefault="00393182" w:rsidP="00F34749">
      <w:pPr>
        <w:rPr>
          <w:bCs/>
          <w:sz w:val="10"/>
        </w:rPr>
      </w:pPr>
    </w:p>
    <w:p w:rsidR="00F34749" w:rsidRPr="001227FE" w:rsidRDefault="00F34749" w:rsidP="004C636B">
      <w:pPr>
        <w:pStyle w:val="Ttulo3"/>
        <w:numPr>
          <w:ilvl w:val="0"/>
          <w:numId w:val="9"/>
        </w:numPr>
        <w:ind w:left="426"/>
        <w:rPr>
          <w:rFonts w:ascii="Times New Roman" w:hAnsi="Times New Roman"/>
          <w:color w:val="auto"/>
        </w:rPr>
      </w:pPr>
      <w:bookmarkStart w:id="55" w:name="_Toc20495564"/>
      <w:bookmarkStart w:id="56" w:name="_Toc81388550"/>
      <w:bookmarkStart w:id="57" w:name="_Toc83713644"/>
      <w:r w:rsidRPr="001227FE">
        <w:rPr>
          <w:rFonts w:ascii="Times New Roman" w:hAnsi="Times New Roman"/>
          <w:color w:val="auto"/>
        </w:rPr>
        <w:t>Gastos</w:t>
      </w:r>
      <w:bookmarkEnd w:id="55"/>
      <w:bookmarkEnd w:id="56"/>
      <w:bookmarkEnd w:id="57"/>
      <w:r w:rsidRPr="001227FE">
        <w:rPr>
          <w:rFonts w:ascii="Times New Roman" w:hAnsi="Times New Roman"/>
          <w:color w:val="auto"/>
        </w:rPr>
        <w:t xml:space="preserve"> </w:t>
      </w:r>
    </w:p>
    <w:p w:rsidR="00F34749" w:rsidRDefault="00F34749" w:rsidP="00F34749"/>
    <w:p w:rsidR="00F34749" w:rsidRDefault="00F34749" w:rsidP="00F34749">
      <w:pPr>
        <w:jc w:val="both"/>
      </w:pPr>
      <w:r w:rsidRPr="00CC2D37">
        <w:t>El Proyecto de Presupuesto General de Ingresos y Egresos del Estado para el Ejercicio Fiscal 202</w:t>
      </w:r>
      <w:r>
        <w:t>1</w:t>
      </w:r>
      <w:r w:rsidRPr="00CC2D37">
        <w:t xml:space="preserve"> no fue aprobado en el término que establece la Constitución Política de la República de Guatemala</w:t>
      </w:r>
      <w:r w:rsidR="003E47E0">
        <w:t>;</w:t>
      </w:r>
      <w:r w:rsidRPr="00CC2D37">
        <w:t xml:space="preserve"> </w:t>
      </w:r>
      <w:r>
        <w:t xml:space="preserve">dado que en 2020 tampoco fue aprobado dicho proyecto, </w:t>
      </w:r>
      <w:r w:rsidRPr="00CC2D37">
        <w:t>entró en vig</w:t>
      </w:r>
      <w:r w:rsidR="003E47E0">
        <w:t>encia</w:t>
      </w:r>
      <w:r w:rsidRPr="00CC2D37">
        <w:t xml:space="preserve"> el presupuesto del ejercicio f</w:t>
      </w:r>
      <w:r>
        <w:t>iscal 2019 (Q</w:t>
      </w:r>
      <w:r w:rsidR="003E47E0">
        <w:t>.</w:t>
      </w:r>
      <w:r w:rsidRPr="00CC2D37">
        <w:t>87,715.0 millones</w:t>
      </w:r>
      <w:r>
        <w:t>), aunque tomando en cuenta las tres ampliaciones del 2020 aprobadas por el Organismo Legislativo para dar atención al tema COVID-19 y otros compromisos de gasto, el presupuesto inicial para 2021 se ubicó finalmente en Q</w:t>
      </w:r>
      <w:r w:rsidR="003E47E0">
        <w:t>.</w:t>
      </w:r>
      <w:r>
        <w:t>107,521.5 millones</w:t>
      </w:r>
      <w:r w:rsidRPr="00CC2D37">
        <w:t>.</w:t>
      </w:r>
      <w:r>
        <w:t xml:space="preserve"> Esta situación</w:t>
      </w:r>
      <w:r w:rsidRPr="009E612C">
        <w:t xml:space="preserve"> complica la ejecución presupuestaria, más si se tiene en cuenta que este escenario se da por segundo año</w:t>
      </w:r>
      <w:r>
        <w:t xml:space="preserve"> consecutivo</w:t>
      </w:r>
      <w:r w:rsidRPr="009E612C">
        <w:t xml:space="preserve">, situación que </w:t>
      </w:r>
      <w:r w:rsidR="003E47E0">
        <w:t>ocurre</w:t>
      </w:r>
      <w:r w:rsidRPr="009E612C">
        <w:t xml:space="preserve"> por primera vez en la historia democrática del país.</w:t>
      </w:r>
    </w:p>
    <w:p w:rsidR="00F34749" w:rsidRDefault="00F34749" w:rsidP="00F34749">
      <w:pPr>
        <w:jc w:val="both"/>
      </w:pPr>
    </w:p>
    <w:p w:rsidR="00F34749" w:rsidRDefault="00F34749" w:rsidP="00F34749">
      <w:pPr>
        <w:jc w:val="both"/>
      </w:pPr>
      <w:r w:rsidRPr="009E612C">
        <w:t>El no contar con un presupuesto aprobado afecta de forma considerable el manejo de la política fiscal y de la política pública en su conjunto, ya que el presupuesto vigente de 2021 no es congruente con la planificación y los objetivos estratégicos e institucionales definidos anualmente para satisfacer las necesidades económicas y sociales del país.</w:t>
      </w:r>
    </w:p>
    <w:p w:rsidR="00F34749" w:rsidRDefault="00F34749" w:rsidP="00F34749">
      <w:pPr>
        <w:jc w:val="both"/>
      </w:pPr>
    </w:p>
    <w:p w:rsidR="00F34749" w:rsidRDefault="00F34749" w:rsidP="00F34749">
      <w:pPr>
        <w:jc w:val="both"/>
      </w:pPr>
      <w:r>
        <w:t>Es importante tener en consideración que fue necesaria la readecuación presupuestaria dado que el presupuesto vigente para el ejercicio fiscal 2021 se encontraba desfinanciado, especialmente por la brecha que provocan los Q</w:t>
      </w:r>
      <w:r w:rsidR="001F3E92">
        <w:t>.</w:t>
      </w:r>
      <w:r>
        <w:t>11,000</w:t>
      </w:r>
      <w:r w:rsidR="001F3E92">
        <w:t>.0</w:t>
      </w:r>
      <w:r>
        <w:t xml:space="preserve"> millones que fueron aprobados en 2020 para ser colocados en Bonos del Tesoro y adquiridos por el Banco de Guatemala para la atención del COVID-19, mecanismo de financiamiento que ya no sería viable en 2021</w:t>
      </w:r>
      <w:r w:rsidR="001F3E92">
        <w:t>,</w:t>
      </w:r>
      <w:r>
        <w:t xml:space="preserve"> dado que la Constitución Política de República lo considera únicamente en caso de catástrofe o desastre público. Asimismo, los desembolsos de préstamos serían menores.</w:t>
      </w:r>
    </w:p>
    <w:p w:rsidR="00F34749" w:rsidRDefault="00F34749" w:rsidP="00F34749">
      <w:pPr>
        <w:jc w:val="both"/>
      </w:pPr>
    </w:p>
    <w:p w:rsidR="00F34749" w:rsidRDefault="00F34749" w:rsidP="00F34749">
      <w:pPr>
        <w:jc w:val="both"/>
      </w:pPr>
      <w:r>
        <w:t xml:space="preserve">Es por ello que el </w:t>
      </w:r>
      <w:r w:rsidR="001F3E92">
        <w:t>O</w:t>
      </w:r>
      <w:r>
        <w:t>rganismo Ejecutivo, para dar certidumbre en la ejecución del gasto público, comunicó que el gasto máximo en el que se puede incurrir durante el ejercicio fiscal 2021 asciende a Q</w:t>
      </w:r>
      <w:r w:rsidR="001F3E92">
        <w:t>.</w:t>
      </w:r>
      <w:r>
        <w:t xml:space="preserve">94,354.0 millones, donde el 66.0% corresponde a </w:t>
      </w:r>
      <w:r w:rsidR="001F3E92">
        <w:t>G</w:t>
      </w:r>
      <w:r>
        <w:t xml:space="preserve">asto de </w:t>
      </w:r>
      <w:r w:rsidR="001F3E92">
        <w:t>F</w:t>
      </w:r>
      <w:r>
        <w:t xml:space="preserve">uncionamiento, 19.0% a </w:t>
      </w:r>
      <w:r w:rsidR="001F3E92">
        <w:t>G</w:t>
      </w:r>
      <w:r>
        <w:t xml:space="preserve">asto de </w:t>
      </w:r>
      <w:r w:rsidR="001F3E92">
        <w:t>I</w:t>
      </w:r>
      <w:r>
        <w:t xml:space="preserve">nversión y 15.0% al servicio de la </w:t>
      </w:r>
      <w:r w:rsidR="001F3E92">
        <w:t>D</w:t>
      </w:r>
      <w:r>
        <w:t xml:space="preserve">euda </w:t>
      </w:r>
      <w:r w:rsidR="001F3E92">
        <w:t>P</w:t>
      </w:r>
      <w:r>
        <w:t xml:space="preserve">ública. Esta comunicación se consideró importante para dar certeza a las entidades en cuando al espacio presupuestario para la ejecución de los programas y proyectos. Con el anuncio de este techo presupuestario, el </w:t>
      </w:r>
      <w:r w:rsidR="001F3E92">
        <w:t xml:space="preserve">Organismo </w:t>
      </w:r>
      <w:r>
        <w:t>Ejecutivo estaría garantizando recursos para las vacunas contra el COVID-19, así como el gasto necesario para la reconstrucción derivado de las tormentas tropicales ETA e IOTA y las erogaciones para el funcionamiento adecuado de los programas institucionales.</w:t>
      </w:r>
    </w:p>
    <w:p w:rsidR="00F34749" w:rsidRDefault="00F34749" w:rsidP="00F34749">
      <w:pPr>
        <w:jc w:val="both"/>
        <w:rPr>
          <w:b/>
        </w:rPr>
      </w:pPr>
    </w:p>
    <w:p w:rsidR="00F34749" w:rsidRPr="00E13749" w:rsidRDefault="00F34749" w:rsidP="004C636B">
      <w:pPr>
        <w:pStyle w:val="Ttulo3"/>
        <w:numPr>
          <w:ilvl w:val="1"/>
          <w:numId w:val="9"/>
        </w:numPr>
        <w:spacing w:before="0"/>
        <w:ind w:left="426"/>
        <w:rPr>
          <w:rFonts w:ascii="Times New Roman" w:hAnsi="Times New Roman"/>
          <w:color w:val="auto"/>
        </w:rPr>
      </w:pPr>
      <w:bookmarkStart w:id="58" w:name="_Toc81388551"/>
      <w:bookmarkStart w:id="59" w:name="_Toc83713645"/>
      <w:r w:rsidRPr="00E13749">
        <w:rPr>
          <w:rFonts w:ascii="Times New Roman" w:hAnsi="Times New Roman"/>
          <w:color w:val="auto"/>
        </w:rPr>
        <w:t>Gasto Corriente y de Capital</w:t>
      </w:r>
      <w:bookmarkEnd w:id="58"/>
      <w:bookmarkEnd w:id="59"/>
    </w:p>
    <w:p w:rsidR="00F34749" w:rsidRDefault="00F34749" w:rsidP="00F34749">
      <w:pPr>
        <w:jc w:val="both"/>
      </w:pPr>
    </w:p>
    <w:p w:rsidR="00F34749" w:rsidRPr="00CC2D37" w:rsidRDefault="00F34749" w:rsidP="00F34749">
      <w:pPr>
        <w:jc w:val="both"/>
      </w:pPr>
      <w:r>
        <w:t>Por lo señalado en la sección anterior, el gasto fue moderado en el</w:t>
      </w:r>
      <w:r w:rsidRPr="00CC2D37">
        <w:t xml:space="preserve"> primer</w:t>
      </w:r>
      <w:r>
        <w:t xml:space="preserve"> trimestre </w:t>
      </w:r>
      <w:r w:rsidRPr="00CC2D37">
        <w:t>del año, derivado que las entidades se encontraban en proceso de hacer las readecuaciones presupuestarias acorde a las necesidades y objetivos planteados para el año</w:t>
      </w:r>
      <w:r>
        <w:t xml:space="preserve">.  Asimismo, </w:t>
      </w:r>
      <w:r w:rsidRPr="00F12C09">
        <w:t>se dio cierta restricción en la asignación de las cuotas financieras, ello debido a la incertidumbre sobre el desempeño de los ingresos tributarios.</w:t>
      </w:r>
      <w:r>
        <w:t xml:space="preserve"> Este comportamiento moderado fue similar al observado en el primer trimestre de 2020</w:t>
      </w:r>
      <w:r w:rsidRPr="00CC2D37">
        <w:t>, ya que</w:t>
      </w:r>
      <w:r>
        <w:t xml:space="preserve"> el gasto público empezó a dinamizarse hasta mayo, asociado a los programas económicos y sociales implementados en el contexto de la pandemia </w:t>
      </w:r>
      <w:r w:rsidR="001F3E92">
        <w:t xml:space="preserve">del </w:t>
      </w:r>
      <w:r>
        <w:t>COVID-19</w:t>
      </w:r>
      <w:r w:rsidR="001F3E92">
        <w:t>.</w:t>
      </w:r>
    </w:p>
    <w:p w:rsidR="00F34749" w:rsidRDefault="00F34749" w:rsidP="00F34749">
      <w:pPr>
        <w:jc w:val="both"/>
      </w:pPr>
    </w:p>
    <w:p w:rsidR="00F34749" w:rsidRDefault="00F34749" w:rsidP="00F34749">
      <w:pPr>
        <w:jc w:val="both"/>
      </w:pPr>
      <w:r>
        <w:t>El comportamiento en la ejecución de gasto público 2021, que incluye las amortizaciones de la deuda pública, empezó a ser más dinámico a partir de abril, con un crecimiento interanual de 10.8%, mostrando un fuerte dinamismo respecto al obser</w:t>
      </w:r>
      <w:r w:rsidR="002B2326">
        <w:t>vado en los meses previos.</w:t>
      </w:r>
    </w:p>
    <w:p w:rsidR="00F34749" w:rsidRDefault="00F34749" w:rsidP="00F34749">
      <w:pPr>
        <w:jc w:val="both"/>
      </w:pPr>
    </w:p>
    <w:p w:rsidR="00F34749" w:rsidRDefault="00F34749" w:rsidP="00F34749">
      <w:pPr>
        <w:jc w:val="both"/>
      </w:pPr>
      <w:r>
        <w:t>Para junio, el crecimiento interanual del gasto era de 0.3% (equivalente a Q</w:t>
      </w:r>
      <w:r w:rsidR="002B2326">
        <w:t>.</w:t>
      </w:r>
      <w:r>
        <w:t xml:space="preserve">112.3 millones), mostrando una importante desaceleración respecto al dinamismo observado en los dos meses previos. Asimismo, el crecimiento observado es menor al reportado en 2020 (9.0%), dado que a junio de ese año se encontraban en ejecución varias actividades relacionadas a la atención de la pandemia </w:t>
      </w:r>
      <w:r w:rsidR="002B2326">
        <w:t xml:space="preserve">del </w:t>
      </w:r>
      <w:r>
        <w:t>COVID-19, mientras que para este año dichas actividades ya no se encuentran vigentes.</w:t>
      </w:r>
    </w:p>
    <w:p w:rsidR="00F34749" w:rsidRDefault="00F34749" w:rsidP="00F34749"/>
    <w:p w:rsidR="00A262E1" w:rsidRDefault="00A262E1" w:rsidP="00F34749"/>
    <w:p w:rsidR="00F34749" w:rsidRPr="00E13749" w:rsidRDefault="00F34749" w:rsidP="00F34749">
      <w:pPr>
        <w:pStyle w:val="Descripcin"/>
        <w:keepNext/>
        <w:tabs>
          <w:tab w:val="left" w:pos="2385"/>
          <w:tab w:val="center" w:pos="4419"/>
        </w:tabs>
        <w:spacing w:after="0"/>
        <w:jc w:val="center"/>
        <w:rPr>
          <w:rFonts w:ascii="Times New Roman" w:hAnsi="Times New Roman" w:cs="Times New Roman"/>
          <w:b/>
          <w:i w:val="0"/>
          <w:color w:val="auto"/>
          <w:sz w:val="24"/>
        </w:rPr>
      </w:pPr>
      <w:r w:rsidRPr="00E13749">
        <w:rPr>
          <w:rFonts w:ascii="Times New Roman" w:hAnsi="Times New Roman" w:cs="Times New Roman"/>
          <w:b/>
          <w:i w:val="0"/>
          <w:color w:val="auto"/>
          <w:sz w:val="24"/>
        </w:rPr>
        <w:lastRenderedPageBreak/>
        <w:t>Gráfic</w:t>
      </w:r>
      <w:r w:rsidR="00030777">
        <w:rPr>
          <w:rFonts w:ascii="Times New Roman" w:hAnsi="Times New Roman" w:cs="Times New Roman"/>
          <w:b/>
          <w:i w:val="0"/>
          <w:color w:val="auto"/>
          <w:sz w:val="24"/>
        </w:rPr>
        <w:t>a 32</w:t>
      </w:r>
      <w:r w:rsidRPr="00E13749">
        <w:rPr>
          <w:rFonts w:ascii="Times New Roman" w:hAnsi="Times New Roman" w:cs="Times New Roman"/>
          <w:b/>
          <w:i w:val="0"/>
          <w:color w:val="auto"/>
          <w:sz w:val="24"/>
        </w:rPr>
        <w:t>.  Ritmo de Ejecución del Gasto</w:t>
      </w:r>
    </w:p>
    <w:p w:rsidR="00F34749" w:rsidRPr="00C82419" w:rsidRDefault="00F34749" w:rsidP="00F34749">
      <w:pPr>
        <w:autoSpaceDE w:val="0"/>
        <w:autoSpaceDN w:val="0"/>
        <w:adjustRightInd w:val="0"/>
        <w:jc w:val="center"/>
      </w:pPr>
      <w:r w:rsidRPr="00030777">
        <w:rPr>
          <w:b/>
        </w:rPr>
        <w:t>Variación Interanual</w:t>
      </w:r>
      <w:r w:rsidRPr="00C82419">
        <w:t>*</w:t>
      </w:r>
    </w:p>
    <w:p w:rsidR="00F34749" w:rsidRDefault="00F34749" w:rsidP="00F34749">
      <w:pPr>
        <w:autoSpaceDE w:val="0"/>
        <w:autoSpaceDN w:val="0"/>
        <w:adjustRightInd w:val="0"/>
        <w:jc w:val="center"/>
        <w:rPr>
          <w:highlight w:val="yellow"/>
        </w:rPr>
      </w:pPr>
      <w:r>
        <w:rPr>
          <w:noProof/>
          <w:lang w:val="es-GT" w:eastAsia="es-GT"/>
        </w:rPr>
        <w:drawing>
          <wp:inline distT="0" distB="0" distL="0" distR="0" wp14:anchorId="5D07ECE1" wp14:editId="14175A3E">
            <wp:extent cx="5572125" cy="3267075"/>
            <wp:effectExtent l="0" t="0" r="0" b="0"/>
            <wp:docPr id="3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34749" w:rsidRPr="002B2326" w:rsidRDefault="000134B5" w:rsidP="00F34749">
      <w:pPr>
        <w:autoSpaceDE w:val="0"/>
        <w:autoSpaceDN w:val="0"/>
        <w:adjustRightInd w:val="0"/>
        <w:ind w:firstLine="708"/>
        <w:jc w:val="both"/>
        <w:rPr>
          <w:sz w:val="28"/>
        </w:rPr>
      </w:pPr>
      <w:r>
        <w:rPr>
          <w:noProof/>
          <w:sz w:val="18"/>
          <w:lang w:val="es-ES_tradnl"/>
        </w:rPr>
        <w:t>Fuente: Ministerio de Finanzas Públicas.</w:t>
      </w:r>
    </w:p>
    <w:p w:rsidR="00F34749" w:rsidRPr="002B2326" w:rsidRDefault="00F34749" w:rsidP="00F34749">
      <w:pPr>
        <w:pStyle w:val="Sinespaciado"/>
        <w:framePr w:hSpace="141" w:wrap="around" w:vAnchor="text" w:hAnchor="page" w:x="1645" w:y="21"/>
        <w:ind w:firstLine="708"/>
        <w:suppressOverlap/>
        <w:jc w:val="both"/>
        <w:rPr>
          <w:rFonts w:ascii="Times New Roman" w:hAnsi="Times New Roman"/>
          <w:sz w:val="18"/>
        </w:rPr>
      </w:pPr>
      <w:r w:rsidRPr="002B2326">
        <w:rPr>
          <w:rFonts w:ascii="Times New Roman" w:hAnsi="Times New Roman"/>
          <w:sz w:val="18"/>
        </w:rPr>
        <w:t>*Incluye amortizaciones de la deuda pública</w:t>
      </w:r>
    </w:p>
    <w:p w:rsidR="00F34749" w:rsidRDefault="00F34749" w:rsidP="00F34749">
      <w:pPr>
        <w:autoSpaceDE w:val="0"/>
        <w:autoSpaceDN w:val="0"/>
        <w:adjustRightInd w:val="0"/>
        <w:jc w:val="both"/>
      </w:pPr>
    </w:p>
    <w:p w:rsidR="000134B5" w:rsidRPr="00A262E1" w:rsidRDefault="000134B5" w:rsidP="00F34749">
      <w:pPr>
        <w:autoSpaceDE w:val="0"/>
        <w:autoSpaceDN w:val="0"/>
        <w:adjustRightInd w:val="0"/>
        <w:jc w:val="both"/>
        <w:rPr>
          <w:sz w:val="36"/>
        </w:rPr>
      </w:pPr>
    </w:p>
    <w:p w:rsidR="00F34749" w:rsidRDefault="00F34749" w:rsidP="00F34749">
      <w:pPr>
        <w:jc w:val="both"/>
      </w:pPr>
      <w:r w:rsidRPr="00537B7F">
        <w:t>A nivel de rubro de cuenta económica</w:t>
      </w:r>
      <w:r>
        <w:t xml:space="preserve"> acumulada a junio</w:t>
      </w:r>
      <w:r w:rsidRPr="00537B7F">
        <w:t>, el mayor crecimiento absoluto se reporta en los bienes y servicios con una ejecución mayor en Q</w:t>
      </w:r>
      <w:r w:rsidR="00D43215">
        <w:t>.</w:t>
      </w:r>
      <w:r w:rsidRPr="00537B7F">
        <w:t>2,118.6 millones (equivalente a un crecimiento interanual de 65.7%), explicado principalmente por un aumento de Q</w:t>
      </w:r>
      <w:r w:rsidR="00D43215">
        <w:t>.</w:t>
      </w:r>
      <w:r w:rsidRPr="00537B7F">
        <w:t>1,176.2 millones en el Ministerio de Salud Pública y Asistencia Social por un mayor gasto en los productos medicinales y farmacéuticos por Q</w:t>
      </w:r>
      <w:r w:rsidR="00D43215">
        <w:t>.</w:t>
      </w:r>
      <w:r w:rsidRPr="00537B7F">
        <w:t>653.1 millones, siendo en este renglón donde se registra la compra de la</w:t>
      </w:r>
      <w:r w:rsidR="00D43215">
        <w:t>s</w:t>
      </w:r>
      <w:r w:rsidRPr="00537B7F">
        <w:t xml:space="preserve"> vacuna</w:t>
      </w:r>
      <w:r w:rsidR="00D43215">
        <w:t>s</w:t>
      </w:r>
      <w:r w:rsidRPr="00537B7F">
        <w:t xml:space="preserve"> contra el COVID-19. Asimismo, los servicios médico-sanitarios reportan un aumento de Q</w:t>
      </w:r>
      <w:r w:rsidR="00A77D45">
        <w:t>.</w:t>
      </w:r>
      <w:r w:rsidRPr="00537B7F">
        <w:t>224.9 millones, además de las retribuciones por servicios profesionales y técnicos incluye pruebas de laboratorio, que contiene las asociadas al COVID-19. Otros renglones que reportan un crecimiento interanual importante son los otros estudios o servicios y los útiles menores, suministros e instrumental médico</w:t>
      </w:r>
      <w:r w:rsidR="00A77D45">
        <w:t>-</w:t>
      </w:r>
      <w:r w:rsidRPr="00537B7F">
        <w:t>quirúrgicos de laboratorio y cuidados de la salud, con Q</w:t>
      </w:r>
      <w:r w:rsidR="00A77D45">
        <w:t>.</w:t>
      </w:r>
      <w:r w:rsidRPr="00537B7F">
        <w:t>86.0 y Q</w:t>
      </w:r>
      <w:r w:rsidR="00A77D45">
        <w:t>.</w:t>
      </w:r>
      <w:r w:rsidRPr="00537B7F">
        <w:t>8</w:t>
      </w:r>
      <w:r w:rsidR="00A77D45">
        <w:t>4.1 millones, respectivamente.</w:t>
      </w:r>
    </w:p>
    <w:p w:rsidR="00F34749" w:rsidRPr="00537B7F" w:rsidRDefault="00F34749" w:rsidP="00F34749">
      <w:pPr>
        <w:jc w:val="both"/>
      </w:pPr>
    </w:p>
    <w:p w:rsidR="00F34749" w:rsidRPr="00537B7F" w:rsidRDefault="00F34749" w:rsidP="00F34749">
      <w:pPr>
        <w:jc w:val="both"/>
      </w:pPr>
      <w:r w:rsidRPr="00537B7F">
        <w:t>Por su parte, en el Ministerio de Comunicaciones, Infraestructura y Vivienda se reporta un crecimiento absoluto en el rubro de bienes y servicios por Q</w:t>
      </w:r>
      <w:r w:rsidR="00A77D45">
        <w:t>.</w:t>
      </w:r>
      <w:r w:rsidRPr="00537B7F">
        <w:t>498.5 millones (equivalente a 99.5%) como resultado de una mayor ejecución en el mantenimiento y reparación de edificios (Q</w:t>
      </w:r>
      <w:r w:rsidR="00A77D45">
        <w:t>.</w:t>
      </w:r>
      <w:r w:rsidRPr="00537B7F">
        <w:t>97.9 millones) y mantenimiento y reparación de bienes nacionales de uso común (Q</w:t>
      </w:r>
      <w:r w:rsidR="00A77D45">
        <w:t>.362.1 millones).</w:t>
      </w:r>
    </w:p>
    <w:p w:rsidR="00F34749" w:rsidRPr="00537B7F" w:rsidRDefault="00F34749" w:rsidP="00F34749">
      <w:pPr>
        <w:jc w:val="both"/>
      </w:pPr>
    </w:p>
    <w:p w:rsidR="00F34749" w:rsidRPr="00537B7F" w:rsidRDefault="00F34749" w:rsidP="00F34749">
      <w:pPr>
        <w:jc w:val="both"/>
      </w:pPr>
      <w:r w:rsidRPr="00537B7F">
        <w:t>Asimismo, en el Ministerio de Desarrollo Social, se reporta un aumento importante en el rubro de bienes y servicios, el cual responde a alimentos para personas por Q</w:t>
      </w:r>
      <w:r w:rsidR="00A06E74">
        <w:t>.</w:t>
      </w:r>
      <w:r w:rsidRPr="00537B7F">
        <w:t>115.1 millones y en el Ministerio de Agricultura, Ganadería y Alimentación el aumento en el mismo renglón es por Q</w:t>
      </w:r>
      <w:r w:rsidR="00A06E74">
        <w:t>.</w:t>
      </w:r>
      <w:r w:rsidRPr="00537B7F">
        <w:t xml:space="preserve">74.8 millones, la ejecución reportada en este renglón es importante, ya que corresponde a las bolsas de alimentos entregadas a familias en atención a la emergencia del COVID-19, ya que </w:t>
      </w:r>
      <w:r w:rsidRPr="00537B7F">
        <w:lastRenderedPageBreak/>
        <w:t xml:space="preserve">durante 2020 se entregó un anticipo al Programa Mundial de Alimentos (PMA) el cual está siendo regularizado, en el caso </w:t>
      </w:r>
      <w:r w:rsidR="00A06E74">
        <w:t xml:space="preserve">del Ministerio </w:t>
      </w:r>
      <w:r w:rsidRPr="00537B7F">
        <w:t xml:space="preserve">de Desarrollo Social, la regularización ya fue completada y en el caso </w:t>
      </w:r>
      <w:r w:rsidR="00A06E74">
        <w:t xml:space="preserve">del Ministerio </w:t>
      </w:r>
      <w:r w:rsidRPr="00537B7F">
        <w:t xml:space="preserve">de Agricultura, Ganadería y Alimentación, aún queda un </w:t>
      </w:r>
      <w:r w:rsidR="00A06E74">
        <w:t>saldo pendiente de regularizar.</w:t>
      </w:r>
    </w:p>
    <w:p w:rsidR="00F34749" w:rsidRPr="00537B7F" w:rsidRDefault="00F34749" w:rsidP="00F34749">
      <w:pPr>
        <w:jc w:val="both"/>
      </w:pPr>
    </w:p>
    <w:p w:rsidR="00F34749" w:rsidRPr="00537B7F" w:rsidRDefault="00F34749" w:rsidP="00F34749">
      <w:pPr>
        <w:jc w:val="both"/>
      </w:pPr>
      <w:r w:rsidRPr="00537B7F">
        <w:t>Por su parte, el Ministerio de Gobernación reporta un aumento de Q</w:t>
      </w:r>
      <w:r w:rsidR="00A06E74">
        <w:t>.</w:t>
      </w:r>
      <w:r w:rsidRPr="00537B7F">
        <w:t>90.4 millones en los bienes y servicios que corresponde a primas y gastos de seguros de fianzas y alimento</w:t>
      </w:r>
      <w:r w:rsidR="00A06E74">
        <w:t>s</w:t>
      </w:r>
      <w:r w:rsidRPr="00537B7F">
        <w:t xml:space="preserve"> para personas. En las </w:t>
      </w:r>
      <w:r w:rsidR="00A06E74">
        <w:t>O</w:t>
      </w:r>
      <w:r w:rsidRPr="00537B7F">
        <w:t>bligaciones</w:t>
      </w:r>
      <w:r w:rsidR="00A06E74">
        <w:t xml:space="preserve"> del Estado a Cargo del Tesoro</w:t>
      </w:r>
      <w:r w:rsidRPr="00537B7F">
        <w:t xml:space="preserve"> también se reporta un incremento de Q</w:t>
      </w:r>
      <w:r w:rsidR="00A06E74">
        <w:t>.</w:t>
      </w:r>
      <w:r w:rsidRPr="00537B7F">
        <w:t>73.9 millones, el cual se explica en gran medida por las comisiones a receptores fiscales y recaudadores, dado el buen desempeño de la recaudación tributaria, la Superintendencia de Administración Tributaria (SAT) está percibiendo una mayor cantidad de recursos.</w:t>
      </w:r>
    </w:p>
    <w:p w:rsidR="00F34749" w:rsidRPr="00537B7F" w:rsidRDefault="00F34749" w:rsidP="00F34749">
      <w:pPr>
        <w:jc w:val="both"/>
      </w:pPr>
    </w:p>
    <w:p w:rsidR="00F34749" w:rsidRPr="00537B7F" w:rsidRDefault="00F34749" w:rsidP="00F34749">
      <w:pPr>
        <w:jc w:val="both"/>
      </w:pPr>
      <w:r w:rsidRPr="00537B7F">
        <w:t>En lo que respecto a los intereses de la deuda interna y externa se dio un aumento de Q</w:t>
      </w:r>
      <w:r w:rsidR="00A06E74">
        <w:t>.</w:t>
      </w:r>
      <w:r w:rsidRPr="00537B7F">
        <w:t>755.0 millones (equivalente a un crecimiento de 15.7%). En la deuda interna se encuentra concentrado la mayor parte de dicho incremento con Q</w:t>
      </w:r>
      <w:r w:rsidR="00A06E74">
        <w:t>.</w:t>
      </w:r>
      <w:r w:rsidRPr="00537B7F">
        <w:t>580.4 millones, mientras que, en la deuda externa, los intereses de préstamos con organismos internacionales reportan una menor ejecución por Q</w:t>
      </w:r>
      <w:r w:rsidR="00A06E74">
        <w:t>.</w:t>
      </w:r>
      <w:r w:rsidRPr="00537B7F">
        <w:t>99.5 millones. Por su parte, los intereses de bonos externos correspondiente a la colocación de Eurobonos, reportan una ejecución mayor en Q</w:t>
      </w:r>
      <w:r w:rsidR="00A06E74">
        <w:t>.</w:t>
      </w:r>
      <w:r w:rsidRPr="00537B7F">
        <w:t>274.1 millones, producto de la colocación de dichos títulos en 2020.</w:t>
      </w:r>
    </w:p>
    <w:p w:rsidR="00F34749" w:rsidRPr="00537B7F" w:rsidRDefault="00F34749" w:rsidP="00F34749">
      <w:pPr>
        <w:jc w:val="both"/>
      </w:pPr>
    </w:p>
    <w:p w:rsidR="00F34749" w:rsidRDefault="00F34749" w:rsidP="00F34749">
      <w:pPr>
        <w:jc w:val="both"/>
      </w:pPr>
      <w:r w:rsidRPr="00537B7F">
        <w:t>En el rubro de las remuneraciones se reporta un crecimiento de 4.3%, siendo equivalente a una mayor ejecución en Q</w:t>
      </w:r>
      <w:r w:rsidR="00A06E74">
        <w:t>.</w:t>
      </w:r>
      <w:r w:rsidRPr="00537B7F">
        <w:t>532.5 millones a la reportada en 2020. El Ministerio de Educación reporta el mayor aumento absoluto, siendo de Q</w:t>
      </w:r>
      <w:r w:rsidR="00911CA0">
        <w:t>.</w:t>
      </w:r>
      <w:r w:rsidRPr="00537B7F">
        <w:t>286.2 millones (equivalente a 4.9%), esto se debe principalmente al crecimiento del renglón 017 “</w:t>
      </w:r>
      <w:r w:rsidR="00911CA0">
        <w:t>D</w:t>
      </w:r>
      <w:r w:rsidRPr="00537B7F">
        <w:t>erechos escalafonarios” en Q</w:t>
      </w:r>
      <w:r w:rsidR="00911CA0">
        <w:t>.</w:t>
      </w:r>
      <w:r w:rsidRPr="00537B7F">
        <w:t>171.3 millones y el renglón 011 “</w:t>
      </w:r>
      <w:r w:rsidR="00911CA0">
        <w:t>P</w:t>
      </w:r>
      <w:r w:rsidRPr="00537B7F">
        <w:t>ersonal permanente” en Q</w:t>
      </w:r>
      <w:r w:rsidR="00911CA0">
        <w:t>.113.8 millones.</w:t>
      </w:r>
    </w:p>
    <w:p w:rsidR="00911CA0" w:rsidRPr="00537B7F" w:rsidRDefault="00911CA0" w:rsidP="00F34749">
      <w:pPr>
        <w:jc w:val="both"/>
      </w:pPr>
    </w:p>
    <w:p w:rsidR="00F34749" w:rsidRPr="00537B7F" w:rsidRDefault="00F34749" w:rsidP="00F34749">
      <w:pPr>
        <w:jc w:val="both"/>
      </w:pPr>
      <w:r w:rsidRPr="00537B7F">
        <w:t>Otra entidad con aumento importante es el Ministerio de Salud Pública y Asistencia Social con Q</w:t>
      </w:r>
      <w:r w:rsidR="00911CA0">
        <w:t>.</w:t>
      </w:r>
      <w:r w:rsidRPr="00537B7F">
        <w:t>281.2 millones, estando concentrado el aumento en el complemento por antigüedad al personal permanente. Otras entidades con incrementos en las remuneraciones son</w:t>
      </w:r>
      <w:r w:rsidR="00911CA0">
        <w:t xml:space="preserve"> el Ministerio de</w:t>
      </w:r>
      <w:r w:rsidRPr="00537B7F">
        <w:t xml:space="preserve"> Comunicaciones, Infraestructura y Vivienda (Q</w:t>
      </w:r>
      <w:r w:rsidR="00911CA0">
        <w:t>.</w:t>
      </w:r>
      <w:r w:rsidRPr="00537B7F">
        <w:t xml:space="preserve">41.6 millones) y </w:t>
      </w:r>
      <w:r w:rsidR="00911CA0">
        <w:t xml:space="preserve">Ministerio de la </w:t>
      </w:r>
      <w:r w:rsidRPr="00537B7F">
        <w:t>Defensa Nacional (Q</w:t>
      </w:r>
      <w:r w:rsidR="00911CA0">
        <w:t>.</w:t>
      </w:r>
      <w:r w:rsidRPr="00537B7F">
        <w:t>33.7 millones).</w:t>
      </w:r>
    </w:p>
    <w:p w:rsidR="00F34749" w:rsidRPr="00537B7F" w:rsidRDefault="00F34749" w:rsidP="00F34749">
      <w:pPr>
        <w:jc w:val="both"/>
      </w:pPr>
    </w:p>
    <w:p w:rsidR="00F34749" w:rsidRPr="00537B7F" w:rsidRDefault="00F34749" w:rsidP="00F34749">
      <w:pPr>
        <w:jc w:val="both"/>
      </w:pPr>
      <w:r w:rsidRPr="00537B7F">
        <w:t>Por su parte, el Ministerio de Gobernación reporta una caída de Q</w:t>
      </w:r>
      <w:r w:rsidR="006A5B71">
        <w:t>.</w:t>
      </w:r>
      <w:r w:rsidRPr="00537B7F">
        <w:t xml:space="preserve">55.6 millones, explicado por una menor ejecución en los complementos específicos al personal permanente, remuneraciones de personal temporal y personal permanente, mientras </w:t>
      </w:r>
      <w:r w:rsidR="006A5B71">
        <w:t xml:space="preserve">que </w:t>
      </w:r>
      <w:r w:rsidRPr="00537B7F">
        <w:t xml:space="preserve">las </w:t>
      </w:r>
      <w:r w:rsidR="006A5B71">
        <w:t>S</w:t>
      </w:r>
      <w:r w:rsidRPr="00537B7F">
        <w:t>ecretar</w:t>
      </w:r>
      <w:r w:rsidR="006A5B71">
        <w:t>í</w:t>
      </w:r>
      <w:r w:rsidRPr="00537B7F">
        <w:t xml:space="preserve">as y </w:t>
      </w:r>
      <w:r w:rsidR="006A5B71">
        <w:t>O</w:t>
      </w:r>
      <w:r w:rsidRPr="00537B7F">
        <w:t xml:space="preserve">tras </w:t>
      </w:r>
      <w:r w:rsidR="006A5B71">
        <w:t>D</w:t>
      </w:r>
      <w:r w:rsidRPr="00537B7F">
        <w:t xml:space="preserve">ependencias del </w:t>
      </w:r>
      <w:r w:rsidR="006A5B71">
        <w:t>E</w:t>
      </w:r>
      <w:r w:rsidRPr="00537B7F">
        <w:t>jecutivo reportan una disminución de Q</w:t>
      </w:r>
      <w:r w:rsidR="006A5B71">
        <w:t>.</w:t>
      </w:r>
      <w:r w:rsidRPr="00537B7F">
        <w:t>41.1 millones, como resultado especialmente de una menor ejecución del renglón 029 “</w:t>
      </w:r>
      <w:r w:rsidR="006A5B71">
        <w:t>O</w:t>
      </w:r>
      <w:r w:rsidRPr="00537B7F">
        <w:t>tras remuneraciones de personal temporal”, con una variación interanual negativa de 25.8%.</w:t>
      </w:r>
    </w:p>
    <w:p w:rsidR="00F34749" w:rsidRPr="00537B7F" w:rsidRDefault="00F34749" w:rsidP="00F34749">
      <w:pPr>
        <w:jc w:val="both"/>
      </w:pPr>
    </w:p>
    <w:p w:rsidR="00F34749" w:rsidRPr="00537B7F" w:rsidRDefault="00F34749" w:rsidP="00F34749">
      <w:pPr>
        <w:jc w:val="both"/>
      </w:pPr>
      <w:r w:rsidRPr="00537B7F">
        <w:t>En el caso de las transferencias de capital, el crecimiento interanual fue de 5.6% (equivalente a Q</w:t>
      </w:r>
      <w:r w:rsidR="006A43F1">
        <w:t>.</w:t>
      </w:r>
      <w:r w:rsidRPr="00537B7F">
        <w:t>264.4 millones), siendo el crecimiento explicado por las transferencias al sector público que están aumentando en Q</w:t>
      </w:r>
      <w:r w:rsidR="006A43F1">
        <w:t>.</w:t>
      </w:r>
      <w:r w:rsidRPr="00537B7F">
        <w:t>282.1 millones, como resultado de un mayor traslado de recursos para los Consejos de Desarrollo Urbano y Rural (Q</w:t>
      </w:r>
      <w:r w:rsidR="006A43F1">
        <w:t>.</w:t>
      </w:r>
      <w:r w:rsidRPr="00537B7F">
        <w:t>376.9 millones). Por su parte, la</w:t>
      </w:r>
      <w:r w:rsidR="006A43F1">
        <w:t>s</w:t>
      </w:r>
      <w:r w:rsidRPr="00537B7F">
        <w:t xml:space="preserve"> transferencia</w:t>
      </w:r>
      <w:r w:rsidR="006A43F1">
        <w:t>s</w:t>
      </w:r>
      <w:r w:rsidRPr="00537B7F">
        <w:t xml:space="preserve"> a las municipalidades y a la Universidad de San Carlos </w:t>
      </w:r>
      <w:r w:rsidR="006A43F1">
        <w:t>son</w:t>
      </w:r>
      <w:r w:rsidRPr="00537B7F">
        <w:t xml:space="preserve"> menor</w:t>
      </w:r>
      <w:r w:rsidR="006A43F1">
        <w:t>es</w:t>
      </w:r>
      <w:r w:rsidRPr="00537B7F">
        <w:t xml:space="preserve"> en Q</w:t>
      </w:r>
      <w:r w:rsidR="006A43F1">
        <w:t>.</w:t>
      </w:r>
      <w:r w:rsidRPr="00537B7F">
        <w:t>66.1 millones y Q</w:t>
      </w:r>
      <w:r w:rsidR="006A43F1">
        <w:t>.</w:t>
      </w:r>
      <w:r w:rsidRPr="00537B7F">
        <w:t>45.1 millones, respectivamente.</w:t>
      </w:r>
    </w:p>
    <w:p w:rsidR="00F34749" w:rsidRDefault="00F34749" w:rsidP="00F34749">
      <w:pPr>
        <w:jc w:val="both"/>
      </w:pPr>
    </w:p>
    <w:p w:rsidR="00344EB7" w:rsidRDefault="00344EB7" w:rsidP="00F34749">
      <w:pPr>
        <w:jc w:val="both"/>
      </w:pPr>
    </w:p>
    <w:p w:rsidR="00344EB7" w:rsidRPr="00537B7F" w:rsidRDefault="00344EB7" w:rsidP="00F34749">
      <w:pPr>
        <w:jc w:val="both"/>
      </w:pPr>
    </w:p>
    <w:p w:rsidR="00F34749" w:rsidRPr="00537B7F" w:rsidRDefault="00F34749" w:rsidP="00F34749">
      <w:pPr>
        <w:jc w:val="both"/>
      </w:pPr>
      <w:r w:rsidRPr="00537B7F">
        <w:t>En las transferencias de capital al sector privado y externo dan cuenta de una disminución de Q</w:t>
      </w:r>
      <w:r w:rsidR="006A43F1">
        <w:t>.</w:t>
      </w:r>
      <w:r w:rsidRPr="00537B7F">
        <w:t>17.7 millones, explicado por una menor transferencia a personas individuales y unidades familiares en el Ministerio de Comunicaciones</w:t>
      </w:r>
      <w:r w:rsidR="006A43F1">
        <w:t>, Infraestructura y Vivienda</w:t>
      </w:r>
      <w:r w:rsidRPr="00537B7F">
        <w:t xml:space="preserve">. En cuanto a las prestaciones a la seguridad social, </w:t>
      </w:r>
      <w:r w:rsidR="006A43F1">
        <w:t>é</w:t>
      </w:r>
      <w:r w:rsidRPr="00537B7F">
        <w:t>st</w:t>
      </w:r>
      <w:r w:rsidR="006A43F1">
        <w:t>a</w:t>
      </w:r>
      <w:r w:rsidRPr="00537B7F">
        <w:t>s reportan un crecimiento interanual de 3.5%, equivalente a Q</w:t>
      </w:r>
      <w:r w:rsidR="006A43F1">
        <w:t>.</w:t>
      </w:r>
      <w:r w:rsidRPr="00537B7F">
        <w:t>84.2 millones.</w:t>
      </w:r>
    </w:p>
    <w:p w:rsidR="00F34749" w:rsidRPr="00A262E1" w:rsidRDefault="00F34749" w:rsidP="00F34749">
      <w:pPr>
        <w:jc w:val="both"/>
        <w:rPr>
          <w:sz w:val="32"/>
        </w:rPr>
      </w:pPr>
    </w:p>
    <w:p w:rsidR="00F34749" w:rsidRPr="00537B7F" w:rsidRDefault="00F34749" w:rsidP="00F34749">
      <w:pPr>
        <w:jc w:val="both"/>
      </w:pPr>
      <w:r w:rsidRPr="00537B7F">
        <w:t>Respecto al rubro de la inversión real directa, este reporta una mayor ejecución en Q</w:t>
      </w:r>
      <w:r w:rsidR="000E09CA">
        <w:t>.</w:t>
      </w:r>
      <w:r w:rsidRPr="00537B7F">
        <w:t>83.0 millones respecto a lo reportado en 2020 (equivalente a 6.2%). Las entidades que suman a este aumento son: el Ministerio de Comunicaciones</w:t>
      </w:r>
      <w:r w:rsidR="000E09CA">
        <w:t>, Infraestructura y Vivienda</w:t>
      </w:r>
      <w:r w:rsidRPr="00537B7F">
        <w:t xml:space="preserve"> por un mayor gasto en equipo de cómputo y estudios, investigaciones y proyectos de pre-factibilidad y factibilidad, el Ministerio de Salud Pública y Asistencia Social por mobiliario y equipo de oficina, </w:t>
      </w:r>
      <w:r w:rsidR="000E09CA">
        <w:t xml:space="preserve">el </w:t>
      </w:r>
      <w:r w:rsidRPr="00537B7F">
        <w:t>Ministerio de Educación por un mayor gasto en equipo de cómputo y el Ministerio de Desarrollo Social por mobiliario y equipo médi</w:t>
      </w:r>
      <w:r w:rsidR="000E09CA">
        <w:t>co-sanitario y de laboratorio.</w:t>
      </w:r>
    </w:p>
    <w:p w:rsidR="00F34749" w:rsidRPr="00A262E1" w:rsidRDefault="00F34749" w:rsidP="00F34749">
      <w:pPr>
        <w:jc w:val="both"/>
        <w:rPr>
          <w:sz w:val="32"/>
        </w:rPr>
      </w:pPr>
    </w:p>
    <w:p w:rsidR="00F34749" w:rsidRPr="00537B7F" w:rsidRDefault="00F34749" w:rsidP="00F34749">
      <w:pPr>
        <w:jc w:val="both"/>
      </w:pPr>
      <w:r w:rsidRPr="00537B7F">
        <w:t>Por su parte, la inversión financiera reportará una importante contracción durante el resto del año, a junio de 2020 se habían ejecutado Q</w:t>
      </w:r>
      <w:r w:rsidR="000E09CA">
        <w:t>.</w:t>
      </w:r>
      <w:r w:rsidRPr="00537B7F">
        <w:t>1,450.0 millones por concepto del Fondo para Capital de Trabajo y Fondo de Protección de Capitales, que correspondía a préstamos en condiciones blandas, dichas actividades han finalizado y no se enc</w:t>
      </w:r>
      <w:r w:rsidR="000E09CA">
        <w:t>uentran vigentes para 2021.</w:t>
      </w:r>
    </w:p>
    <w:p w:rsidR="00F34749" w:rsidRPr="00A262E1" w:rsidRDefault="00F34749" w:rsidP="00F34749">
      <w:pPr>
        <w:jc w:val="both"/>
        <w:rPr>
          <w:sz w:val="32"/>
        </w:rPr>
      </w:pPr>
    </w:p>
    <w:p w:rsidR="00F34749" w:rsidRDefault="00F34749" w:rsidP="00F34749">
      <w:pPr>
        <w:jc w:val="both"/>
      </w:pPr>
      <w:r>
        <w:t xml:space="preserve">Respecto </w:t>
      </w:r>
      <w:r w:rsidR="000E09CA">
        <w:t>de</w:t>
      </w:r>
      <w:r>
        <w:t xml:space="preserve"> </w:t>
      </w:r>
      <w:r w:rsidRPr="00537B7F">
        <w:t>las transferencias corrientes reportan una variación interanual negativa de 24.6% (equivalente a Q</w:t>
      </w:r>
      <w:r w:rsidR="000E09CA">
        <w:t>.</w:t>
      </w:r>
      <w:r w:rsidRPr="00537B7F">
        <w:t>2,269.8 millones). La caída se encuentra explicada por las transferencias al sector privado las cuales se contrajeron un 55.8% (equivalente a Q</w:t>
      </w:r>
      <w:r w:rsidR="000E09CA">
        <w:t>.</w:t>
      </w:r>
      <w:r w:rsidRPr="00537B7F">
        <w:t>2,580.2 millones), explicado por el Ministerio de Desarrollo Social y en el Ministerio de Economía, derivado que a junio de 2020 se encontraba en plena ejecución la transferencia de recursos por concepto del Bono Familia y el Fondo de Protección de Empleo</w:t>
      </w:r>
      <w:r w:rsidR="004329A4">
        <w:t>;</w:t>
      </w:r>
      <w:r w:rsidRPr="00537B7F">
        <w:t xml:space="preserve"> de esa cuenta este comportamiento en las transferencias al sector privado será recurrente durante el 2021. Asimismo, también se observa un menor dinamismo observado en las transferencias al sector privado por parte del Ministerio de Educación, la cual se redujo en Q</w:t>
      </w:r>
      <w:r w:rsidR="004329A4">
        <w:t>.</w:t>
      </w:r>
      <w:r w:rsidRPr="00537B7F">
        <w:t>314.7 millones, que responde a las transferencias a in</w:t>
      </w:r>
      <w:r w:rsidR="004329A4">
        <w:t>stituciones sin fines de lucro.</w:t>
      </w:r>
    </w:p>
    <w:p w:rsidR="00F34749" w:rsidRPr="00A262E1" w:rsidRDefault="00F34749" w:rsidP="00F34749">
      <w:pPr>
        <w:jc w:val="both"/>
        <w:rPr>
          <w:sz w:val="32"/>
        </w:rPr>
      </w:pPr>
    </w:p>
    <w:p w:rsidR="00F34749" w:rsidRPr="00E13749" w:rsidRDefault="00F34749" w:rsidP="00F34749">
      <w:pPr>
        <w:jc w:val="both"/>
      </w:pPr>
      <w:r w:rsidRPr="00537B7F">
        <w:t xml:space="preserve">En cuanto a las transferencias corrientes al sector público, </w:t>
      </w:r>
      <w:r w:rsidR="004329A4">
        <w:t>é</w:t>
      </w:r>
      <w:r w:rsidRPr="00537B7F">
        <w:t>stas reportan un aumento de Q</w:t>
      </w:r>
      <w:r w:rsidR="004329A4">
        <w:t>.</w:t>
      </w:r>
      <w:r w:rsidRPr="00537B7F">
        <w:t>280.9 millones, como resultado de la transferencia realizada por el Ministerio de Gobernación hacia el Instituto Guatemalteco de Migración por Q</w:t>
      </w:r>
      <w:r w:rsidR="004329A4">
        <w:t>.</w:t>
      </w:r>
      <w:r w:rsidRPr="00537B7F">
        <w:t>191.9 millones y la transferencia que se realiza a favor del Ministerio Público por Q</w:t>
      </w:r>
      <w:r w:rsidR="004329A4">
        <w:t>.</w:t>
      </w:r>
      <w:r w:rsidRPr="00537B7F">
        <w:t>131.7, lo que compensa en alguna medida la caída neta reportada en las transferencias corrientes.</w:t>
      </w:r>
    </w:p>
    <w:p w:rsidR="00F34749" w:rsidRDefault="00F34749"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A262E1" w:rsidRDefault="00A262E1" w:rsidP="00F34749">
      <w:pPr>
        <w:jc w:val="both"/>
        <w:rPr>
          <w:noProof/>
          <w:lang w:val="es-GT" w:eastAsia="es-GT"/>
        </w:rPr>
      </w:pPr>
    </w:p>
    <w:p w:rsidR="00F34749" w:rsidRPr="008E3A30" w:rsidRDefault="00F34749" w:rsidP="00F34749">
      <w:pPr>
        <w:pStyle w:val="Sinespaciado"/>
        <w:jc w:val="center"/>
      </w:pPr>
      <w:r>
        <w:rPr>
          <w:rFonts w:ascii="Times New Roman" w:hAnsi="Times New Roman"/>
          <w:b/>
          <w:lang w:val="es-MX"/>
        </w:rPr>
        <w:lastRenderedPageBreak/>
        <w:t>Gráfic</w:t>
      </w:r>
      <w:r w:rsidR="00030777">
        <w:rPr>
          <w:rFonts w:ascii="Times New Roman" w:hAnsi="Times New Roman"/>
          <w:b/>
          <w:lang w:val="es-MX"/>
        </w:rPr>
        <w:t>a 33</w:t>
      </w:r>
      <w:r>
        <w:rPr>
          <w:rFonts w:ascii="Times New Roman" w:hAnsi="Times New Roman"/>
          <w:b/>
          <w:lang w:val="es-MX"/>
        </w:rPr>
        <w:t xml:space="preserve">. </w:t>
      </w:r>
      <w:r w:rsidRPr="008E3A30">
        <w:rPr>
          <w:rFonts w:ascii="Times New Roman" w:hAnsi="Times New Roman"/>
          <w:b/>
          <w:lang w:val="es-MX"/>
        </w:rPr>
        <w:t>Ejecución por rubro de Cuenta Económica</w:t>
      </w:r>
    </w:p>
    <w:p w:rsidR="00F34749" w:rsidRPr="00030777" w:rsidRDefault="00F34749" w:rsidP="00F34749">
      <w:pPr>
        <w:pStyle w:val="Sinespaciado"/>
        <w:jc w:val="center"/>
        <w:rPr>
          <w:rFonts w:ascii="Times New Roman" w:hAnsi="Times New Roman"/>
          <w:b/>
          <w:sz w:val="22"/>
          <w:lang w:val="es-MX"/>
        </w:rPr>
      </w:pPr>
      <w:r w:rsidRPr="00030777">
        <w:rPr>
          <w:rFonts w:ascii="Times New Roman" w:hAnsi="Times New Roman"/>
          <w:b/>
          <w:sz w:val="22"/>
          <w:szCs w:val="18"/>
          <w:lang w:val="es-MX"/>
        </w:rPr>
        <w:t>2021 – 2020</w:t>
      </w:r>
    </w:p>
    <w:p w:rsidR="00F34749" w:rsidRPr="008E3A30" w:rsidRDefault="00F34749" w:rsidP="00F34749">
      <w:pPr>
        <w:pStyle w:val="Sinespaciado"/>
        <w:jc w:val="center"/>
        <w:rPr>
          <w:rFonts w:ascii="Times New Roman" w:hAnsi="Times New Roman"/>
          <w:sz w:val="18"/>
          <w:lang w:val="es-MX"/>
        </w:rPr>
      </w:pPr>
      <w:r w:rsidRPr="00030777">
        <w:rPr>
          <w:b/>
          <w:noProof/>
          <w:color w:val="003300"/>
          <w:sz w:val="22"/>
          <w:lang w:val="es-GT" w:eastAsia="es-GT"/>
        </w:rPr>
        <w:drawing>
          <wp:anchor distT="0" distB="0" distL="114300" distR="114300" simplePos="0" relativeHeight="251673600" behindDoc="0" locked="0" layoutInCell="1" allowOverlap="1" wp14:anchorId="1A431C91" wp14:editId="1BABA731">
            <wp:simplePos x="0" y="0"/>
            <wp:positionH relativeFrom="column">
              <wp:posOffset>329565</wp:posOffset>
            </wp:positionH>
            <wp:positionV relativeFrom="paragraph">
              <wp:posOffset>193040</wp:posOffset>
            </wp:positionV>
            <wp:extent cx="5353050" cy="3190875"/>
            <wp:effectExtent l="0" t="0" r="0" b="0"/>
            <wp:wrapSquare wrapText="bothSides"/>
            <wp:docPr id="24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030777">
        <w:rPr>
          <w:rFonts w:ascii="Times New Roman" w:hAnsi="Times New Roman"/>
          <w:b/>
          <w:sz w:val="22"/>
          <w:lang w:val="es-MX"/>
        </w:rPr>
        <w:t xml:space="preserve">Variación </w:t>
      </w:r>
      <w:r w:rsidR="00A262E1">
        <w:rPr>
          <w:rFonts w:ascii="Times New Roman" w:hAnsi="Times New Roman"/>
          <w:b/>
          <w:sz w:val="22"/>
          <w:lang w:val="es-MX"/>
        </w:rPr>
        <w:t>A</w:t>
      </w:r>
      <w:r w:rsidRPr="00030777">
        <w:rPr>
          <w:rFonts w:ascii="Times New Roman" w:hAnsi="Times New Roman"/>
          <w:b/>
          <w:sz w:val="22"/>
          <w:lang w:val="es-MX"/>
        </w:rPr>
        <w:t xml:space="preserve">bsoluta </w:t>
      </w:r>
      <w:r w:rsidR="00A262E1">
        <w:rPr>
          <w:rFonts w:ascii="Times New Roman" w:hAnsi="Times New Roman"/>
          <w:b/>
          <w:sz w:val="22"/>
          <w:lang w:val="es-MX"/>
        </w:rPr>
        <w:t>I</w:t>
      </w:r>
      <w:r w:rsidRPr="00030777">
        <w:rPr>
          <w:rFonts w:ascii="Times New Roman" w:hAnsi="Times New Roman"/>
          <w:b/>
          <w:sz w:val="22"/>
          <w:lang w:val="es-MX"/>
        </w:rPr>
        <w:t>nteranual</w:t>
      </w:r>
    </w:p>
    <w:p w:rsidR="00F34749" w:rsidRPr="00E13749" w:rsidRDefault="000134B5" w:rsidP="00F34749">
      <w:pPr>
        <w:ind w:firstLine="708"/>
        <w:jc w:val="both"/>
        <w:rPr>
          <w:noProof/>
          <w:sz w:val="16"/>
          <w:szCs w:val="16"/>
          <w:lang w:val="es-GT" w:eastAsia="es-GT"/>
        </w:rPr>
      </w:pPr>
      <w:r>
        <w:rPr>
          <w:noProof/>
          <w:sz w:val="18"/>
          <w:lang w:val="es-ES_tradnl"/>
        </w:rPr>
        <w:t>Fuente: Ministerio de Finanzas Públicas.</w:t>
      </w:r>
    </w:p>
    <w:p w:rsidR="00F34749" w:rsidRPr="00E82178" w:rsidRDefault="00F34749" w:rsidP="00F34749">
      <w:pPr>
        <w:rPr>
          <w:lang w:val="es-GT" w:eastAsia="es-GT"/>
        </w:rPr>
      </w:pPr>
    </w:p>
    <w:p w:rsidR="00F34749" w:rsidRDefault="00F34749" w:rsidP="00F34749">
      <w:pPr>
        <w:autoSpaceDE w:val="0"/>
        <w:autoSpaceDN w:val="0"/>
        <w:adjustRightInd w:val="0"/>
        <w:jc w:val="both"/>
      </w:pPr>
      <w:r w:rsidRPr="008C2F5C">
        <w:t>Para finales de 2021, se esperaría que la variación interanual del gasto público total sea negativa</w:t>
      </w:r>
      <w:r>
        <w:t xml:space="preserve"> en 4.3%</w:t>
      </w:r>
      <w:r w:rsidRPr="008C2F5C">
        <w:t xml:space="preserve">, </w:t>
      </w:r>
      <w:r>
        <w:t xml:space="preserve">sin incluir las amortizaciones de la deuda pública, ya que </w:t>
      </w:r>
      <w:r w:rsidRPr="008C2F5C">
        <w:t>la ejecución quedaría por debajo de lo observado en 2020</w:t>
      </w:r>
      <w:r w:rsidR="004329A4">
        <w:t>,</w:t>
      </w:r>
      <w:r w:rsidRPr="008C2F5C">
        <w:t xml:space="preserve"> cuando se ubicó en Q</w:t>
      </w:r>
      <w:r w:rsidR="004329A4">
        <w:t>.</w:t>
      </w:r>
      <w:r w:rsidRPr="008C2F5C">
        <w:t>9</w:t>
      </w:r>
      <w:r>
        <w:t>3</w:t>
      </w:r>
      <w:r w:rsidRPr="008C2F5C">
        <w:t>,5</w:t>
      </w:r>
      <w:r>
        <w:t>29</w:t>
      </w:r>
      <w:r w:rsidRPr="008C2F5C">
        <w:t>.</w:t>
      </w:r>
      <w:r>
        <w:t>0</w:t>
      </w:r>
      <w:r w:rsidRPr="008C2F5C">
        <w:t xml:space="preserve"> millones, es decir, alrededor de Q</w:t>
      </w:r>
      <w:r w:rsidR="004329A4">
        <w:t>.</w:t>
      </w:r>
      <w:r w:rsidRPr="008C2F5C">
        <w:t>4,</w:t>
      </w:r>
      <w:r>
        <w:t>052</w:t>
      </w:r>
      <w:r w:rsidRPr="008C2F5C">
        <w:t>.</w:t>
      </w:r>
      <w:r>
        <w:t>1</w:t>
      </w:r>
      <w:r w:rsidRPr="008C2F5C">
        <w:t xml:space="preserve"> millones menos.</w:t>
      </w:r>
    </w:p>
    <w:p w:rsidR="00F34749" w:rsidRDefault="00F34749" w:rsidP="00F34749">
      <w:pPr>
        <w:autoSpaceDE w:val="0"/>
        <w:autoSpaceDN w:val="0"/>
        <w:adjustRightInd w:val="0"/>
        <w:jc w:val="both"/>
      </w:pPr>
    </w:p>
    <w:p w:rsidR="00F34749" w:rsidRPr="00596AD4" w:rsidRDefault="00F34749" w:rsidP="00F34749">
      <w:pPr>
        <w:jc w:val="both"/>
        <w:rPr>
          <w:lang w:val="af-ZA"/>
        </w:rPr>
      </w:pPr>
      <w:r w:rsidRPr="00C03836">
        <w:t xml:space="preserve">En línea con lo que fue anunciado por el </w:t>
      </w:r>
      <w:r w:rsidR="004329A4">
        <w:t xml:space="preserve">Organismo </w:t>
      </w:r>
      <w:r w:rsidRPr="00C03836">
        <w:t xml:space="preserve">Ejecutivo a principio de año, los gastos que estarían creciendo de forma importante </w:t>
      </w:r>
      <w:r>
        <w:t xml:space="preserve">al cierre de </w:t>
      </w:r>
      <w:r w:rsidRPr="00C03836">
        <w:t xml:space="preserve">2021 serían la inversión real directa (51.8%) </w:t>
      </w:r>
      <w:r w:rsidRPr="00C03836">
        <w:rPr>
          <w:lang w:val="af-ZA"/>
        </w:rPr>
        <w:t xml:space="preserve">y los bienes y servicios (12.7%). Otro rubro de gasto con un aumento importante serían los intereses de la deuda pública (15.8%), explicado en una buena medida por </w:t>
      </w:r>
      <w:r>
        <w:rPr>
          <w:lang w:val="af-ZA"/>
        </w:rPr>
        <w:t>el aumento en la</w:t>
      </w:r>
      <w:r w:rsidRPr="00C03836">
        <w:rPr>
          <w:lang w:val="af-ZA"/>
        </w:rPr>
        <w:t xml:space="preserve"> deuda interna. Hay que considerar que en 2020 se incurrió en un alto nivel de endeudamiento para hacer frente a las necesidades de gasto por la coyuntura de dicho</w:t>
      </w:r>
      <w:r>
        <w:rPr>
          <w:lang w:val="af-ZA"/>
        </w:rPr>
        <w:t xml:space="preserve"> </w:t>
      </w:r>
      <w:r w:rsidRPr="00C03836">
        <w:rPr>
          <w:lang w:val="af-ZA"/>
        </w:rPr>
        <w:t>año y por ende el saldo de la deuda pública creció, de esa cuenta el pago de los intereses aumenta a pesar de las condiciones favorables de colocación y la reducción de la tasa de interés promedio de la deuda bonificada.</w:t>
      </w:r>
      <w:r w:rsidRPr="00C03836">
        <w:t xml:space="preserve"> </w:t>
      </w:r>
      <w:r w:rsidRPr="00C03836">
        <w:rPr>
          <w:lang w:val="af-ZA"/>
        </w:rPr>
        <w:t>Adicionalmente, las transferencias de capital estarían creciendo en 6.6%, las remuneraciones en 5.7% y las prestaciones a la seguridad social en 4.3%.</w:t>
      </w:r>
    </w:p>
    <w:p w:rsidR="00F34749" w:rsidRPr="00C456C1" w:rsidRDefault="00F34749" w:rsidP="00F34749">
      <w:pPr>
        <w:jc w:val="both"/>
        <w:rPr>
          <w:lang w:val="af-ZA"/>
        </w:rPr>
      </w:pPr>
    </w:p>
    <w:p w:rsidR="00F34749" w:rsidRDefault="00F34749" w:rsidP="00F34749">
      <w:pPr>
        <w:jc w:val="both"/>
      </w:pPr>
      <w:r>
        <w:t xml:space="preserve">Por su parte, los rubros de gasto que estarían reportando una contracción importante en 2021 son la inversión financiera (-99.5%) y las transferencias corrientes (-34.8%). En el caso de la inversión financiera, la contracción es significativa debido a que el Fondo de Crédito de Capital de Trabajo, Fondo de Protección de Capitales y el Fondo para la Micro, </w:t>
      </w:r>
      <w:r w:rsidR="00401886">
        <w:t>P</w:t>
      </w:r>
      <w:r>
        <w:t xml:space="preserve">equeñas y </w:t>
      </w:r>
      <w:r w:rsidR="00401886">
        <w:t>M</w:t>
      </w:r>
      <w:r>
        <w:t xml:space="preserve">edianas Empresas ya no se encuentran vigentes en 2021, esto correspondió a la concesión de préstamos para coadyuvar al acceso de recursos en condiciones blandas para la atención </w:t>
      </w:r>
      <w:r w:rsidR="00401886">
        <w:t>de</w:t>
      </w:r>
      <w:r>
        <w:t xml:space="preserve"> los efectos del COVID-19 en el sector privado. Por su parte, la reducción de las transferencias corrientes se encuentra</w:t>
      </w:r>
      <w:r w:rsidR="00401886">
        <w:t>n</w:t>
      </w:r>
      <w:r>
        <w:t xml:space="preserve"> focalizadas principalmente en las transferencias privadas, dado que el Bono Familia </w:t>
      </w:r>
      <w:r>
        <w:lastRenderedPageBreak/>
        <w:t>y el Fondo de Protección de Empleo fueron actividades desarrolladas y concluidas en 2020 con una ejecución del 100%.</w:t>
      </w:r>
    </w:p>
    <w:p w:rsidR="00F34749" w:rsidRDefault="00F34749" w:rsidP="00F34749">
      <w:pPr>
        <w:jc w:val="both"/>
      </w:pPr>
    </w:p>
    <w:p w:rsidR="00F34749" w:rsidRDefault="00F34749" w:rsidP="00F34749">
      <w:pPr>
        <w:jc w:val="both"/>
      </w:pPr>
      <w:r w:rsidRPr="004133EB">
        <w:t>Estos resultados en términos del PIB muestran un</w:t>
      </w:r>
      <w:r>
        <w:t>a caída dado</w:t>
      </w:r>
      <w:r w:rsidRPr="004133EB">
        <w:t xml:space="preserve"> que el gasto corriente pasaría de 1</w:t>
      </w:r>
      <w:r>
        <w:t>2</w:t>
      </w:r>
      <w:r w:rsidRPr="004133EB">
        <w:t>.</w:t>
      </w:r>
      <w:r>
        <w:t>6% en 2020</w:t>
      </w:r>
      <w:r w:rsidRPr="004133EB">
        <w:t xml:space="preserve"> a 1</w:t>
      </w:r>
      <w:r>
        <w:t>1</w:t>
      </w:r>
      <w:r w:rsidRPr="004133EB">
        <w:t>.</w:t>
      </w:r>
      <w:r>
        <w:t>2</w:t>
      </w:r>
      <w:r w:rsidRPr="004133EB">
        <w:t>% en 202</w:t>
      </w:r>
      <w:r>
        <w:t>1</w:t>
      </w:r>
      <w:r w:rsidRPr="004133EB">
        <w:t>. En el caso d</w:t>
      </w:r>
      <w:r>
        <w:t>el gasto de capital, pasaría de 3</w:t>
      </w:r>
      <w:r w:rsidRPr="004133EB">
        <w:t>.</w:t>
      </w:r>
      <w:r>
        <w:t>0</w:t>
      </w:r>
      <w:r w:rsidRPr="004133EB">
        <w:t>% en 2</w:t>
      </w:r>
      <w:r>
        <w:t xml:space="preserve">020 </w:t>
      </w:r>
      <w:r w:rsidRPr="004133EB">
        <w:t>a 2</w:t>
      </w:r>
      <w:r>
        <w:t>.6% en 2021</w:t>
      </w:r>
      <w:r w:rsidRPr="004133EB">
        <w:t>. Es decir, el</w:t>
      </w:r>
      <w:r>
        <w:t xml:space="preserve"> gasto público estaría contrayéndose 1</w:t>
      </w:r>
      <w:r w:rsidRPr="004133EB">
        <w:t>.</w:t>
      </w:r>
      <w:r>
        <w:t>7</w:t>
      </w:r>
      <w:r w:rsidRPr="004133EB">
        <w:t>% en términos del PIB, hasta ubicarse en 1</w:t>
      </w:r>
      <w:r>
        <w:t>3</w:t>
      </w:r>
      <w:r w:rsidRPr="004133EB">
        <w:t>.</w:t>
      </w:r>
      <w:r>
        <w:t>9</w:t>
      </w:r>
      <w:r w:rsidRPr="004133EB">
        <w:t>%. Es importante considerar que</w:t>
      </w:r>
      <w:r>
        <w:t xml:space="preserve"> este nivel de gasto público a pesar de ser menor a los valores reportados en 2020, se ubica por arriba del 2019, y el gasto público se mantendría en niveles que se podrían considerar a</w:t>
      </w:r>
      <w:r w:rsidR="00653B25">
        <w:t>ú</w:t>
      </w:r>
      <w:r>
        <w:t xml:space="preserve">n elevados, esto debido a que la </w:t>
      </w:r>
      <w:r w:rsidRPr="004133EB">
        <w:t>coyuntura de la pandemia</w:t>
      </w:r>
      <w:r>
        <w:t xml:space="preserve"> hace necesario que aún se mantenga cierta intervención por parte de la política fiscal.</w:t>
      </w:r>
    </w:p>
    <w:p w:rsidR="00F34749" w:rsidRDefault="00F34749" w:rsidP="00F34749">
      <w:pPr>
        <w:jc w:val="both"/>
      </w:pPr>
    </w:p>
    <w:p w:rsidR="00A262E1" w:rsidRDefault="00A262E1" w:rsidP="00F34749">
      <w:pPr>
        <w:jc w:val="both"/>
      </w:pPr>
    </w:p>
    <w:p w:rsidR="00030777" w:rsidRDefault="00030777" w:rsidP="00F34749">
      <w:pPr>
        <w:jc w:val="center"/>
        <w:rPr>
          <w:b/>
        </w:rPr>
      </w:pPr>
      <w:r>
        <w:rPr>
          <w:b/>
        </w:rPr>
        <w:t>Cuadro 2</w:t>
      </w:r>
      <w:r w:rsidR="00A262E1">
        <w:rPr>
          <w:b/>
        </w:rPr>
        <w:t>2</w:t>
      </w:r>
    </w:p>
    <w:p w:rsidR="00F34749" w:rsidRDefault="00F34749" w:rsidP="00F34749">
      <w:pPr>
        <w:jc w:val="center"/>
        <w:rPr>
          <w:b/>
        </w:rPr>
      </w:pPr>
      <w:r w:rsidRPr="00E13749">
        <w:rPr>
          <w:b/>
        </w:rPr>
        <w:t>Gasto Total</w:t>
      </w:r>
    </w:p>
    <w:p w:rsidR="00F34749" w:rsidRDefault="00F34749" w:rsidP="00F34749">
      <w:pPr>
        <w:jc w:val="center"/>
        <w:rPr>
          <w:b/>
        </w:rPr>
      </w:pPr>
      <w:r>
        <w:rPr>
          <w:b/>
        </w:rPr>
        <w:t>Presupuesto – Estimación 2021</w:t>
      </w:r>
    </w:p>
    <w:p w:rsidR="00F34749" w:rsidRPr="00030777" w:rsidRDefault="00F34749" w:rsidP="00F34749">
      <w:pPr>
        <w:jc w:val="center"/>
        <w:rPr>
          <w:b/>
        </w:rPr>
      </w:pPr>
      <w:r w:rsidRPr="00030777">
        <w:rPr>
          <w:b/>
          <w:noProof/>
          <w:lang w:val="es-GT" w:eastAsia="es-GT"/>
        </w:rPr>
        <w:drawing>
          <wp:anchor distT="0" distB="0" distL="114300" distR="114300" simplePos="0" relativeHeight="251674624" behindDoc="0" locked="0" layoutInCell="1" allowOverlap="1" wp14:anchorId="3DDD7DCD" wp14:editId="752FEB20">
            <wp:simplePos x="0" y="0"/>
            <wp:positionH relativeFrom="column">
              <wp:posOffset>243840</wp:posOffset>
            </wp:positionH>
            <wp:positionV relativeFrom="paragraph">
              <wp:posOffset>201295</wp:posOffset>
            </wp:positionV>
            <wp:extent cx="5629275" cy="3996690"/>
            <wp:effectExtent l="0" t="0" r="9525" b="3810"/>
            <wp:wrapSquare wrapText="bothSides"/>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t="14404"/>
                    <a:stretch/>
                  </pic:blipFill>
                  <pic:spPr bwMode="auto">
                    <a:xfrm>
                      <a:off x="0" y="0"/>
                      <a:ext cx="5629275" cy="3996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0777" w:rsidRPr="00030777">
        <w:rPr>
          <w:b/>
        </w:rPr>
        <w:t xml:space="preserve">(En </w:t>
      </w:r>
      <w:r w:rsidRPr="00030777">
        <w:rPr>
          <w:b/>
        </w:rPr>
        <w:t xml:space="preserve">Millones de </w:t>
      </w:r>
      <w:r w:rsidR="00653B25" w:rsidRPr="00030777">
        <w:rPr>
          <w:b/>
        </w:rPr>
        <w:t>Q</w:t>
      </w:r>
      <w:r w:rsidRPr="00030777">
        <w:rPr>
          <w:b/>
        </w:rPr>
        <w:t>uetzales</w:t>
      </w:r>
      <w:r w:rsidR="00030777" w:rsidRPr="00030777">
        <w:rPr>
          <w:b/>
        </w:rPr>
        <w:t>)</w:t>
      </w:r>
    </w:p>
    <w:p w:rsidR="00F34749" w:rsidRPr="00653B25" w:rsidRDefault="000134B5" w:rsidP="00F34749">
      <w:pPr>
        <w:ind w:firstLine="567"/>
        <w:rPr>
          <w:sz w:val="18"/>
        </w:rPr>
      </w:pPr>
      <w:r>
        <w:rPr>
          <w:noProof/>
          <w:sz w:val="18"/>
          <w:lang w:val="es-ES_tradnl"/>
        </w:rPr>
        <w:t>Fuente: Ministerio de Finanzas Públicas.</w:t>
      </w:r>
    </w:p>
    <w:p w:rsidR="00653B25" w:rsidRPr="00A262E1" w:rsidRDefault="00653B25" w:rsidP="00F34749">
      <w:pPr>
        <w:ind w:firstLine="567"/>
      </w:pPr>
    </w:p>
    <w:p w:rsidR="00653B25" w:rsidRDefault="00653B25" w:rsidP="00F34749">
      <w:pPr>
        <w:ind w:firstLine="567"/>
      </w:pPr>
    </w:p>
    <w:p w:rsidR="00A262E1" w:rsidRDefault="00A262E1" w:rsidP="00F34749">
      <w:pPr>
        <w:ind w:firstLine="567"/>
      </w:pPr>
    </w:p>
    <w:p w:rsidR="00A262E1" w:rsidRDefault="00A262E1" w:rsidP="00F34749">
      <w:pPr>
        <w:ind w:firstLine="567"/>
      </w:pPr>
    </w:p>
    <w:p w:rsidR="00A262E1" w:rsidRDefault="00A262E1" w:rsidP="00F34749">
      <w:pPr>
        <w:ind w:firstLine="567"/>
      </w:pPr>
    </w:p>
    <w:p w:rsidR="00A262E1" w:rsidRPr="00A262E1" w:rsidRDefault="00A262E1" w:rsidP="00F34749">
      <w:pPr>
        <w:ind w:firstLine="567"/>
      </w:pPr>
    </w:p>
    <w:p w:rsidR="00F34749" w:rsidRPr="00E13749" w:rsidRDefault="00F34749" w:rsidP="004C636B">
      <w:pPr>
        <w:pStyle w:val="Ttulo3"/>
        <w:numPr>
          <w:ilvl w:val="1"/>
          <w:numId w:val="9"/>
        </w:numPr>
        <w:spacing w:before="0"/>
        <w:ind w:left="426"/>
        <w:rPr>
          <w:rFonts w:ascii="Times New Roman" w:hAnsi="Times New Roman"/>
          <w:color w:val="auto"/>
        </w:rPr>
      </w:pPr>
      <w:bookmarkStart w:id="60" w:name="_Toc81388552"/>
      <w:bookmarkStart w:id="61" w:name="_Toc83713646"/>
      <w:r w:rsidRPr="00E13749">
        <w:rPr>
          <w:rFonts w:ascii="Times New Roman" w:hAnsi="Times New Roman"/>
          <w:color w:val="auto"/>
        </w:rPr>
        <w:lastRenderedPageBreak/>
        <w:t>Gasto Institucional</w:t>
      </w:r>
      <w:bookmarkEnd w:id="60"/>
      <w:bookmarkEnd w:id="61"/>
    </w:p>
    <w:p w:rsidR="00F34749" w:rsidRPr="00A262E1" w:rsidRDefault="00F34749" w:rsidP="00F34749">
      <w:pPr>
        <w:autoSpaceDE w:val="0"/>
        <w:autoSpaceDN w:val="0"/>
        <w:adjustRightInd w:val="0"/>
        <w:contextualSpacing/>
        <w:jc w:val="both"/>
        <w:rPr>
          <w:b/>
          <w:sz w:val="28"/>
        </w:rPr>
      </w:pPr>
    </w:p>
    <w:p w:rsidR="00F34749" w:rsidRDefault="00F34749" w:rsidP="00F34749">
      <w:pPr>
        <w:jc w:val="both"/>
      </w:pPr>
      <w:r>
        <w:t>E</w:t>
      </w:r>
      <w:r w:rsidRPr="00C9394F">
        <w:t>l gasto total se situó en Q</w:t>
      </w:r>
      <w:r w:rsidR="00653B25">
        <w:t>.</w:t>
      </w:r>
      <w:r w:rsidRPr="00C9394F">
        <w:t>41,408.5 millones, con un grado de ejecución de 38.5% y una variación interanual de 0.3%. Este grado de ejecución se encuentra por abajo de la ejecución promedio de los últimos 5 años (40.7%) y es inferior a la reportada en cada uno de los años previos, a excepción del 2020, cuando el grado de ejecución fue de 38.3%, derivado que se tenía un presupuesto alto por las ampliaciones presupuestarias por la coyuntura de la pandemia</w:t>
      </w:r>
      <w:r w:rsidR="00653B25">
        <w:t xml:space="preserve"> del COVID-19.</w:t>
      </w:r>
    </w:p>
    <w:p w:rsidR="00F34749" w:rsidRPr="00A262E1" w:rsidRDefault="00F34749" w:rsidP="00F34749">
      <w:pPr>
        <w:jc w:val="both"/>
        <w:rPr>
          <w:sz w:val="28"/>
        </w:rPr>
      </w:pPr>
    </w:p>
    <w:p w:rsidR="00F34749" w:rsidRPr="00C9394F" w:rsidRDefault="00F34749" w:rsidP="00F34749">
      <w:pPr>
        <w:jc w:val="both"/>
      </w:pPr>
      <w:r w:rsidRPr="00C9394F">
        <w:t>En 2021 por esta misma razón, el grado de ejecución se percibe bajo, por el efecto de contar con un presupuesto vigente de Q</w:t>
      </w:r>
      <w:r w:rsidR="00653B25">
        <w:t>.</w:t>
      </w:r>
      <w:r w:rsidRPr="00C9394F">
        <w:t>107,521.5 millones, el cual responde</w:t>
      </w:r>
      <w:r>
        <w:t xml:space="preserve"> a la coyuntura del año pasado. </w:t>
      </w:r>
      <w:r w:rsidRPr="00C9394F">
        <w:t xml:space="preserve">Tomando en consideración el presupuesto operativo anunciado por el </w:t>
      </w:r>
      <w:r w:rsidR="00653B25">
        <w:t xml:space="preserve">Organismo </w:t>
      </w:r>
      <w:r w:rsidRPr="00C9394F">
        <w:t>Ejecutivo (Q</w:t>
      </w:r>
      <w:r w:rsidR="00653B25">
        <w:t>.</w:t>
      </w:r>
      <w:r w:rsidRPr="00C9394F">
        <w:t>94,354.0 millones) una ejecución más realista podría ubicarse en 43.9%, siendo superior al promedio de los últimos 5 años y a cada uno de los años anteriores.</w:t>
      </w:r>
    </w:p>
    <w:p w:rsidR="00F34749" w:rsidRPr="00A262E1" w:rsidRDefault="00F34749" w:rsidP="00F34749">
      <w:pPr>
        <w:jc w:val="both"/>
        <w:rPr>
          <w:sz w:val="28"/>
        </w:rPr>
      </w:pPr>
    </w:p>
    <w:p w:rsidR="00F34749" w:rsidRDefault="00F34749" w:rsidP="00F34749">
      <w:pPr>
        <w:jc w:val="both"/>
      </w:pPr>
      <w:r w:rsidRPr="00A353BB">
        <w:t xml:space="preserve">A nivel del gasto público por entidades, muestran el mayor nivel de ejecución la PGN (52.9%), Deuda Pública (48.5%), Salud Pública (46.5%), Gobernación (45.4%), Educación (44.7%), Trabajo (43.4%), Ambiente (41.0%), </w:t>
      </w:r>
      <w:r w:rsidR="001D5C00">
        <w:t>Relaciones Exteriores</w:t>
      </w:r>
      <w:r w:rsidRPr="00A353BB">
        <w:t xml:space="preserve"> (33.1%), Comunicaciones (38.9%) y Finanzas (38.6%), todas estas entidades se encuentran por arriba de la ejecución institucional total. Por su parte, el resto de las entidades se encuentran por debajo de la ejecución total, resalta el caso de dos entidades, siendo las Obligaciones del Estado</w:t>
      </w:r>
      <w:r w:rsidR="00EE76EA">
        <w:t xml:space="preserve"> a Cargo del Tesoro</w:t>
      </w:r>
      <w:r w:rsidRPr="00A353BB">
        <w:t xml:space="preserve"> (30.0%) y </w:t>
      </w:r>
      <w:r w:rsidR="00EE76EA">
        <w:t xml:space="preserve">Ministerio de </w:t>
      </w:r>
      <w:r w:rsidRPr="00A353BB">
        <w:t>Economía (30.0%).</w:t>
      </w:r>
    </w:p>
    <w:p w:rsidR="00F34749" w:rsidRPr="00A262E1" w:rsidRDefault="00F34749" w:rsidP="00F34749">
      <w:pPr>
        <w:jc w:val="both"/>
        <w:rPr>
          <w:sz w:val="28"/>
        </w:rPr>
      </w:pPr>
    </w:p>
    <w:p w:rsidR="00F34749" w:rsidRPr="00A353BB" w:rsidRDefault="00F34749" w:rsidP="00F34749">
      <w:pPr>
        <w:jc w:val="both"/>
      </w:pPr>
      <w:r w:rsidRPr="00A353BB">
        <w:t xml:space="preserve">A principios de junio, se publicó el Acuerdo Gubernativo de Presupuesto </w:t>
      </w:r>
      <w:r w:rsidR="004B0F21">
        <w:t xml:space="preserve">No. </w:t>
      </w:r>
      <w:r w:rsidRPr="00A353BB">
        <w:t>03-2021, en el cual se realiza un reordenamiento del Presupuesto de Egresos del Estado</w:t>
      </w:r>
      <w:r w:rsidR="004B0F21">
        <w:t>;</w:t>
      </w:r>
      <w:r w:rsidRPr="00A353BB">
        <w:t xml:space="preserve"> se identificaron Q</w:t>
      </w:r>
      <w:r w:rsidR="004B0F21">
        <w:t>.</w:t>
      </w:r>
      <w:r w:rsidRPr="00A353BB">
        <w:t>11,249.5 millones en asignaciones inmovilizadas, es decir, que no cuentan con respaldo financiero, en virtud que cumplieron los fines establecidos en la normativa legal correspondiente (ejercicio fiscal 2020). En el caso de las Obligaciones del Estado</w:t>
      </w:r>
      <w:r w:rsidR="004B0F21">
        <w:t xml:space="preserve"> a Cargo del Tesoro</w:t>
      </w:r>
      <w:r w:rsidRPr="00A353BB">
        <w:t xml:space="preserve">, la baja ejecución se debe a que por medio del Acuerdo Gubernativo </w:t>
      </w:r>
      <w:r w:rsidR="004B0F21">
        <w:t xml:space="preserve">No. </w:t>
      </w:r>
      <w:r w:rsidRPr="00A353BB">
        <w:t>03-2021 se le fijaron las asignaciones consideradas inmovilizadas, modificando el presupuesto de las entidades que tenían programas asociados a la atención de la crisis ocasionada por el COVID-19 hacia uno más acorde con su comportamiento histórico.</w:t>
      </w:r>
    </w:p>
    <w:p w:rsidR="00F34749" w:rsidRPr="00A262E1" w:rsidRDefault="00F34749" w:rsidP="00F34749">
      <w:pPr>
        <w:jc w:val="both"/>
        <w:rPr>
          <w:sz w:val="28"/>
        </w:rPr>
      </w:pPr>
    </w:p>
    <w:p w:rsidR="00F34749" w:rsidRDefault="00F34749" w:rsidP="00F34749">
      <w:pPr>
        <w:jc w:val="both"/>
      </w:pPr>
      <w:r w:rsidRPr="00A353BB">
        <w:t xml:space="preserve">Adicionalmente, en el Acuerdo Gubernativo </w:t>
      </w:r>
      <w:r w:rsidR="004B0F21">
        <w:t xml:space="preserve">No. </w:t>
      </w:r>
      <w:r w:rsidRPr="00A353BB">
        <w:t>03-2021 se identificaron Q</w:t>
      </w:r>
      <w:r w:rsidR="004B0F21">
        <w:t>.</w:t>
      </w:r>
      <w:r w:rsidRPr="00A353BB">
        <w:t xml:space="preserve">2,236.6 millones en asignaciones en previsión, es decir, gasto adicional que podría darse solo si durante el ejercicio fiscal el comportamiento de la recaudación </w:t>
      </w:r>
      <w:r>
        <w:t>por</w:t>
      </w:r>
      <w:r w:rsidRPr="00A353BB">
        <w:t xml:space="preserve"> ingresos tributarios muestra una mejora significativa o se cuenta con recursos adicionales provenientes de ot</w:t>
      </w:r>
      <w:r w:rsidR="004B0F21">
        <w:t>ras fuentes de financiamiento.</w:t>
      </w:r>
    </w:p>
    <w:p w:rsidR="00F34749" w:rsidRPr="00A262E1" w:rsidRDefault="00F34749" w:rsidP="00F34749">
      <w:pPr>
        <w:jc w:val="both"/>
        <w:rPr>
          <w:sz w:val="28"/>
        </w:rPr>
      </w:pPr>
    </w:p>
    <w:p w:rsidR="00F34749" w:rsidRDefault="00F34749" w:rsidP="00F34749">
      <w:pPr>
        <w:jc w:val="both"/>
      </w:pPr>
      <w:r w:rsidRPr="00956673">
        <w:t>Al desglosar los programas por entidad (ver anexo), se observa que dentro de las entidades se da una mayor prioridad a los programas</w:t>
      </w:r>
      <w:r>
        <w:t xml:space="preserve"> que se consideran</w:t>
      </w:r>
      <w:r w:rsidRPr="00956673">
        <w:t xml:space="preserve"> de alto impacto.</w:t>
      </w:r>
      <w:r>
        <w:t xml:space="preserve"> </w:t>
      </w:r>
      <w:r w:rsidRPr="00BA5014">
        <w:t xml:space="preserve">En </w:t>
      </w:r>
      <w:r w:rsidR="004B0F21">
        <w:t xml:space="preserve">el Ministerio de </w:t>
      </w:r>
      <w:r w:rsidRPr="00BA5014">
        <w:t>Salud Pública y Asistencia Social, los programas que reportan el mayor nivel de ejecución son el</w:t>
      </w:r>
      <w:r>
        <w:t xml:space="preserve"> </w:t>
      </w:r>
      <w:r w:rsidR="004B0F21">
        <w:t>F</w:t>
      </w:r>
      <w:r w:rsidRPr="00BA5014">
        <w:t xml:space="preserve">omento de la </w:t>
      </w:r>
      <w:r w:rsidR="004B0F21">
        <w:t>S</w:t>
      </w:r>
      <w:r w:rsidRPr="00BA5014">
        <w:t xml:space="preserve">alud y </w:t>
      </w:r>
      <w:r w:rsidR="004B0F21">
        <w:t>M</w:t>
      </w:r>
      <w:r w:rsidRPr="00BA5014">
        <w:t xml:space="preserve">edicina </w:t>
      </w:r>
      <w:r w:rsidR="004B0F21">
        <w:t>P</w:t>
      </w:r>
      <w:r w:rsidRPr="00BA5014">
        <w:t xml:space="preserve">reventiva con 58.7%, le sigue el programa de Recuperación de la Salud con una ejecución de 52.6%. Por su parte, el programa </w:t>
      </w:r>
      <w:r w:rsidR="004B0F21">
        <w:t xml:space="preserve">de </w:t>
      </w:r>
      <w:r w:rsidRPr="00BA5014">
        <w:t xml:space="preserve">Atención por </w:t>
      </w:r>
      <w:r w:rsidR="004B0F21">
        <w:t>D</w:t>
      </w:r>
      <w:r w:rsidRPr="00BA5014">
        <w:t xml:space="preserve">esastres </w:t>
      </w:r>
      <w:r w:rsidR="004B0F21">
        <w:t>N</w:t>
      </w:r>
      <w:r w:rsidRPr="00BA5014">
        <w:t xml:space="preserve">aturales y </w:t>
      </w:r>
      <w:r w:rsidR="004B0F21">
        <w:t>C</w:t>
      </w:r>
      <w:r w:rsidRPr="00BA5014">
        <w:t xml:space="preserve">alamidades </w:t>
      </w:r>
      <w:r w:rsidR="004B0F21">
        <w:t>P</w:t>
      </w:r>
      <w:r w:rsidRPr="00BA5014">
        <w:t>úblicas (Intervenciones para la atención de la emergencia COVID-19) reporta una ejecución de Q</w:t>
      </w:r>
      <w:r w:rsidR="004B0F21">
        <w:t>.</w:t>
      </w:r>
      <w:r w:rsidRPr="00BA5014">
        <w:t>1,039.3 millones</w:t>
      </w:r>
      <w:r w:rsidR="004B0F21">
        <w:t>;</w:t>
      </w:r>
      <w:r w:rsidRPr="00BA5014">
        <w:t xml:space="preserve"> dentro de estos gastos resalta la ejecución </w:t>
      </w:r>
      <w:r w:rsidRPr="00BA5014">
        <w:lastRenderedPageBreak/>
        <w:t>relacionada al esquema de vacunación contra el COVID-19, con Q</w:t>
      </w:r>
      <w:r w:rsidR="004B0F21">
        <w:t>.</w:t>
      </w:r>
      <w:r w:rsidRPr="00BA5014">
        <w:t>638.6 millones. Asimismo, existen otras intervenciones importantes, tal es el caso de Q</w:t>
      </w:r>
      <w:r w:rsidR="004B0F21">
        <w:t>.</w:t>
      </w:r>
      <w:r w:rsidRPr="00BA5014">
        <w:t>381.6 millones por intervenciones diversas para la atención de la emergencia y Q</w:t>
      </w:r>
      <w:r w:rsidR="004B0F21">
        <w:t>.</w:t>
      </w:r>
      <w:r w:rsidRPr="00BA5014">
        <w:t>19.1 millones de laboratorios beneficiados con materiales y equipo de atención de la emergencia COVID-19.</w:t>
      </w:r>
    </w:p>
    <w:p w:rsidR="00F34749" w:rsidRPr="00A262E1" w:rsidRDefault="00F34749" w:rsidP="00F34749">
      <w:pPr>
        <w:jc w:val="both"/>
        <w:rPr>
          <w:sz w:val="28"/>
        </w:rPr>
      </w:pPr>
    </w:p>
    <w:p w:rsidR="00F34749" w:rsidRDefault="00F34749" w:rsidP="00F34749">
      <w:pPr>
        <w:jc w:val="both"/>
      </w:pPr>
      <w:r w:rsidRPr="00BA5014">
        <w:t xml:space="preserve">Por su parte, en el Ministerio de </w:t>
      </w:r>
      <w:r>
        <w:t xml:space="preserve">Gobernación </w:t>
      </w:r>
      <w:r w:rsidRPr="00BA5014">
        <w:t>se reporta una ejecución de 4</w:t>
      </w:r>
      <w:r>
        <w:t>5.4</w:t>
      </w:r>
      <w:r w:rsidRPr="00BA5014">
        <w:t xml:space="preserve">%, </w:t>
      </w:r>
      <w:r>
        <w:t>e</w:t>
      </w:r>
      <w:r w:rsidRPr="00BA5014">
        <w:t>l programa</w:t>
      </w:r>
      <w:r>
        <w:t xml:space="preserve"> que reporta la mayor ejecución son los </w:t>
      </w:r>
      <w:r w:rsidRPr="00CD75A9">
        <w:t>Servicios de Custodia y Rehabilitación de Privados de Libertad</w:t>
      </w:r>
      <w:r>
        <w:t xml:space="preserve"> con 44.9%, seguido de los </w:t>
      </w:r>
      <w:r w:rsidRPr="00CD75A9">
        <w:t>Servicios de Seguridad a las Personas y su Patrimonio</w:t>
      </w:r>
      <w:r>
        <w:t xml:space="preserve"> con 44.2%, la agrupación de los otros programas reporta </w:t>
      </w:r>
      <w:r w:rsidR="00670A90">
        <w:t>un nivel de ejecución de 58.1%.</w:t>
      </w:r>
    </w:p>
    <w:p w:rsidR="00670A90" w:rsidRPr="00A262E1" w:rsidRDefault="00670A90" w:rsidP="00F34749">
      <w:pPr>
        <w:jc w:val="both"/>
        <w:rPr>
          <w:sz w:val="28"/>
        </w:rPr>
      </w:pPr>
    </w:p>
    <w:p w:rsidR="00F34749" w:rsidRPr="00CD75A9" w:rsidRDefault="00F34749" w:rsidP="00F34749">
      <w:pPr>
        <w:jc w:val="both"/>
      </w:pPr>
      <w:r w:rsidRPr="00CD75A9">
        <w:t xml:space="preserve">En </w:t>
      </w:r>
      <w:r w:rsidR="00670A90">
        <w:t xml:space="preserve">el Ministerio de </w:t>
      </w:r>
      <w:r w:rsidRPr="00CD75A9">
        <w:t xml:space="preserve">Educación el programa de apoyo para el consumo adecuado de alimentos reporta el mayor nivel de ejecución con </w:t>
      </w:r>
      <w:r>
        <w:t>57</w:t>
      </w:r>
      <w:r w:rsidRPr="00CD75A9">
        <w:t>.</w:t>
      </w:r>
      <w:r>
        <w:t>4</w:t>
      </w:r>
      <w:r w:rsidRPr="00CD75A9">
        <w:t>%, a pesar que la suspensión de clases</w:t>
      </w:r>
      <w:r>
        <w:t xml:space="preserve"> presenciales</w:t>
      </w:r>
      <w:r w:rsidRPr="00CD75A9">
        <w:t xml:space="preserve"> en los centros educativos privados y públicos se</w:t>
      </w:r>
      <w:r>
        <w:t xml:space="preserve"> ha mantenido </w:t>
      </w:r>
      <w:r w:rsidRPr="00CD75A9">
        <w:t>vigente en</w:t>
      </w:r>
      <w:r>
        <w:t xml:space="preserve"> una gran parte de</w:t>
      </w:r>
      <w:r w:rsidRPr="00CD75A9">
        <w:t xml:space="preserve"> 2021 por la pandemia del COVID-19, en los centros públicos se continuó con el programa de alimentación escolar. La alta ejecución observada en este programa durante el primer </w:t>
      </w:r>
      <w:r>
        <w:t>se</w:t>
      </w:r>
      <w:r w:rsidRPr="00CD75A9">
        <w:t>mestre del año se considera muy relevante, dado que muchos niños dependen de la alimentación escolar para su subsistencia y con el cierre de escuelas su nutrición podía verse comprometida. Asimismo, con un alto nivel de ejecución se encuentra la educación escolar</w:t>
      </w:r>
      <w:r>
        <w:t xml:space="preserve"> preprimaria </w:t>
      </w:r>
      <w:r w:rsidRPr="00CD75A9">
        <w:t>(Q</w:t>
      </w:r>
      <w:r w:rsidR="00670A90">
        <w:t>.</w:t>
      </w:r>
      <w:r>
        <w:t>1</w:t>
      </w:r>
      <w:r w:rsidRPr="00CD75A9">
        <w:t>,0</w:t>
      </w:r>
      <w:r>
        <w:t>47.0 millones y 48.9</w:t>
      </w:r>
      <w:r w:rsidRPr="00CD75A9">
        <w:t>% de ejecución)</w:t>
      </w:r>
      <w:r>
        <w:t xml:space="preserve"> y</w:t>
      </w:r>
      <w:r w:rsidRPr="00CD75A9">
        <w:t xml:space="preserve"> primaria (Q</w:t>
      </w:r>
      <w:r w:rsidR="00670A90">
        <w:t>.</w:t>
      </w:r>
      <w:r>
        <w:t>4</w:t>
      </w:r>
      <w:r w:rsidRPr="00CD75A9">
        <w:t>,</w:t>
      </w:r>
      <w:r>
        <w:t>389.5</w:t>
      </w:r>
      <w:r w:rsidRPr="00CD75A9">
        <w:t xml:space="preserve"> millones y </w:t>
      </w:r>
      <w:r>
        <w:t>44</w:t>
      </w:r>
      <w:r w:rsidRPr="00CD75A9">
        <w:t>.</w:t>
      </w:r>
      <w:r>
        <w:t>1% de ejecución)</w:t>
      </w:r>
      <w:r w:rsidRPr="00CD75A9">
        <w:t>.</w:t>
      </w:r>
    </w:p>
    <w:p w:rsidR="00F34749" w:rsidRPr="00A262E1" w:rsidRDefault="00F34749" w:rsidP="00F34749">
      <w:pPr>
        <w:jc w:val="both"/>
        <w:rPr>
          <w:sz w:val="28"/>
        </w:rPr>
      </w:pPr>
    </w:p>
    <w:p w:rsidR="00F34749" w:rsidRPr="00CD75A9" w:rsidRDefault="00F34749" w:rsidP="00F34749">
      <w:pPr>
        <w:jc w:val="both"/>
      </w:pPr>
      <w:r w:rsidRPr="00CD75A9">
        <w:t>Mientras el Ministerio de Comunicaciones, Infraestructura y Vivienda reporta una ejecución de 38.9%, este nivel de ejecución se encuentra levemente por arriba de la ejecución institucional total. El programa de Desarrollo de la Infraestructura Vial reporta el mayor nivel de ejecución con 44.1%, siendo relevante dado que la inversión real directa reporta un mayor nivel de ejecución.</w:t>
      </w:r>
    </w:p>
    <w:p w:rsidR="00F34749" w:rsidRPr="00A262E1" w:rsidRDefault="00F34749" w:rsidP="00F34749">
      <w:pPr>
        <w:jc w:val="both"/>
        <w:rPr>
          <w:sz w:val="28"/>
        </w:rPr>
      </w:pPr>
    </w:p>
    <w:p w:rsidR="00F34749" w:rsidRDefault="00F34749" w:rsidP="00F34749">
      <w:pPr>
        <w:jc w:val="both"/>
      </w:pPr>
      <w:r w:rsidRPr="00CD75A9">
        <w:t>En cuanto al Ministerio de Desarrollo Social, se reporta una ejecución total de 33.3%, estando por debajo de la ejecución institucional total, a pesar que el Acuerdo Gubernativo</w:t>
      </w:r>
      <w:r w:rsidR="00670A90">
        <w:t xml:space="preserve"> de Presupuesto No.</w:t>
      </w:r>
      <w:r w:rsidRPr="00CD75A9">
        <w:t xml:space="preserve"> 03-2021 le fij</w:t>
      </w:r>
      <w:r w:rsidR="00670A90">
        <w:t>ó</w:t>
      </w:r>
      <w:r w:rsidRPr="00CD75A9">
        <w:t xml:space="preserve"> las asignaciones consideradas inmovilizadas a las Obligaciones del Estado a cargo del Tesoro, </w:t>
      </w:r>
      <w:r>
        <w:t xml:space="preserve">esto permitió </w:t>
      </w:r>
      <w:r w:rsidRPr="00CD75A9">
        <w:t>modificar el presupuesto de las entidades que tenían programas asociados a la atención de la crisis ocasionada por el COVID-19, a manera que</w:t>
      </w:r>
      <w:r>
        <w:t xml:space="preserve"> su ejecución</w:t>
      </w:r>
      <w:r w:rsidRPr="00CD75A9">
        <w:t xml:space="preserve"> reflejara un comportamiento más apegado a la realidad.</w:t>
      </w:r>
      <w:r>
        <w:t xml:space="preserve"> El programa con la mayor ejecución son las intervenciones por COVID-19 relativas a la regularización de la bolsa de alimentos entregada a familias. </w:t>
      </w:r>
      <w:r w:rsidRPr="00611570">
        <w:t>Resalta el caso de las Obligaciones del Estado a Cargo del Tesoro como la entidad virtual con el menor grado de ejecución, siendo únicamente del 30</w:t>
      </w:r>
      <w:r w:rsidR="00670A90">
        <w:t>.0</w:t>
      </w:r>
      <w:r w:rsidRPr="00611570">
        <w:t>%</w:t>
      </w:r>
      <w:r>
        <w:t>, por motivos relacionados al reordenamiento presupuestario que se indicó anteriormente</w:t>
      </w:r>
      <w:r w:rsidRPr="00611570">
        <w:t>.</w:t>
      </w:r>
    </w:p>
    <w:p w:rsidR="00F34749" w:rsidRPr="00A262E1" w:rsidRDefault="00F34749" w:rsidP="00F34749">
      <w:pPr>
        <w:jc w:val="both"/>
        <w:rPr>
          <w:sz w:val="28"/>
        </w:rPr>
      </w:pPr>
    </w:p>
    <w:p w:rsidR="00F34749" w:rsidRDefault="00F34749" w:rsidP="00F34749">
      <w:pPr>
        <w:jc w:val="both"/>
      </w:pPr>
      <w:r w:rsidRPr="00CC2BE0">
        <w:t>En el seguimiento de la ejecución del gasto</w:t>
      </w:r>
      <w:r>
        <w:t xml:space="preserve"> </w:t>
      </w:r>
      <w:r w:rsidRPr="00CC2BE0">
        <w:t xml:space="preserve">relacionado a la pandemia </w:t>
      </w:r>
      <w:r w:rsidR="00670A90">
        <w:t xml:space="preserve">del </w:t>
      </w:r>
      <w:r w:rsidRPr="00CC2BE0">
        <w:t>COVID-19, durante</w:t>
      </w:r>
      <w:r>
        <w:t xml:space="preserve"> </w:t>
      </w:r>
      <w:r w:rsidRPr="00CC2BE0">
        <w:t>el año se han dado gastos importantes a nivel de</w:t>
      </w:r>
      <w:r>
        <w:t xml:space="preserve"> </w:t>
      </w:r>
      <w:r w:rsidRPr="00CC2BE0">
        <w:t xml:space="preserve">tres </w:t>
      </w:r>
      <w:r w:rsidR="00670A90">
        <w:t>entidades</w:t>
      </w:r>
      <w:r w:rsidRPr="00CC2BE0">
        <w:t xml:space="preserve">, </w:t>
      </w:r>
      <w:r w:rsidRPr="00B82FAE">
        <w:t>siendo el caso de</w:t>
      </w:r>
      <w:r w:rsidR="00670A90">
        <w:t>l</w:t>
      </w:r>
      <w:r w:rsidRPr="00B82FAE">
        <w:t xml:space="preserve"> Ministerio de Salud Pública y Asistencia Social por Q</w:t>
      </w:r>
      <w:r w:rsidR="00670A90">
        <w:t>.</w:t>
      </w:r>
      <w:r w:rsidRPr="00B82FAE">
        <w:t>1,039.3 millones, Ministerio de Desarrollo Social por Q</w:t>
      </w:r>
      <w:r w:rsidR="00670A90">
        <w:t>.</w:t>
      </w:r>
      <w:r w:rsidRPr="00B82FAE">
        <w:t>102.9 millones y Ministerio de Agricultura, Ganadería y Alimentación por Q</w:t>
      </w:r>
      <w:r w:rsidR="00670A90">
        <w:t>.</w:t>
      </w:r>
      <w:r w:rsidRPr="00B82FAE">
        <w:t>76.4 millones que totalizan intervenciones por Q</w:t>
      </w:r>
      <w:r w:rsidR="00670A90">
        <w:t>.</w:t>
      </w:r>
      <w:r w:rsidRPr="00B82FAE">
        <w:t>1,218.5 millones.</w:t>
      </w:r>
    </w:p>
    <w:p w:rsidR="00F34749" w:rsidRDefault="00F34749" w:rsidP="00F34749">
      <w:pPr>
        <w:jc w:val="both"/>
      </w:pPr>
    </w:p>
    <w:p w:rsidR="00A262E1" w:rsidRDefault="00A262E1" w:rsidP="00F34749">
      <w:pPr>
        <w:jc w:val="both"/>
      </w:pPr>
    </w:p>
    <w:p w:rsidR="00A262E1" w:rsidRDefault="00A262E1" w:rsidP="00F34749">
      <w:pPr>
        <w:jc w:val="both"/>
      </w:pPr>
    </w:p>
    <w:p w:rsidR="00344EB7" w:rsidRPr="00344EB7" w:rsidRDefault="00344EB7" w:rsidP="00F34749">
      <w:pPr>
        <w:jc w:val="both"/>
        <w:rPr>
          <w:sz w:val="32"/>
        </w:rPr>
      </w:pPr>
    </w:p>
    <w:p w:rsidR="00F34749" w:rsidRDefault="00F34749" w:rsidP="00F34749">
      <w:pPr>
        <w:autoSpaceDE w:val="0"/>
        <w:autoSpaceDN w:val="0"/>
        <w:adjustRightInd w:val="0"/>
        <w:contextualSpacing/>
        <w:jc w:val="both"/>
      </w:pPr>
      <w:r w:rsidRPr="00611570">
        <w:t>Respecto al subprograma 11, relacionado al Estado de Calamidad Pública por la Depresión Tropical ETA (DG 20-2020 y 21-2020) reporta una ejecución de Q</w:t>
      </w:r>
      <w:r w:rsidR="001C56FE">
        <w:t>.</w:t>
      </w:r>
      <w:r w:rsidRPr="00611570">
        <w:t>118.5 millones, de los cuales Q</w:t>
      </w:r>
      <w:r w:rsidR="001C56FE">
        <w:t>.</w:t>
      </w:r>
      <w:r w:rsidRPr="00611570">
        <w:t>116.8 millones corresponden al Ministerio de Comunicaciones, Infraestructura y Vivienda para el mantenimiento y reparación de bienes nacionales</w:t>
      </w:r>
      <w:r>
        <w:t xml:space="preserve"> </w:t>
      </w:r>
      <w:r w:rsidRPr="00611570">
        <w:t>de uso común, lo cual incluye gastos de mantenimiento y reparación de carreteras y puentes y arrendamiento de maquinaria y equipo de construcción. Adicionalmente, el Ministerio de Desarrollo Social reporta una ejecución de Q</w:t>
      </w:r>
      <w:r w:rsidR="00D30C9C">
        <w:t>.</w:t>
      </w:r>
      <w:r w:rsidRPr="00611570">
        <w:t>1.7 millones por materiales de construcción y enseres y mantenimiento y reparación de bienes nacionales</w:t>
      </w:r>
      <w:r>
        <w:rPr>
          <w:b/>
        </w:rPr>
        <w:t xml:space="preserve">. </w:t>
      </w:r>
      <w:r>
        <w:t xml:space="preserve">Siete </w:t>
      </w:r>
      <w:r w:rsidRPr="00C91DE7">
        <w:t>entidades reportan retrocesos respecto al</w:t>
      </w:r>
      <w:r>
        <w:t xml:space="preserve"> 2020</w:t>
      </w:r>
      <w:r w:rsidRPr="00C91DE7">
        <w:t>, entre las caídas más importantes, se</w:t>
      </w:r>
      <w:r>
        <w:t xml:space="preserve"> encuentra Desarrollo Social</w:t>
      </w:r>
      <w:r w:rsidRPr="00C91DE7">
        <w:t xml:space="preserve"> (-</w:t>
      </w:r>
      <w:r>
        <w:t>82</w:t>
      </w:r>
      <w:r w:rsidRPr="00C91DE7">
        <w:t>.</w:t>
      </w:r>
      <w:r>
        <w:t>1</w:t>
      </w:r>
      <w:r w:rsidRPr="00C91DE7">
        <w:t xml:space="preserve">%), </w:t>
      </w:r>
      <w:r>
        <w:t>Economía</w:t>
      </w:r>
      <w:r w:rsidRPr="00C91DE7">
        <w:t xml:space="preserve"> (-</w:t>
      </w:r>
      <w:r>
        <w:t>8</w:t>
      </w:r>
      <w:r w:rsidRPr="00C91DE7">
        <w:t>0.</w:t>
      </w:r>
      <w:r>
        <w:t>4%) y la</w:t>
      </w:r>
      <w:r w:rsidRPr="00C91DE7">
        <w:t xml:space="preserve"> Presidencia</w:t>
      </w:r>
      <w:r>
        <w:t xml:space="preserve"> de la República</w:t>
      </w:r>
      <w:r w:rsidRPr="00C91DE7">
        <w:t xml:space="preserve"> (-1</w:t>
      </w:r>
      <w:r>
        <w:t>0</w:t>
      </w:r>
      <w:r w:rsidRPr="00C91DE7">
        <w:t>.</w:t>
      </w:r>
      <w:r>
        <w:t>9</w:t>
      </w:r>
      <w:r w:rsidR="00D30C9C">
        <w:t>%).</w:t>
      </w:r>
    </w:p>
    <w:p w:rsidR="00D30C9C" w:rsidRPr="00A262E1" w:rsidRDefault="00D30C9C" w:rsidP="00F34749">
      <w:pPr>
        <w:autoSpaceDE w:val="0"/>
        <w:autoSpaceDN w:val="0"/>
        <w:adjustRightInd w:val="0"/>
        <w:contextualSpacing/>
        <w:jc w:val="both"/>
        <w:rPr>
          <w:b/>
          <w:sz w:val="28"/>
        </w:rPr>
      </w:pPr>
    </w:p>
    <w:p w:rsidR="00F34749" w:rsidRDefault="00F34749" w:rsidP="00F34749">
      <w:pPr>
        <w:jc w:val="both"/>
      </w:pPr>
      <w:r>
        <w:t xml:space="preserve">Para </w:t>
      </w:r>
      <w:r w:rsidRPr="004F6248">
        <w:t xml:space="preserve">finales de año se tendría una contracción del gasto público </w:t>
      </w:r>
      <w:r>
        <w:t xml:space="preserve">total </w:t>
      </w:r>
      <w:r w:rsidRPr="004F6248">
        <w:t>cercana al 4.</w:t>
      </w:r>
      <w:r>
        <w:t>3</w:t>
      </w:r>
      <w:r w:rsidRPr="004F6248">
        <w:t>%, pasando del cierre observado de Q</w:t>
      </w:r>
      <w:r w:rsidR="00D30C9C">
        <w:t>.</w:t>
      </w:r>
      <w:r w:rsidRPr="004F6248">
        <w:t>9</w:t>
      </w:r>
      <w:r>
        <w:t>6</w:t>
      </w:r>
      <w:r w:rsidRPr="004F6248">
        <w:t>,</w:t>
      </w:r>
      <w:r>
        <w:t>625</w:t>
      </w:r>
      <w:r w:rsidRPr="004F6248">
        <w:t>.</w:t>
      </w:r>
      <w:r>
        <w:t>4</w:t>
      </w:r>
      <w:r w:rsidRPr="004F6248">
        <w:t xml:space="preserve"> millones en 2020 al estimado de</w:t>
      </w:r>
      <w:r>
        <w:t xml:space="preserve"> Q</w:t>
      </w:r>
      <w:r w:rsidR="00D30C9C">
        <w:t>.</w:t>
      </w:r>
      <w:r w:rsidRPr="004F6248">
        <w:t>9</w:t>
      </w:r>
      <w:r>
        <w:t>2</w:t>
      </w:r>
      <w:r w:rsidRPr="004F6248">
        <w:t>,</w:t>
      </w:r>
      <w:r>
        <w:t>433</w:t>
      </w:r>
      <w:r w:rsidRPr="004F6248">
        <w:t>.</w:t>
      </w:r>
      <w:r>
        <w:t>5</w:t>
      </w:r>
      <w:r w:rsidRPr="004F6248">
        <w:t xml:space="preserve"> millones para 2021, inclu</w:t>
      </w:r>
      <w:r>
        <w:t>yendo</w:t>
      </w:r>
      <w:r w:rsidRPr="004F6248">
        <w:t xml:space="preserve"> las amortizaciones de la deuda pública</w:t>
      </w:r>
      <w:r>
        <w:t>, explicado principalmente por el gasto relacionado</w:t>
      </w:r>
      <w:r w:rsidRPr="00BC2C50">
        <w:t xml:space="preserve"> al COVID-19 que se dio durante el 2020 y que impulsó significativamente el gasto público</w:t>
      </w:r>
      <w:r>
        <w:t xml:space="preserve"> en ese año</w:t>
      </w:r>
      <w:r w:rsidRPr="00BC2C50">
        <w:t>,</w:t>
      </w:r>
      <w:r>
        <w:t xml:space="preserve"> el cual no es equiparable a lo que se estima ejecutar por este concepto </w:t>
      </w:r>
      <w:r w:rsidRPr="00BC2C50">
        <w:t xml:space="preserve">durante 2021, además en el primer trimestre del año el </w:t>
      </w:r>
      <w:r w:rsidR="00D30C9C">
        <w:t xml:space="preserve">Organismo </w:t>
      </w:r>
      <w:r w:rsidRPr="00BC2C50">
        <w:t>Ejecutivo anunció un presupuesto operativo de Q</w:t>
      </w:r>
      <w:r w:rsidR="00D30C9C">
        <w:t>.</w:t>
      </w:r>
      <w:r w:rsidRPr="00BC2C50">
        <w:t xml:space="preserve">94,354.0 millones, es decir, las entidades </w:t>
      </w:r>
      <w:r>
        <w:t>han tenido</w:t>
      </w:r>
      <w:r w:rsidRPr="00BC2C50">
        <w:t xml:space="preserve"> que sujeta</w:t>
      </w:r>
      <w:r>
        <w:t>rse a este techo presupuestario</w:t>
      </w:r>
      <w:r w:rsidRPr="00BC2C50">
        <w:t>.</w:t>
      </w:r>
    </w:p>
    <w:p w:rsidR="00F34749" w:rsidRPr="00A262E1" w:rsidRDefault="00F34749" w:rsidP="00F34749">
      <w:pPr>
        <w:jc w:val="both"/>
        <w:rPr>
          <w:sz w:val="28"/>
        </w:rPr>
      </w:pPr>
    </w:p>
    <w:p w:rsidR="00F34749" w:rsidRDefault="00F34749" w:rsidP="00F34749">
      <w:pPr>
        <w:jc w:val="both"/>
      </w:pPr>
      <w:r>
        <w:t>No obstante, para el presente año, se espera un alto nivel de ejecución institucional, estimado en 98.0% respecto al presupuesto operativo, esto representaría una ejecución menor en Q</w:t>
      </w:r>
      <w:r w:rsidR="00D30C9C">
        <w:t>.</w:t>
      </w:r>
      <w:r>
        <w:t>4,191.9 millones a la reportada en 2020. De tomar en consideración el presupuesto vigente (Q</w:t>
      </w:r>
      <w:r w:rsidR="00D30C9C">
        <w:t>.</w:t>
      </w:r>
      <w:r>
        <w:t>107,521.5 millones), el nivel de ejecución desce</w:t>
      </w:r>
      <w:r w:rsidR="00D30C9C">
        <w:t>ndería hasta ubicarse en 86.0%.</w:t>
      </w:r>
    </w:p>
    <w:p w:rsidR="00F34749" w:rsidRPr="00A262E1" w:rsidRDefault="00F34749" w:rsidP="00F34749">
      <w:pPr>
        <w:jc w:val="both"/>
        <w:rPr>
          <w:sz w:val="28"/>
        </w:rPr>
      </w:pPr>
    </w:p>
    <w:p w:rsidR="00F34749" w:rsidRDefault="00F34749" w:rsidP="00F34749">
      <w:pPr>
        <w:jc w:val="both"/>
      </w:pPr>
      <w:r>
        <w:t>Se espera que la mayoría de entidades reporten niveles de ejecución superiores al 90</w:t>
      </w:r>
      <w:r w:rsidR="00D30C9C">
        <w:t>.0</w:t>
      </w:r>
      <w:r>
        <w:t>%, siendo lideradas por las entidades que históricamente reportan altos niveles de ejecución, como es el caso de las entidades virtuales como el Servicio de la Deuda Pública, las Obligaciones del Estado a Cargo del Tesoro, y entidades como el Ministerio de Educación y Ministerio de Salud Pública y Asistencia Social, los cuales concentran más de</w:t>
      </w:r>
      <w:r w:rsidR="00D30C9C">
        <w:t>l 75% del presupuesto nacional.</w:t>
      </w:r>
    </w:p>
    <w:p w:rsidR="00F34749" w:rsidRPr="00A262E1" w:rsidRDefault="00F34749" w:rsidP="00F34749">
      <w:pPr>
        <w:jc w:val="both"/>
        <w:rPr>
          <w:sz w:val="28"/>
        </w:rPr>
      </w:pPr>
    </w:p>
    <w:p w:rsidR="00F34749" w:rsidRDefault="00F34749" w:rsidP="00F34749">
      <w:pPr>
        <w:jc w:val="both"/>
      </w:pPr>
      <w:r>
        <w:t>Por su parte, el Ministerio de Energía y Minas y el Ministerio de Cultura y Deportes reportarían los niveles de ejecución más bajos, siendo de 8</w:t>
      </w:r>
      <w:r w:rsidR="00D30C9C">
        <w:t>7.9% y 76.7%, respectivamente.</w:t>
      </w:r>
    </w:p>
    <w:p w:rsidR="00F34749" w:rsidRDefault="00F34749"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344EB7" w:rsidRDefault="00344EB7"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A262E1" w:rsidRDefault="00A262E1" w:rsidP="00F34749">
      <w:pPr>
        <w:autoSpaceDE w:val="0"/>
        <w:autoSpaceDN w:val="0"/>
        <w:adjustRightInd w:val="0"/>
        <w:jc w:val="both"/>
      </w:pPr>
    </w:p>
    <w:p w:rsidR="00E00D08" w:rsidRDefault="00E00D08" w:rsidP="00F34749">
      <w:pPr>
        <w:autoSpaceDE w:val="0"/>
        <w:autoSpaceDN w:val="0"/>
        <w:adjustRightInd w:val="0"/>
        <w:jc w:val="both"/>
      </w:pPr>
    </w:p>
    <w:p w:rsidR="00030777" w:rsidRDefault="00030777" w:rsidP="00F34749">
      <w:pPr>
        <w:autoSpaceDE w:val="0"/>
        <w:autoSpaceDN w:val="0"/>
        <w:adjustRightInd w:val="0"/>
        <w:jc w:val="center"/>
        <w:rPr>
          <w:b/>
        </w:rPr>
      </w:pPr>
      <w:r>
        <w:rPr>
          <w:b/>
        </w:rPr>
        <w:lastRenderedPageBreak/>
        <w:t>Cuadro 2</w:t>
      </w:r>
      <w:r w:rsidR="00E00D08">
        <w:rPr>
          <w:b/>
        </w:rPr>
        <w:t>3</w:t>
      </w:r>
    </w:p>
    <w:p w:rsidR="00F34749" w:rsidRPr="00E10D65" w:rsidRDefault="00F34749" w:rsidP="00F34749">
      <w:pPr>
        <w:autoSpaceDE w:val="0"/>
        <w:autoSpaceDN w:val="0"/>
        <w:adjustRightInd w:val="0"/>
        <w:jc w:val="center"/>
        <w:rPr>
          <w:b/>
        </w:rPr>
      </w:pPr>
      <w:r w:rsidRPr="00E10D65">
        <w:rPr>
          <w:b/>
        </w:rPr>
        <w:t xml:space="preserve">Presupuesto y </w:t>
      </w:r>
      <w:r w:rsidR="00D30C9C">
        <w:rPr>
          <w:b/>
        </w:rPr>
        <w:t>E</w:t>
      </w:r>
      <w:r w:rsidRPr="00E10D65">
        <w:rPr>
          <w:b/>
        </w:rPr>
        <w:t xml:space="preserve">stimación de </w:t>
      </w:r>
      <w:r w:rsidR="00D30C9C">
        <w:rPr>
          <w:b/>
        </w:rPr>
        <w:t>G</w:t>
      </w:r>
      <w:r w:rsidRPr="00E10D65">
        <w:rPr>
          <w:b/>
        </w:rPr>
        <w:t>asto por Entidad 2021</w:t>
      </w:r>
    </w:p>
    <w:p w:rsidR="00F34749" w:rsidRPr="00030777" w:rsidRDefault="00E00D08" w:rsidP="00F34749">
      <w:pPr>
        <w:autoSpaceDE w:val="0"/>
        <w:autoSpaceDN w:val="0"/>
        <w:adjustRightInd w:val="0"/>
        <w:jc w:val="center"/>
        <w:rPr>
          <w:b/>
        </w:rPr>
      </w:pPr>
      <w:r w:rsidRPr="00EF3E63">
        <w:rPr>
          <w:noProof/>
          <w:lang w:val="es-GT" w:eastAsia="es-GT"/>
        </w:rPr>
        <w:drawing>
          <wp:anchor distT="0" distB="0" distL="114300" distR="114300" simplePos="0" relativeHeight="251675648" behindDoc="0" locked="0" layoutInCell="1" allowOverlap="1" wp14:anchorId="7BE10173" wp14:editId="020185BA">
            <wp:simplePos x="0" y="0"/>
            <wp:positionH relativeFrom="column">
              <wp:posOffset>43815</wp:posOffset>
            </wp:positionH>
            <wp:positionV relativeFrom="paragraph">
              <wp:posOffset>178435</wp:posOffset>
            </wp:positionV>
            <wp:extent cx="5904230" cy="3838575"/>
            <wp:effectExtent l="0" t="0" r="1270" b="9525"/>
            <wp:wrapSquare wrapText="bothSides"/>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t="9525"/>
                    <a:stretch/>
                  </pic:blipFill>
                  <pic:spPr bwMode="auto">
                    <a:xfrm>
                      <a:off x="0" y="0"/>
                      <a:ext cx="5904230" cy="3838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0777" w:rsidRPr="00030777">
        <w:rPr>
          <w:b/>
        </w:rPr>
        <w:t xml:space="preserve">(En </w:t>
      </w:r>
      <w:r w:rsidR="00F34749" w:rsidRPr="00030777">
        <w:rPr>
          <w:b/>
        </w:rPr>
        <w:t xml:space="preserve">Millones de </w:t>
      </w:r>
      <w:r w:rsidR="00D30C9C" w:rsidRPr="00030777">
        <w:rPr>
          <w:b/>
        </w:rPr>
        <w:t>Q</w:t>
      </w:r>
      <w:r w:rsidR="00F34749" w:rsidRPr="00030777">
        <w:rPr>
          <w:b/>
        </w:rPr>
        <w:t>uetzales</w:t>
      </w:r>
      <w:r w:rsidR="00030777" w:rsidRPr="00030777">
        <w:rPr>
          <w:b/>
        </w:rPr>
        <w:t>)</w:t>
      </w:r>
    </w:p>
    <w:p w:rsidR="00F34749" w:rsidRDefault="00D30C9C" w:rsidP="00D30C9C">
      <w:pPr>
        <w:autoSpaceDE w:val="0"/>
        <w:autoSpaceDN w:val="0"/>
        <w:adjustRightInd w:val="0"/>
        <w:jc w:val="both"/>
        <w:rPr>
          <w:sz w:val="16"/>
        </w:rPr>
      </w:pPr>
      <w:r>
        <w:rPr>
          <w:sz w:val="16"/>
        </w:rPr>
        <w:t xml:space="preserve">    </w:t>
      </w:r>
      <w:r w:rsidR="000134B5">
        <w:rPr>
          <w:noProof/>
          <w:sz w:val="18"/>
          <w:lang w:val="es-ES_tradnl"/>
        </w:rPr>
        <w:t>Fuente: Ministerio de Finanzas Públicas.</w:t>
      </w:r>
    </w:p>
    <w:p w:rsidR="00D30C9C" w:rsidRPr="00E00D08" w:rsidRDefault="00D30C9C" w:rsidP="00D30C9C">
      <w:pPr>
        <w:autoSpaceDE w:val="0"/>
        <w:autoSpaceDN w:val="0"/>
        <w:adjustRightInd w:val="0"/>
        <w:jc w:val="both"/>
        <w:rPr>
          <w:sz w:val="36"/>
        </w:rPr>
      </w:pPr>
    </w:p>
    <w:p w:rsidR="00F34749" w:rsidRPr="00E13749" w:rsidRDefault="00F34749" w:rsidP="004C636B">
      <w:pPr>
        <w:pStyle w:val="Ttulo3"/>
        <w:numPr>
          <w:ilvl w:val="1"/>
          <w:numId w:val="9"/>
        </w:numPr>
        <w:spacing w:before="0"/>
        <w:ind w:left="426"/>
        <w:rPr>
          <w:rFonts w:ascii="Times New Roman" w:hAnsi="Times New Roman"/>
          <w:color w:val="auto"/>
        </w:rPr>
      </w:pPr>
      <w:bookmarkStart w:id="62" w:name="_Toc81388553"/>
      <w:bookmarkStart w:id="63" w:name="_Toc83713647"/>
      <w:r w:rsidRPr="00E13749">
        <w:rPr>
          <w:rFonts w:ascii="Times New Roman" w:hAnsi="Times New Roman"/>
          <w:color w:val="auto"/>
        </w:rPr>
        <w:t>Gasto por Finalidad</w:t>
      </w:r>
      <w:bookmarkEnd w:id="62"/>
      <w:bookmarkEnd w:id="63"/>
    </w:p>
    <w:p w:rsidR="00F34749" w:rsidRDefault="00F34749" w:rsidP="00F34749">
      <w:pPr>
        <w:autoSpaceDE w:val="0"/>
        <w:autoSpaceDN w:val="0"/>
        <w:adjustRightInd w:val="0"/>
        <w:jc w:val="both"/>
        <w:rPr>
          <w:b/>
        </w:rPr>
      </w:pPr>
    </w:p>
    <w:p w:rsidR="00F34749" w:rsidRDefault="00F34749" w:rsidP="00F34749">
      <w:pPr>
        <w:autoSpaceDE w:val="0"/>
        <w:autoSpaceDN w:val="0"/>
        <w:adjustRightInd w:val="0"/>
        <w:jc w:val="both"/>
      </w:pPr>
      <w:r w:rsidRPr="0074156B">
        <w:t>La finalidad del gasto, permite visualizar el gasto público de acuerdo a la naturaleza de los servicios públicos que las entidades que conforman la Administración Central prestan a la ciudadanía. Los gastos se encuentran clasificados por finalidad para determinar objetivos generales de la política de gobierno y la ejecución que se muestra en los diferentes rubros da cuenta de la priorización.</w:t>
      </w:r>
    </w:p>
    <w:p w:rsidR="00F34749" w:rsidRDefault="00F34749" w:rsidP="00F34749">
      <w:pPr>
        <w:autoSpaceDE w:val="0"/>
        <w:autoSpaceDN w:val="0"/>
        <w:adjustRightInd w:val="0"/>
        <w:jc w:val="both"/>
      </w:pPr>
    </w:p>
    <w:p w:rsidR="00F34749" w:rsidRPr="00DB1BBF" w:rsidRDefault="00F34749" w:rsidP="00F34749">
      <w:pPr>
        <w:autoSpaceDE w:val="0"/>
        <w:autoSpaceDN w:val="0"/>
        <w:adjustRightInd w:val="0"/>
        <w:jc w:val="both"/>
      </w:pPr>
      <w:r>
        <w:t>L</w:t>
      </w:r>
      <w:r w:rsidRPr="00E4238F">
        <w:t xml:space="preserve">as finalidades encargadas de brindar los servicios más básicos a la población se encuentran liderando la ejecución a junio, tal es el caso de la Urbanización y los Servicios Comunitarios (45.9%), Salud (45.9%), Educación (43.9%) y el Orden Público y Seguridad Ciudadana (44.4%). Por su parte, la finalidad relacionada a las Transacciones de la Deuda Pública es la que encabeza el nivel de ejecución (48.5%) y aunque no está relacionada a la </w:t>
      </w:r>
      <w:r w:rsidRPr="00DB1BBF">
        <w:t>prestación de servicios públicos, es muy importante dado que demuestra el compromiso del Gobierno de Guatemala por hacer frente a sus compromisos de pagos de deuda pública, lo cual le da credibilidad ante sus acreedores nacionales e internacionales.</w:t>
      </w:r>
    </w:p>
    <w:p w:rsidR="00F34749" w:rsidRDefault="00F34749" w:rsidP="00F34749">
      <w:pPr>
        <w:autoSpaceDE w:val="0"/>
        <w:autoSpaceDN w:val="0"/>
        <w:adjustRightInd w:val="0"/>
        <w:jc w:val="both"/>
      </w:pPr>
    </w:p>
    <w:p w:rsidR="00E00D08" w:rsidRDefault="00E00D08" w:rsidP="00F34749">
      <w:pPr>
        <w:autoSpaceDE w:val="0"/>
        <w:autoSpaceDN w:val="0"/>
        <w:adjustRightInd w:val="0"/>
        <w:jc w:val="both"/>
      </w:pPr>
    </w:p>
    <w:p w:rsidR="00344EB7" w:rsidRDefault="00344EB7" w:rsidP="00F34749">
      <w:pPr>
        <w:autoSpaceDE w:val="0"/>
        <w:autoSpaceDN w:val="0"/>
        <w:adjustRightInd w:val="0"/>
        <w:jc w:val="both"/>
      </w:pPr>
    </w:p>
    <w:p w:rsidR="00E00D08" w:rsidRPr="00344EB7" w:rsidRDefault="00E00D08" w:rsidP="00F34749">
      <w:pPr>
        <w:autoSpaceDE w:val="0"/>
        <w:autoSpaceDN w:val="0"/>
        <w:adjustRightInd w:val="0"/>
        <w:jc w:val="both"/>
        <w:rPr>
          <w:sz w:val="36"/>
        </w:rPr>
      </w:pPr>
    </w:p>
    <w:p w:rsidR="00F34749" w:rsidRPr="00100C1E" w:rsidRDefault="00F34749" w:rsidP="00F34749">
      <w:pPr>
        <w:autoSpaceDE w:val="0"/>
        <w:autoSpaceDN w:val="0"/>
        <w:adjustRightInd w:val="0"/>
        <w:jc w:val="both"/>
      </w:pPr>
      <w:r w:rsidRPr="00DB1BBF">
        <w:t>Mientras que las finalidades que reportan una ejecución más baja son: la Protección Ambiental (29.7%) y los Asuntos Económicos (15.8%), en el caso de esta última finalidad la baja ejecución se debe a que en junio por medio del Acuerdo Gubernativo de Presupuesto</w:t>
      </w:r>
      <w:r w:rsidR="0079427D">
        <w:t xml:space="preserve"> No.</w:t>
      </w:r>
      <w:r w:rsidRPr="00DB1BBF">
        <w:t xml:space="preserve"> 03-2021, se le </w:t>
      </w:r>
      <w:r w:rsidRPr="00100C1E">
        <w:t xml:space="preserve">establecieron parte de las asignaciones identificadas como inmovilizadas debido al desfinanciamiento por la no aprobación del presupuesto, es decir, no cuentan con respaldo financiero, como parte del reordenamiento del Presupuesto de Egresos del Estado. Por ello, el presupuesto de la finalidad se </w:t>
      </w:r>
      <w:r w:rsidR="0079427D">
        <w:t>incrementó</w:t>
      </w:r>
      <w:r w:rsidRPr="00100C1E">
        <w:t xml:space="preserve"> virtualmente y su grado de ejecución disminuyó.</w:t>
      </w:r>
    </w:p>
    <w:p w:rsidR="00F34749" w:rsidRPr="00E00D08" w:rsidRDefault="00F34749" w:rsidP="00F34749">
      <w:pPr>
        <w:autoSpaceDE w:val="0"/>
        <w:autoSpaceDN w:val="0"/>
        <w:adjustRightInd w:val="0"/>
        <w:jc w:val="both"/>
        <w:rPr>
          <w:sz w:val="28"/>
        </w:rPr>
      </w:pPr>
    </w:p>
    <w:p w:rsidR="00F34749" w:rsidRPr="007346F1" w:rsidRDefault="00F34749" w:rsidP="00F34749">
      <w:pPr>
        <w:jc w:val="both"/>
      </w:pPr>
      <w:r w:rsidRPr="007346F1">
        <w:t>La estimación de cierre de año da cuenta que la</w:t>
      </w:r>
      <w:r>
        <w:t xml:space="preserve"> mayoría de finalidades reportaran</w:t>
      </w:r>
      <w:r w:rsidRPr="007346F1">
        <w:t xml:space="preserve"> una ejecución bastante alta, durante </w:t>
      </w:r>
      <w:r>
        <w:t>el presente ejercicio fiscal ha tenido</w:t>
      </w:r>
      <w:r w:rsidRPr="007346F1">
        <w:t xml:space="preserve"> relevancia la finalidad “Atención a Desastres y Gestión de Riesgos” ya que en esta finalidad se concentran los esfuerzos de la Administración Central por dar respuesta a los efectos negativos causados por la pandemia </w:t>
      </w:r>
      <w:r w:rsidR="004F6EB5">
        <w:t xml:space="preserve">del </w:t>
      </w:r>
      <w:r w:rsidRPr="007346F1">
        <w:t>COVID-19, principalmente en lo relacionado a la vacuna para contrarrestar los efectos del COVID-19 a cargo del Ministerio de Salud Pública y Asistencia Social, así como otras intervenciones diversas para la atención de la emergencia y laboratorios beneficiados con materiales y equipo de atención de la emergencia COVID-19.</w:t>
      </w:r>
      <w:r>
        <w:t xml:space="preserve"> Asimismo, en esta finalidad se registra </w:t>
      </w:r>
      <w:r w:rsidRPr="007346F1">
        <w:t>la regularización del anticipo dado en 2020 al Programa M</w:t>
      </w:r>
      <w:r>
        <w:t>undial de Alimentos</w:t>
      </w:r>
      <w:r w:rsidR="004F6EB5">
        <w:t xml:space="preserve"> (PMA)</w:t>
      </w:r>
      <w:r>
        <w:t>, que consistió</w:t>
      </w:r>
      <w:r w:rsidRPr="007346F1">
        <w:t xml:space="preserve"> en cupones canjeables y entregas en especie de la</w:t>
      </w:r>
      <w:r>
        <w:t xml:space="preserve"> actividad dotación alimentaria a cargo </w:t>
      </w:r>
      <w:r w:rsidRPr="007346F1">
        <w:t>del Ministerio de Desarrollo Social y Ministerio de Agricultura, Ganadería y Alimentación</w:t>
      </w:r>
      <w:r>
        <w:t>.</w:t>
      </w:r>
    </w:p>
    <w:p w:rsidR="00F34749" w:rsidRPr="00E00D08" w:rsidRDefault="00F34749" w:rsidP="00F34749">
      <w:pPr>
        <w:jc w:val="both"/>
        <w:rPr>
          <w:sz w:val="28"/>
          <w:highlight w:val="yellow"/>
        </w:rPr>
      </w:pPr>
    </w:p>
    <w:p w:rsidR="00F34749" w:rsidRPr="00E4238F" w:rsidRDefault="00F34749" w:rsidP="00F34749">
      <w:pPr>
        <w:jc w:val="both"/>
      </w:pPr>
      <w:r w:rsidRPr="00386EEC">
        <w:t xml:space="preserve">No obstante, esta finalidad será la que registre la mayor contracción dado que los programas </w:t>
      </w:r>
      <w:r w:rsidRPr="00E4238F">
        <w:t>sociales y económicos que se encontraban vigentes en 2020 para contrarrestar los efectos negativos del COVID-19 ya cumplieron su objetivo y para 2021 el enfoque se concentró a contar con un esquema d</w:t>
      </w:r>
      <w:r w:rsidR="004F6EB5">
        <w:t>e vacunación para la población.</w:t>
      </w:r>
    </w:p>
    <w:p w:rsidR="00F34749" w:rsidRPr="00E00D08" w:rsidRDefault="00F34749" w:rsidP="00F34749">
      <w:pPr>
        <w:jc w:val="both"/>
        <w:rPr>
          <w:sz w:val="28"/>
        </w:rPr>
      </w:pPr>
    </w:p>
    <w:p w:rsidR="00F34749" w:rsidRDefault="00F34749" w:rsidP="00F34749">
      <w:pPr>
        <w:autoSpaceDE w:val="0"/>
        <w:autoSpaceDN w:val="0"/>
        <w:adjustRightInd w:val="0"/>
        <w:jc w:val="both"/>
      </w:pPr>
      <w:r w:rsidRPr="00100C1E">
        <w:t>En ese sentido, se puede observar que la finalidad que tiene una mayor importancia en el presupuesto es Educación (Q</w:t>
      </w:r>
      <w:r w:rsidR="004F6EB5">
        <w:t>.</w:t>
      </w:r>
      <w:r w:rsidRPr="00100C1E">
        <w:t>21,290.2 millones) representando cerca del 19.8% del monto total del presupuesto vigente de 2021 y al finalizar el año se espera que la ejecución en esta finalidad s</w:t>
      </w:r>
      <w:r w:rsidR="004F6EB5">
        <w:t>e encuentre por arriba del 95%.</w:t>
      </w:r>
    </w:p>
    <w:p w:rsidR="004F6EB5" w:rsidRPr="00E00D08" w:rsidRDefault="004F6EB5" w:rsidP="00F34749">
      <w:pPr>
        <w:autoSpaceDE w:val="0"/>
        <w:autoSpaceDN w:val="0"/>
        <w:adjustRightInd w:val="0"/>
        <w:jc w:val="both"/>
        <w:rPr>
          <w:sz w:val="28"/>
        </w:rPr>
      </w:pPr>
    </w:p>
    <w:p w:rsidR="00F34749" w:rsidRPr="00100C1E" w:rsidRDefault="00F34749" w:rsidP="00F34749">
      <w:pPr>
        <w:autoSpaceDE w:val="0"/>
        <w:autoSpaceDN w:val="0"/>
        <w:adjustRightInd w:val="0"/>
        <w:jc w:val="both"/>
      </w:pPr>
      <w:r w:rsidRPr="00100C1E">
        <w:t>Por su parte, la finalidad de orden público y seguridad ciudadana, tiene una asignación de Q</w:t>
      </w:r>
      <w:r w:rsidR="004F6EB5">
        <w:t>.</w:t>
      </w:r>
      <w:r w:rsidRPr="00100C1E">
        <w:t xml:space="preserve">10,874.3 millones, equivalente al 10.1% del presupuesto, mostrando también la prioridad del gobierno </w:t>
      </w:r>
      <w:r w:rsidR="00F73685">
        <w:t>de</w:t>
      </w:r>
      <w:r w:rsidRPr="00100C1E">
        <w:t xml:space="preserve"> fortalecer la seguridad y la justicia. Al finalizar el año se espera que esta finalidad reporte</w:t>
      </w:r>
      <w:r w:rsidR="00F73685">
        <w:t xml:space="preserve"> una ejecución cercana al 100%.</w:t>
      </w:r>
    </w:p>
    <w:p w:rsidR="00F34749" w:rsidRPr="00E00D08" w:rsidRDefault="00F34749" w:rsidP="00F34749">
      <w:pPr>
        <w:autoSpaceDE w:val="0"/>
        <w:autoSpaceDN w:val="0"/>
        <w:adjustRightInd w:val="0"/>
        <w:jc w:val="both"/>
        <w:rPr>
          <w:sz w:val="28"/>
        </w:rPr>
      </w:pPr>
    </w:p>
    <w:p w:rsidR="00F34749" w:rsidRDefault="00F34749" w:rsidP="00F34749">
      <w:pPr>
        <w:autoSpaceDE w:val="0"/>
        <w:autoSpaceDN w:val="0"/>
        <w:adjustRightInd w:val="0"/>
        <w:jc w:val="both"/>
      </w:pPr>
      <w:r w:rsidRPr="00100C1E">
        <w:t xml:space="preserve">Respecto </w:t>
      </w:r>
      <w:r w:rsidR="00551038">
        <w:t>de</w:t>
      </w:r>
      <w:r w:rsidRPr="00100C1E">
        <w:t xml:space="preserve"> las finalidades relacionadas a la Protección Ambiental y las Actividades Deportivas, Recreativas, Cultura y Religión dado el nivel de dinamismo de la ejecución a junio, se espera que sean las finalidades que reporten niveles de ejecución más bajos, al igual que los Asuntos Económicos por los motivos anteriormente expuestos.</w:t>
      </w:r>
    </w:p>
    <w:p w:rsidR="00F34749" w:rsidRDefault="00F34749" w:rsidP="00F34749">
      <w:pPr>
        <w:autoSpaceDE w:val="0"/>
        <w:autoSpaceDN w:val="0"/>
        <w:adjustRightInd w:val="0"/>
        <w:jc w:val="both"/>
        <w:rPr>
          <w:sz w:val="16"/>
        </w:rPr>
      </w:pPr>
    </w:p>
    <w:p w:rsidR="00E00D08" w:rsidRDefault="00E00D08" w:rsidP="00F34749">
      <w:pPr>
        <w:autoSpaceDE w:val="0"/>
        <w:autoSpaceDN w:val="0"/>
        <w:adjustRightInd w:val="0"/>
        <w:jc w:val="both"/>
        <w:rPr>
          <w:sz w:val="16"/>
        </w:rPr>
      </w:pPr>
    </w:p>
    <w:p w:rsidR="00344EB7" w:rsidRDefault="00344EB7" w:rsidP="00F34749">
      <w:pPr>
        <w:autoSpaceDE w:val="0"/>
        <w:autoSpaceDN w:val="0"/>
        <w:adjustRightInd w:val="0"/>
        <w:jc w:val="both"/>
        <w:rPr>
          <w:sz w:val="16"/>
        </w:rPr>
      </w:pPr>
    </w:p>
    <w:p w:rsidR="00E00D08" w:rsidRDefault="00E00D08" w:rsidP="00F34749">
      <w:pPr>
        <w:autoSpaceDE w:val="0"/>
        <w:autoSpaceDN w:val="0"/>
        <w:adjustRightInd w:val="0"/>
        <w:jc w:val="both"/>
        <w:rPr>
          <w:sz w:val="16"/>
        </w:rPr>
      </w:pPr>
    </w:p>
    <w:p w:rsidR="00E00D08" w:rsidRDefault="00E00D08" w:rsidP="00F34749">
      <w:pPr>
        <w:autoSpaceDE w:val="0"/>
        <w:autoSpaceDN w:val="0"/>
        <w:adjustRightInd w:val="0"/>
        <w:jc w:val="both"/>
        <w:rPr>
          <w:sz w:val="16"/>
        </w:rPr>
      </w:pPr>
    </w:p>
    <w:p w:rsidR="00E00D08" w:rsidRDefault="00E00D08" w:rsidP="00F34749">
      <w:pPr>
        <w:autoSpaceDE w:val="0"/>
        <w:autoSpaceDN w:val="0"/>
        <w:adjustRightInd w:val="0"/>
        <w:jc w:val="both"/>
        <w:rPr>
          <w:sz w:val="16"/>
        </w:rPr>
      </w:pPr>
    </w:p>
    <w:p w:rsidR="00C120D1" w:rsidRDefault="00C120D1" w:rsidP="00F34749">
      <w:pPr>
        <w:autoSpaceDE w:val="0"/>
        <w:autoSpaceDN w:val="0"/>
        <w:adjustRightInd w:val="0"/>
        <w:jc w:val="center"/>
        <w:rPr>
          <w:b/>
        </w:rPr>
      </w:pPr>
      <w:r>
        <w:rPr>
          <w:b/>
        </w:rPr>
        <w:lastRenderedPageBreak/>
        <w:t>Cuadro 2</w:t>
      </w:r>
      <w:r w:rsidR="00E00D08">
        <w:rPr>
          <w:b/>
        </w:rPr>
        <w:t>4</w:t>
      </w:r>
    </w:p>
    <w:p w:rsidR="00F34749" w:rsidRDefault="00F34749" w:rsidP="00F34749">
      <w:pPr>
        <w:autoSpaceDE w:val="0"/>
        <w:autoSpaceDN w:val="0"/>
        <w:adjustRightInd w:val="0"/>
        <w:jc w:val="center"/>
        <w:rPr>
          <w:b/>
        </w:rPr>
      </w:pPr>
      <w:r w:rsidRPr="00E10D65">
        <w:rPr>
          <w:b/>
        </w:rPr>
        <w:t>Presupuesto y estimación del Gasto por Finalidad</w:t>
      </w:r>
    </w:p>
    <w:p w:rsidR="00F34749" w:rsidRPr="00E10D65" w:rsidRDefault="00F34749" w:rsidP="00F34749">
      <w:pPr>
        <w:autoSpaceDE w:val="0"/>
        <w:autoSpaceDN w:val="0"/>
        <w:adjustRightInd w:val="0"/>
        <w:jc w:val="center"/>
        <w:rPr>
          <w:b/>
        </w:rPr>
      </w:pPr>
      <w:r w:rsidRPr="00E10D65">
        <w:rPr>
          <w:b/>
        </w:rPr>
        <w:t>Estimación de cierre 2021</w:t>
      </w:r>
    </w:p>
    <w:p w:rsidR="00F34749" w:rsidRPr="00E10D65" w:rsidRDefault="00F34749" w:rsidP="00F34749">
      <w:pPr>
        <w:autoSpaceDE w:val="0"/>
        <w:autoSpaceDN w:val="0"/>
        <w:adjustRightInd w:val="0"/>
        <w:jc w:val="center"/>
      </w:pPr>
      <w:r w:rsidRPr="00C120D1">
        <w:rPr>
          <w:b/>
          <w:noProof/>
          <w:lang w:val="es-GT" w:eastAsia="es-GT"/>
        </w:rPr>
        <w:drawing>
          <wp:anchor distT="0" distB="0" distL="114300" distR="114300" simplePos="0" relativeHeight="251670528" behindDoc="0" locked="0" layoutInCell="1" allowOverlap="1" wp14:anchorId="0FC5C12B" wp14:editId="30905222">
            <wp:simplePos x="0" y="0"/>
            <wp:positionH relativeFrom="column">
              <wp:posOffset>-118110</wp:posOffset>
            </wp:positionH>
            <wp:positionV relativeFrom="paragraph">
              <wp:posOffset>222250</wp:posOffset>
            </wp:positionV>
            <wp:extent cx="5970270" cy="2895600"/>
            <wp:effectExtent l="0" t="0" r="0" b="0"/>
            <wp:wrapSquare wrapText="bothSides"/>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t="18182"/>
                    <a:stretch/>
                  </pic:blipFill>
                  <pic:spPr bwMode="auto">
                    <a:xfrm>
                      <a:off x="0" y="0"/>
                      <a:ext cx="5970270"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0D1" w:rsidRPr="00C120D1">
        <w:rPr>
          <w:b/>
        </w:rPr>
        <w:t xml:space="preserve">(En </w:t>
      </w:r>
      <w:r w:rsidRPr="00C120D1">
        <w:rPr>
          <w:b/>
        </w:rPr>
        <w:t xml:space="preserve">Millones de </w:t>
      </w:r>
      <w:r w:rsidR="00C120D1" w:rsidRPr="00C120D1">
        <w:rPr>
          <w:b/>
        </w:rPr>
        <w:t>Q</w:t>
      </w:r>
      <w:r w:rsidRPr="00C120D1">
        <w:rPr>
          <w:b/>
        </w:rPr>
        <w:t>uetzales</w:t>
      </w:r>
      <w:r w:rsidR="00C120D1" w:rsidRPr="00C120D1">
        <w:rPr>
          <w:b/>
        </w:rPr>
        <w:t>)</w:t>
      </w:r>
    </w:p>
    <w:p w:rsidR="00F34749" w:rsidRPr="00551038" w:rsidRDefault="000134B5" w:rsidP="00F34749">
      <w:pPr>
        <w:autoSpaceDE w:val="0"/>
        <w:autoSpaceDN w:val="0"/>
        <w:adjustRightInd w:val="0"/>
        <w:jc w:val="both"/>
        <w:rPr>
          <w:sz w:val="18"/>
        </w:rPr>
      </w:pPr>
      <w:r>
        <w:rPr>
          <w:noProof/>
          <w:sz w:val="18"/>
          <w:lang w:val="es-ES_tradnl"/>
        </w:rPr>
        <w:t>Fuente: Ministerio de Finanzas Públicas.</w:t>
      </w:r>
    </w:p>
    <w:p w:rsidR="00F34749" w:rsidRPr="00E00D08" w:rsidRDefault="00F34749" w:rsidP="00F34749">
      <w:pPr>
        <w:autoSpaceDE w:val="0"/>
        <w:autoSpaceDN w:val="0"/>
        <w:adjustRightInd w:val="0"/>
        <w:jc w:val="both"/>
        <w:rPr>
          <w:b/>
          <w:sz w:val="28"/>
        </w:rPr>
      </w:pPr>
    </w:p>
    <w:p w:rsidR="00F34749" w:rsidRPr="001227FE" w:rsidRDefault="00F34749" w:rsidP="004C636B">
      <w:pPr>
        <w:pStyle w:val="Ttulo3"/>
        <w:numPr>
          <w:ilvl w:val="0"/>
          <w:numId w:val="9"/>
        </w:numPr>
        <w:ind w:left="426"/>
        <w:rPr>
          <w:rFonts w:ascii="Times New Roman" w:hAnsi="Times New Roman"/>
          <w:color w:val="auto"/>
        </w:rPr>
      </w:pPr>
      <w:bookmarkStart w:id="64" w:name="_Toc81388554"/>
      <w:bookmarkStart w:id="65" w:name="_Toc83713648"/>
      <w:r w:rsidRPr="001227FE">
        <w:rPr>
          <w:rFonts w:ascii="Times New Roman" w:hAnsi="Times New Roman"/>
          <w:color w:val="auto"/>
        </w:rPr>
        <w:t xml:space="preserve">Déficit Fiscal y su </w:t>
      </w:r>
      <w:r w:rsidR="009114FA">
        <w:rPr>
          <w:rFonts w:ascii="Times New Roman" w:hAnsi="Times New Roman"/>
          <w:color w:val="auto"/>
        </w:rPr>
        <w:t>F</w:t>
      </w:r>
      <w:r w:rsidRPr="001227FE">
        <w:rPr>
          <w:rFonts w:ascii="Times New Roman" w:hAnsi="Times New Roman"/>
          <w:color w:val="auto"/>
        </w:rPr>
        <w:t>inanciamiento</w:t>
      </w:r>
      <w:bookmarkEnd w:id="64"/>
      <w:bookmarkEnd w:id="65"/>
    </w:p>
    <w:p w:rsidR="00F34749" w:rsidRDefault="00F34749" w:rsidP="00F34749">
      <w:pPr>
        <w:autoSpaceDE w:val="0"/>
        <w:autoSpaceDN w:val="0"/>
        <w:adjustRightInd w:val="0"/>
        <w:jc w:val="both"/>
        <w:rPr>
          <w:b/>
        </w:rPr>
      </w:pPr>
    </w:p>
    <w:p w:rsidR="00F34749" w:rsidRDefault="00F34749" w:rsidP="00F34749">
      <w:pPr>
        <w:autoSpaceDE w:val="0"/>
        <w:autoSpaceDN w:val="0"/>
        <w:adjustRightInd w:val="0"/>
        <w:jc w:val="both"/>
      </w:pPr>
      <w:r>
        <w:t>Dada la dinámica de ingresos y gastos, e</w:t>
      </w:r>
      <w:r w:rsidRPr="00264476">
        <w:t>l déficit</w:t>
      </w:r>
      <w:r>
        <w:t xml:space="preserve"> a junio se ubica en Q</w:t>
      </w:r>
      <w:r w:rsidR="00E608B8">
        <w:t>.</w:t>
      </w:r>
      <w:r>
        <w:t>1,813.3 millones, correspondiente al 0.3% del PIB. En los años anteriores (2018-2020) a junio también se reportaba déficit fiscal, resalta en particular el amplio déficit observado en 2020, mismo que responde a la ejecución acelerada en los programas de emergencia derivados del COVID-19 y la recaudación tributaria, en dicho año, reportaba una variación interanual negativa, mientras la brecha respecto a la meta se continuaba ampliando.</w:t>
      </w:r>
    </w:p>
    <w:p w:rsidR="00F34749" w:rsidRPr="00E00D08" w:rsidRDefault="00F34749" w:rsidP="00F34749">
      <w:pPr>
        <w:autoSpaceDE w:val="0"/>
        <w:autoSpaceDN w:val="0"/>
        <w:adjustRightInd w:val="0"/>
        <w:jc w:val="both"/>
        <w:rPr>
          <w:sz w:val="28"/>
        </w:rPr>
      </w:pPr>
    </w:p>
    <w:p w:rsidR="00F34749" w:rsidRDefault="00F34749" w:rsidP="00F34749">
      <w:pPr>
        <w:autoSpaceDE w:val="0"/>
        <w:autoSpaceDN w:val="0"/>
        <w:adjustRightInd w:val="0"/>
        <w:jc w:val="both"/>
      </w:pPr>
      <w:r>
        <w:t>Se tiene previsto que el gasto público se dinamice en los próximos meses, derivado del buen desempeño en la recaudación tributaria las entidades recibirían más recursos. Es importante considerar que el déficit fiscal continuará ampliándose en los próximos meses, aunque de forma más moderada en relación al 2020, dado que la variación interanual del gasto, se ubicaría en terreno negativo.</w:t>
      </w:r>
    </w:p>
    <w:p w:rsidR="00F34749" w:rsidRPr="00E00D08" w:rsidRDefault="00F34749" w:rsidP="00F34749">
      <w:pPr>
        <w:autoSpaceDE w:val="0"/>
        <w:autoSpaceDN w:val="0"/>
        <w:adjustRightInd w:val="0"/>
        <w:jc w:val="both"/>
        <w:rPr>
          <w:sz w:val="28"/>
        </w:rPr>
      </w:pPr>
    </w:p>
    <w:p w:rsidR="00F34749" w:rsidRDefault="00F34749" w:rsidP="00F34749">
      <w:pPr>
        <w:autoSpaceDE w:val="0"/>
        <w:autoSpaceDN w:val="0"/>
        <w:adjustRightInd w:val="0"/>
        <w:jc w:val="both"/>
      </w:pPr>
      <w:r>
        <w:t>En cuanto al financiamiento, al cierre de junio se obtuvo un flujo negativo en el endeudamiento externo neto por el equivalente a Q</w:t>
      </w:r>
      <w:r w:rsidR="00E608B8">
        <w:t>.</w:t>
      </w:r>
      <w:r>
        <w:t>1,226.0 millones, dado que las amortizaciones de préstamos superan los desembolsos. Adicionalmente, se han realizado colocaciones por Q</w:t>
      </w:r>
      <w:r w:rsidR="00E608B8">
        <w:t>.</w:t>
      </w:r>
      <w:r>
        <w:t>12,525.1 millones correspondientes a Bonos del Tesoro en el mercado interno.</w:t>
      </w:r>
    </w:p>
    <w:p w:rsidR="00F34749" w:rsidRPr="00E00D08" w:rsidRDefault="00F34749" w:rsidP="00F34749">
      <w:pPr>
        <w:autoSpaceDE w:val="0"/>
        <w:autoSpaceDN w:val="0"/>
        <w:adjustRightInd w:val="0"/>
        <w:jc w:val="both"/>
        <w:rPr>
          <w:sz w:val="28"/>
        </w:rPr>
      </w:pPr>
    </w:p>
    <w:p w:rsidR="00F34749" w:rsidRPr="00FC5AE9" w:rsidRDefault="00F34749" w:rsidP="00F34749">
      <w:pPr>
        <w:autoSpaceDE w:val="0"/>
        <w:autoSpaceDN w:val="0"/>
        <w:adjustRightInd w:val="0"/>
        <w:jc w:val="both"/>
      </w:pPr>
      <w:r>
        <w:t>Respect</w:t>
      </w:r>
      <w:r w:rsidRPr="00622789">
        <w:t xml:space="preserve">o </w:t>
      </w:r>
      <w:r w:rsidR="00E608B8">
        <w:t>de</w:t>
      </w:r>
      <w:r w:rsidRPr="00622789">
        <w:t xml:space="preserve"> las condiciones financieras, se ha colocado en moneda nac</w:t>
      </w:r>
      <w:r>
        <w:t>ional a una tasa promedio de 5.1</w:t>
      </w:r>
      <w:r w:rsidRPr="00622789">
        <w:t>% y un plazo medio de 15</w:t>
      </w:r>
      <w:r>
        <w:t>.8</w:t>
      </w:r>
      <w:r w:rsidRPr="00622789">
        <w:t xml:space="preserve"> años, en moneda extranjera se ha colocado a una tasa promedio de 4.1% y un plazo medio de 15 años. Además, se tienen colocaciones con </w:t>
      </w:r>
      <w:r w:rsidRPr="00622789">
        <w:lastRenderedPageBreak/>
        <w:t>pequeños inversionistas</w:t>
      </w:r>
      <w:r>
        <w:t xml:space="preserve"> como parte de la democratización de los títulos del tesoro</w:t>
      </w:r>
      <w:r w:rsidRPr="00622789">
        <w:t xml:space="preserve">. Por lo anterior, aún está pendiente de colocarse, conforme lo autorizado por el Congreso de la República, la </w:t>
      </w:r>
      <w:r w:rsidRPr="00FC5AE9">
        <w:t>cantidad de Q</w:t>
      </w:r>
      <w:r w:rsidR="00E608B8">
        <w:t>.</w:t>
      </w:r>
      <w:r w:rsidRPr="00FC5AE9">
        <w:t>11,953.4 millones, es decir, el 48.8% del total de la emisión para este año.</w:t>
      </w:r>
    </w:p>
    <w:p w:rsidR="00F34749" w:rsidRPr="00FC5AE9" w:rsidRDefault="00F34749" w:rsidP="00F34749">
      <w:pPr>
        <w:autoSpaceDE w:val="0"/>
        <w:autoSpaceDN w:val="0"/>
        <w:adjustRightInd w:val="0"/>
        <w:jc w:val="both"/>
      </w:pPr>
    </w:p>
    <w:p w:rsidR="00F34749" w:rsidRPr="00FC5AE9" w:rsidRDefault="00F34749" w:rsidP="00F34749">
      <w:pPr>
        <w:autoSpaceDE w:val="0"/>
        <w:autoSpaceDN w:val="0"/>
        <w:adjustRightInd w:val="0"/>
        <w:jc w:val="both"/>
        <w:rPr>
          <w:lang w:val="es-GT"/>
        </w:rPr>
      </w:pPr>
      <w:r w:rsidRPr="00FC5AE9">
        <w:rPr>
          <w:lang w:val="es-GT"/>
        </w:rPr>
        <w:t>Para 2020, se dio un salto importante del déficit fiscal al ubicarlo en 4.9%. No obstante, para 2021 habrá una importante disminución del déficit fiscal, si bien aún se encontrará por arriba del nivel observado en los años previos (2013-2019), en este ejercicio fiscal se tiene estimado dar inicio al proceso de consolidación para retornar en el mediano plazo los niveles previos a la crisis del COVID-19.</w:t>
      </w:r>
    </w:p>
    <w:p w:rsidR="00F34749" w:rsidRPr="00FC5AE9" w:rsidRDefault="00F34749" w:rsidP="00F34749">
      <w:pPr>
        <w:autoSpaceDE w:val="0"/>
        <w:autoSpaceDN w:val="0"/>
        <w:adjustRightInd w:val="0"/>
        <w:jc w:val="both"/>
        <w:rPr>
          <w:lang w:val="es-GT"/>
        </w:rPr>
      </w:pPr>
    </w:p>
    <w:p w:rsidR="00F34749" w:rsidRDefault="00F34749" w:rsidP="00F34749">
      <w:pPr>
        <w:autoSpaceDE w:val="0"/>
        <w:autoSpaceDN w:val="0"/>
        <w:adjustRightInd w:val="0"/>
        <w:jc w:val="both"/>
      </w:pPr>
      <w:r w:rsidRPr="00932BA8">
        <w:t>Derivado de lo anterior, se estima que el déficit fiscal se ubicará en torno a los Q</w:t>
      </w:r>
      <w:r w:rsidR="00E608B8">
        <w:t>.</w:t>
      </w:r>
      <w:r w:rsidRPr="00932BA8">
        <w:t xml:space="preserve">14,757.4 millones, equivalente a 2.3% del PIB. El resultado de 2021 estará por debajo de lo estimado en presupuesto para este año </w:t>
      </w:r>
      <w:r>
        <w:t>(</w:t>
      </w:r>
      <w:r w:rsidRPr="00932BA8">
        <w:t>5.4% del PIB</w:t>
      </w:r>
      <w:r>
        <w:t>)</w:t>
      </w:r>
      <w:r w:rsidRPr="00932BA8">
        <w:t>, aunque hay que considerar que este presupuesto aun contiene las ampliaciones realizadas en 2020 para la atención del COVID-19 y otros compromisos que era necesario atender.</w:t>
      </w:r>
    </w:p>
    <w:p w:rsidR="00F34749" w:rsidRPr="00344EB7" w:rsidRDefault="00F34749" w:rsidP="00F34749">
      <w:pPr>
        <w:autoSpaceDE w:val="0"/>
        <w:autoSpaceDN w:val="0"/>
        <w:adjustRightInd w:val="0"/>
        <w:jc w:val="both"/>
        <w:rPr>
          <w:sz w:val="36"/>
        </w:rPr>
      </w:pPr>
      <w:bookmarkStart w:id="66" w:name="_GoBack"/>
      <w:bookmarkEnd w:id="66"/>
    </w:p>
    <w:p w:rsidR="00F34749" w:rsidRPr="001227FE" w:rsidRDefault="00F34749" w:rsidP="004C636B">
      <w:pPr>
        <w:pStyle w:val="Ttulo3"/>
        <w:numPr>
          <w:ilvl w:val="0"/>
          <w:numId w:val="9"/>
        </w:numPr>
        <w:ind w:left="426"/>
        <w:rPr>
          <w:rFonts w:ascii="Times New Roman" w:hAnsi="Times New Roman"/>
          <w:color w:val="auto"/>
        </w:rPr>
      </w:pPr>
      <w:bookmarkStart w:id="67" w:name="_Toc81388555"/>
      <w:bookmarkStart w:id="68" w:name="_Toc83713649"/>
      <w:r w:rsidRPr="001227FE">
        <w:rPr>
          <w:rFonts w:ascii="Times New Roman" w:hAnsi="Times New Roman"/>
          <w:color w:val="auto"/>
        </w:rPr>
        <w:t>Deuda</w:t>
      </w:r>
      <w:bookmarkEnd w:id="67"/>
      <w:r w:rsidRPr="001227FE">
        <w:rPr>
          <w:rFonts w:ascii="Times New Roman" w:hAnsi="Times New Roman"/>
          <w:color w:val="auto"/>
        </w:rPr>
        <w:t xml:space="preserve"> </w:t>
      </w:r>
      <w:r w:rsidR="009114FA">
        <w:rPr>
          <w:rFonts w:ascii="Times New Roman" w:hAnsi="Times New Roman"/>
          <w:color w:val="auto"/>
        </w:rPr>
        <w:t>Pública</w:t>
      </w:r>
      <w:bookmarkEnd w:id="68"/>
    </w:p>
    <w:p w:rsidR="00F34749" w:rsidRDefault="00F34749" w:rsidP="00F34749">
      <w:pPr>
        <w:autoSpaceDE w:val="0"/>
        <w:autoSpaceDN w:val="0"/>
        <w:adjustRightInd w:val="0"/>
        <w:jc w:val="both"/>
      </w:pPr>
    </w:p>
    <w:p w:rsidR="00F34749" w:rsidRPr="00212E53" w:rsidRDefault="00F34749" w:rsidP="00F34749">
      <w:pPr>
        <w:autoSpaceDE w:val="0"/>
        <w:autoSpaceDN w:val="0"/>
        <w:adjustRightInd w:val="0"/>
        <w:jc w:val="both"/>
      </w:pPr>
      <w:r w:rsidRPr="00212E53">
        <w:t>La deuda pública en 2020 report</w:t>
      </w:r>
      <w:r w:rsidR="00E608B8">
        <w:t>ó</w:t>
      </w:r>
      <w:r w:rsidRPr="00212E53">
        <w:t xml:space="preserve"> un saldo de Q</w:t>
      </w:r>
      <w:r w:rsidR="00E608B8">
        <w:t>.</w:t>
      </w:r>
      <w:r w:rsidRPr="00212E53">
        <w:t xml:space="preserve">189,187.6 millones, de los cuales, por estructura de origen, el 57.0% correspondió a deuda interna y 43.0% a deuda externa. Respecto </w:t>
      </w:r>
      <w:r w:rsidR="00E608B8">
        <w:t>de</w:t>
      </w:r>
      <w:r w:rsidRPr="00212E53">
        <w:t xml:space="preserve"> la estructura por moneda, el 53.4% correspondió a moneda nacional y 46.6% a moneda extranjera.</w:t>
      </w:r>
    </w:p>
    <w:p w:rsidR="00F34749" w:rsidRPr="00212E53" w:rsidRDefault="00F34749" w:rsidP="00F34749">
      <w:pPr>
        <w:autoSpaceDE w:val="0"/>
        <w:autoSpaceDN w:val="0"/>
        <w:adjustRightInd w:val="0"/>
        <w:jc w:val="both"/>
      </w:pPr>
    </w:p>
    <w:p w:rsidR="00F34749" w:rsidRPr="00212E53" w:rsidRDefault="00F34749" w:rsidP="00F34749">
      <w:pPr>
        <w:autoSpaceDE w:val="0"/>
        <w:autoSpaceDN w:val="0"/>
        <w:adjustRightInd w:val="0"/>
        <w:jc w:val="both"/>
      </w:pPr>
      <w:r w:rsidRPr="00212E53">
        <w:t>De acuerdo a la estimación de cierre para 2021, se espera que el saldo de la deuda pública crezca en Q</w:t>
      </w:r>
      <w:r w:rsidR="00E608B8">
        <w:t>.</w:t>
      </w:r>
      <w:r w:rsidRPr="00212E53">
        <w:t>16,716.7 millones (8.8%) y la estructura de origen de deuda se modifica aumentando el porcentaje de deuda interna a 61.6% y por moneda aumenta el porcentaje en moneda local a 58.4%, esto se da como resultado del mayor financiamiento interno que se prevé para el presente año.</w:t>
      </w:r>
    </w:p>
    <w:p w:rsidR="00F34749" w:rsidRDefault="00F34749" w:rsidP="00F34749">
      <w:pPr>
        <w:autoSpaceDE w:val="0"/>
        <w:autoSpaceDN w:val="0"/>
        <w:adjustRightInd w:val="0"/>
        <w:jc w:val="both"/>
        <w:rPr>
          <w:highlight w:val="yellow"/>
        </w:rPr>
      </w:pPr>
    </w:p>
    <w:p w:rsidR="00F34749" w:rsidRDefault="00F34749" w:rsidP="00F34749">
      <w:pPr>
        <w:autoSpaceDE w:val="0"/>
        <w:autoSpaceDN w:val="0"/>
        <w:adjustRightInd w:val="0"/>
        <w:jc w:val="both"/>
      </w:pPr>
      <w:r>
        <w:t>Considerando el</w:t>
      </w:r>
      <w:r w:rsidRPr="00212E53">
        <w:t xml:space="preserve"> indicador de solvencia de la deuda pública, también conocido como indica</w:t>
      </w:r>
      <w:r>
        <w:t>dor</w:t>
      </w:r>
      <w:r w:rsidRPr="00212E53">
        <w:t xml:space="preserve"> de sostenibilidad, </w:t>
      </w:r>
      <w:r>
        <w:t xml:space="preserve">muestra </w:t>
      </w:r>
      <w:r w:rsidRPr="00212E53">
        <w:t>la capacidad de repago de la deuda que tiene un país considerando la producción na</w:t>
      </w:r>
      <w:r w:rsidR="00E608B8">
        <w:t>cional medida a través del PIB.</w:t>
      </w:r>
    </w:p>
    <w:p w:rsidR="00F34749" w:rsidRDefault="00F34749" w:rsidP="00F34749">
      <w:pPr>
        <w:autoSpaceDE w:val="0"/>
        <w:autoSpaceDN w:val="0"/>
        <w:adjustRightInd w:val="0"/>
        <w:jc w:val="both"/>
      </w:pPr>
    </w:p>
    <w:p w:rsidR="00F34749" w:rsidRDefault="00F34749" w:rsidP="00F34749">
      <w:pPr>
        <w:autoSpaceDE w:val="0"/>
        <w:autoSpaceDN w:val="0"/>
        <w:adjustRightInd w:val="0"/>
        <w:jc w:val="both"/>
      </w:pPr>
      <w:r w:rsidRPr="00212E53">
        <w:t xml:space="preserve">El principal indicador es la relación </w:t>
      </w:r>
      <w:r w:rsidR="00723732">
        <w:t>D</w:t>
      </w:r>
      <w:r w:rsidRPr="00212E53">
        <w:t>euda/PIB, que muestra la capacidad potencial que tiene el país para atender sus obligaciones</w:t>
      </w:r>
      <w:r>
        <w:t>,</w:t>
      </w:r>
      <w:r w:rsidRPr="00212E53">
        <w:t xml:space="preserve"> para el cierre del 2020 se ubicó </w:t>
      </w:r>
      <w:r>
        <w:t xml:space="preserve">en 31.6% </w:t>
      </w:r>
      <w:r w:rsidRPr="00212E53">
        <w:t>derivado del aumento significativo del déficit fiscal</w:t>
      </w:r>
      <w:r>
        <w:t xml:space="preserve"> por la atención necesaria de la crisis económica y sanitaria del COVID-19, el indicador</w:t>
      </w:r>
      <w:r w:rsidRPr="00212E53">
        <w:t xml:space="preserve"> aumentó 5.1 puntos porcentuales</w:t>
      </w:r>
      <w:r>
        <w:t xml:space="preserve"> respecto al 2019</w:t>
      </w:r>
      <w:r w:rsidRPr="00212E53">
        <w:t xml:space="preserve">. </w:t>
      </w:r>
      <w:r>
        <w:t>Para 2021 se espera que aumente levemen</w:t>
      </w:r>
      <w:r w:rsidR="00723732">
        <w:t>te y alcance un nivel de 31.9%.</w:t>
      </w:r>
    </w:p>
    <w:p w:rsidR="00F34749" w:rsidRDefault="00F34749" w:rsidP="00F34749">
      <w:pPr>
        <w:autoSpaceDE w:val="0"/>
        <w:autoSpaceDN w:val="0"/>
        <w:adjustRightInd w:val="0"/>
        <w:jc w:val="both"/>
      </w:pPr>
    </w:p>
    <w:p w:rsidR="00F34749" w:rsidRDefault="00F34749" w:rsidP="00F34749">
      <w:pPr>
        <w:autoSpaceDE w:val="0"/>
        <w:autoSpaceDN w:val="0"/>
        <w:adjustRightInd w:val="0"/>
        <w:jc w:val="both"/>
      </w:pPr>
      <w:r>
        <w:t xml:space="preserve">Este indicador </w:t>
      </w:r>
      <w:r w:rsidR="00723732">
        <w:t>D</w:t>
      </w:r>
      <w:r>
        <w:t xml:space="preserve">euda/PIB aún se encuentra </w:t>
      </w:r>
      <w:r w:rsidRPr="00212E53">
        <w:t xml:space="preserve">por debajo del benchmark para países emergentes con acceso al mercado </w:t>
      </w:r>
      <w:r>
        <w:t>de capitales y con ingreso medio alto, según estable</w:t>
      </w:r>
      <w:r w:rsidR="00723732">
        <w:t>ce</w:t>
      </w:r>
      <w:r>
        <w:t xml:space="preserve"> </w:t>
      </w:r>
      <w:r w:rsidRPr="00212E53">
        <w:t>el Fondo Monetario Internacional</w:t>
      </w:r>
      <w:r>
        <w:t xml:space="preserve"> y el Banco Mundial, entre </w:t>
      </w:r>
      <w:r w:rsidRPr="00212E53">
        <w:t xml:space="preserve">otros organismos internacionales, </w:t>
      </w:r>
      <w:r>
        <w:t>cuyo rango de tolerancia oscila entre</w:t>
      </w:r>
      <w:r w:rsidRPr="00212E53">
        <w:t xml:space="preserve"> 50% a 60%</w:t>
      </w:r>
      <w:r>
        <w:t xml:space="preserve"> del PIB.</w:t>
      </w:r>
    </w:p>
    <w:p w:rsidR="00F34749" w:rsidRDefault="00F34749" w:rsidP="00F34749">
      <w:pPr>
        <w:autoSpaceDE w:val="0"/>
        <w:autoSpaceDN w:val="0"/>
        <w:adjustRightInd w:val="0"/>
        <w:rPr>
          <w:b/>
        </w:rPr>
      </w:pPr>
    </w:p>
    <w:p w:rsidR="00C120D1" w:rsidRDefault="00C120D1" w:rsidP="00F34749">
      <w:pPr>
        <w:autoSpaceDE w:val="0"/>
        <w:autoSpaceDN w:val="0"/>
        <w:adjustRightInd w:val="0"/>
        <w:jc w:val="center"/>
        <w:rPr>
          <w:b/>
        </w:rPr>
      </w:pPr>
      <w:r>
        <w:rPr>
          <w:b/>
        </w:rPr>
        <w:lastRenderedPageBreak/>
        <w:t>Cuadro 2</w:t>
      </w:r>
      <w:r w:rsidR="00BA6AD8">
        <w:rPr>
          <w:b/>
        </w:rPr>
        <w:t>5</w:t>
      </w:r>
    </w:p>
    <w:p w:rsidR="00F34749" w:rsidRDefault="00F34749" w:rsidP="00F34749">
      <w:pPr>
        <w:autoSpaceDE w:val="0"/>
        <w:autoSpaceDN w:val="0"/>
        <w:adjustRightInd w:val="0"/>
        <w:jc w:val="center"/>
        <w:rPr>
          <w:b/>
        </w:rPr>
      </w:pPr>
      <w:r>
        <w:rPr>
          <w:b/>
        </w:rPr>
        <w:t>Saldo de la Deuda Pública por Origen y Moneda</w:t>
      </w:r>
    </w:p>
    <w:p w:rsidR="00F34749" w:rsidRDefault="00F34749" w:rsidP="00F34749">
      <w:pPr>
        <w:autoSpaceDE w:val="0"/>
        <w:autoSpaceDN w:val="0"/>
        <w:adjustRightInd w:val="0"/>
        <w:jc w:val="center"/>
        <w:rPr>
          <w:b/>
        </w:rPr>
      </w:pPr>
      <w:r>
        <w:rPr>
          <w:b/>
        </w:rPr>
        <w:t>2020</w:t>
      </w:r>
      <w:r w:rsidR="00BA6AD8">
        <w:rPr>
          <w:b/>
        </w:rPr>
        <w:t xml:space="preserve"> </w:t>
      </w:r>
      <w:r>
        <w:rPr>
          <w:b/>
        </w:rPr>
        <w:t>-</w:t>
      </w:r>
      <w:r w:rsidR="00BA6AD8">
        <w:rPr>
          <w:b/>
        </w:rPr>
        <w:t xml:space="preserve"> </w:t>
      </w:r>
      <w:r>
        <w:rPr>
          <w:b/>
        </w:rPr>
        <w:t>2021</w:t>
      </w:r>
    </w:p>
    <w:p w:rsidR="00F34749" w:rsidRDefault="00F34749" w:rsidP="00F34749">
      <w:pPr>
        <w:autoSpaceDE w:val="0"/>
        <w:autoSpaceDN w:val="0"/>
        <w:adjustRightInd w:val="0"/>
        <w:jc w:val="center"/>
        <w:rPr>
          <w:b/>
        </w:rPr>
      </w:pPr>
    </w:p>
    <w:p w:rsidR="00F34749" w:rsidRDefault="00F34749" w:rsidP="00F34749">
      <w:pPr>
        <w:autoSpaceDE w:val="0"/>
        <w:autoSpaceDN w:val="0"/>
        <w:adjustRightInd w:val="0"/>
        <w:jc w:val="center"/>
        <w:rPr>
          <w:sz w:val="18"/>
        </w:rPr>
      </w:pPr>
      <w:r w:rsidRPr="00826CE4">
        <w:rPr>
          <w:noProof/>
          <w:lang w:val="es-GT" w:eastAsia="es-GT"/>
        </w:rPr>
        <w:drawing>
          <wp:inline distT="0" distB="0" distL="0" distR="0" wp14:anchorId="531C635E" wp14:editId="031CE066">
            <wp:extent cx="5362575" cy="2028825"/>
            <wp:effectExtent l="0" t="0" r="9525" b="9525"/>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58904" cy="2027436"/>
                    </a:xfrm>
                    <a:prstGeom prst="rect">
                      <a:avLst/>
                    </a:prstGeom>
                    <a:noFill/>
                    <a:ln>
                      <a:noFill/>
                    </a:ln>
                  </pic:spPr>
                </pic:pic>
              </a:graphicData>
            </a:graphic>
          </wp:inline>
        </w:drawing>
      </w:r>
    </w:p>
    <w:p w:rsidR="00F34749" w:rsidRPr="00723732" w:rsidRDefault="00723732" w:rsidP="00723732">
      <w:pPr>
        <w:autoSpaceDE w:val="0"/>
        <w:autoSpaceDN w:val="0"/>
        <w:adjustRightInd w:val="0"/>
        <w:jc w:val="both"/>
        <w:rPr>
          <w:sz w:val="18"/>
        </w:rPr>
      </w:pPr>
      <w:r>
        <w:rPr>
          <w:sz w:val="18"/>
        </w:rPr>
        <w:t xml:space="preserve">       </w:t>
      </w:r>
      <w:r w:rsidR="000134B5">
        <w:rPr>
          <w:noProof/>
          <w:sz w:val="18"/>
          <w:lang w:val="es-ES_tradnl"/>
        </w:rPr>
        <w:t>Fuente: Ministerio de Finanzas Públicas.</w:t>
      </w:r>
    </w:p>
    <w:p w:rsidR="00F34749" w:rsidRDefault="00F34749" w:rsidP="00F34749">
      <w:pPr>
        <w:autoSpaceDE w:val="0"/>
        <w:autoSpaceDN w:val="0"/>
        <w:adjustRightInd w:val="0"/>
        <w:jc w:val="both"/>
        <w:rPr>
          <w:sz w:val="16"/>
        </w:rPr>
      </w:pPr>
    </w:p>
    <w:p w:rsidR="00F34749" w:rsidRDefault="00F34749" w:rsidP="00F34749">
      <w:pPr>
        <w:autoSpaceDE w:val="0"/>
        <w:autoSpaceDN w:val="0"/>
        <w:adjustRightInd w:val="0"/>
        <w:jc w:val="both"/>
        <w:rPr>
          <w:sz w:val="16"/>
        </w:rPr>
      </w:pPr>
    </w:p>
    <w:p w:rsidR="00F34749" w:rsidRDefault="00F34749" w:rsidP="00F34749">
      <w:pPr>
        <w:autoSpaceDE w:val="0"/>
        <w:autoSpaceDN w:val="0"/>
        <w:adjustRightInd w:val="0"/>
        <w:jc w:val="both"/>
        <w:rPr>
          <w:sz w:val="16"/>
        </w:rPr>
      </w:pPr>
    </w:p>
    <w:p w:rsidR="00F34749" w:rsidRDefault="00F34749">
      <w:r>
        <w:br w:type="page"/>
      </w:r>
    </w:p>
    <w:p w:rsidR="004B5DF5" w:rsidRPr="00FD5912" w:rsidRDefault="004B5DF5" w:rsidP="00550287">
      <w:pPr>
        <w:pStyle w:val="Ttulo1"/>
        <w:numPr>
          <w:ilvl w:val="0"/>
          <w:numId w:val="2"/>
        </w:numPr>
        <w:tabs>
          <w:tab w:val="num" w:pos="0"/>
        </w:tabs>
        <w:suppressAutoHyphens/>
        <w:ind w:left="709"/>
      </w:pPr>
      <w:bookmarkStart w:id="69" w:name="_Toc494447094"/>
      <w:bookmarkStart w:id="70" w:name="_Toc83713650"/>
      <w:r w:rsidRPr="00FD5912">
        <w:lastRenderedPageBreak/>
        <w:t>Aspectos Relevantes de</w:t>
      </w:r>
      <w:r w:rsidR="00B20C2F" w:rsidRPr="00FD5912">
        <w:t>l Primer Semestre</w:t>
      </w:r>
      <w:r w:rsidRPr="00FD5912">
        <w:t xml:space="preserve"> 20</w:t>
      </w:r>
      <w:r w:rsidR="00A57870" w:rsidRPr="00FD5912">
        <w:t>2</w:t>
      </w:r>
      <w:r w:rsidR="008F5BA3">
        <w:t>1</w:t>
      </w:r>
      <w:bookmarkEnd w:id="69"/>
      <w:r w:rsidR="009340C5" w:rsidRPr="00FD5912">
        <w:t xml:space="preserve"> y su </w:t>
      </w:r>
      <w:r w:rsidR="000D2458" w:rsidRPr="00FD5912">
        <w:t>c</w:t>
      </w:r>
      <w:r w:rsidR="009340C5" w:rsidRPr="00FD5912">
        <w:t xml:space="preserve">ontinuidad </w:t>
      </w:r>
      <w:r w:rsidR="00EA1931" w:rsidRPr="00FD5912">
        <w:t>para</w:t>
      </w:r>
      <w:r w:rsidR="009340C5" w:rsidRPr="00FD5912">
        <w:t xml:space="preserve"> </w:t>
      </w:r>
      <w:r w:rsidR="000D2458" w:rsidRPr="00FD5912">
        <w:t>F</w:t>
      </w:r>
      <w:r w:rsidR="009340C5" w:rsidRPr="00FD5912">
        <w:t xml:space="preserve">in de </w:t>
      </w:r>
      <w:r w:rsidR="000D2458" w:rsidRPr="00FD5912">
        <w:t>A</w:t>
      </w:r>
      <w:r w:rsidR="009340C5" w:rsidRPr="00FD5912">
        <w:t>ño</w:t>
      </w:r>
      <w:bookmarkEnd w:id="70"/>
    </w:p>
    <w:p w:rsidR="004B5DF5" w:rsidRPr="003C1FEE" w:rsidRDefault="004B5DF5" w:rsidP="004B5DF5">
      <w:pPr>
        <w:jc w:val="both"/>
        <w:rPr>
          <w:highlight w:val="green"/>
        </w:rPr>
      </w:pPr>
    </w:p>
    <w:p w:rsidR="004B5DF5" w:rsidRPr="00D845D9" w:rsidRDefault="004B5DF5" w:rsidP="004C636B">
      <w:pPr>
        <w:pStyle w:val="Ttulo2"/>
        <w:numPr>
          <w:ilvl w:val="1"/>
          <w:numId w:val="4"/>
        </w:numPr>
        <w:rPr>
          <w:rFonts w:ascii="Times New Roman" w:hAnsi="Times New Roman"/>
          <w:color w:val="auto"/>
          <w:sz w:val="24"/>
        </w:rPr>
      </w:pPr>
      <w:bookmarkStart w:id="71" w:name="_Toc83713651"/>
      <w:r w:rsidRPr="00D845D9">
        <w:rPr>
          <w:rFonts w:ascii="Times New Roman" w:hAnsi="Times New Roman"/>
          <w:color w:val="auto"/>
          <w:sz w:val="24"/>
        </w:rPr>
        <w:t xml:space="preserve">Logros </w:t>
      </w:r>
      <w:r w:rsidR="00EE1310">
        <w:rPr>
          <w:rFonts w:ascii="Times New Roman" w:hAnsi="Times New Roman"/>
          <w:color w:val="auto"/>
          <w:sz w:val="24"/>
        </w:rPr>
        <w:t>sobre</w:t>
      </w:r>
      <w:r w:rsidRPr="00D845D9">
        <w:rPr>
          <w:rFonts w:ascii="Times New Roman" w:hAnsi="Times New Roman"/>
          <w:color w:val="auto"/>
          <w:sz w:val="24"/>
        </w:rPr>
        <w:t xml:space="preserve"> Transparencia Fiscal</w:t>
      </w:r>
      <w:bookmarkEnd w:id="71"/>
    </w:p>
    <w:p w:rsidR="004B5DF5" w:rsidRPr="003C1FEE" w:rsidRDefault="004B5DF5" w:rsidP="004B5DF5">
      <w:pPr>
        <w:pStyle w:val="Prrafodelista"/>
        <w:ind w:left="284"/>
        <w:jc w:val="both"/>
        <w:rPr>
          <w:b/>
          <w:sz w:val="32"/>
        </w:rPr>
      </w:pPr>
    </w:p>
    <w:p w:rsidR="002E2D91" w:rsidRDefault="008F5BA3" w:rsidP="00EA1931">
      <w:pPr>
        <w:jc w:val="both"/>
        <w:rPr>
          <w:lang w:val="es-ES_tradnl"/>
        </w:rPr>
      </w:pPr>
      <w:r>
        <w:rPr>
          <w:b/>
          <w:i/>
          <w:lang w:val="es-ES_tradnl"/>
        </w:rPr>
        <w:t>Quinto</w:t>
      </w:r>
      <w:r w:rsidR="00EA1931" w:rsidRPr="006D17DE">
        <w:rPr>
          <w:b/>
          <w:i/>
          <w:lang w:val="es-ES_tradnl"/>
        </w:rPr>
        <w:t xml:space="preserve"> Plan de Acción Nacional de Gobierno Abierto 20</w:t>
      </w:r>
      <w:r>
        <w:rPr>
          <w:b/>
          <w:i/>
          <w:lang w:val="es-ES_tradnl"/>
        </w:rPr>
        <w:t>21-2023</w:t>
      </w:r>
      <w:r w:rsidR="00EA1931" w:rsidRPr="006D17DE">
        <w:rPr>
          <w:b/>
          <w:i/>
          <w:lang w:val="es-ES_tradnl"/>
        </w:rPr>
        <w:t>.</w:t>
      </w:r>
      <w:r w:rsidR="00EA1931" w:rsidRPr="00CD0AF0">
        <w:rPr>
          <w:b/>
          <w:lang w:val="es-ES_tradnl"/>
        </w:rPr>
        <w:t xml:space="preserve"> </w:t>
      </w:r>
      <w:r w:rsidR="00D70208">
        <w:rPr>
          <w:lang w:val="es-ES_tradnl"/>
        </w:rPr>
        <w:t>E</w:t>
      </w:r>
      <w:r>
        <w:rPr>
          <w:lang w:val="es-ES_tradnl"/>
        </w:rPr>
        <w:t xml:space="preserve">l 30 de agosto de 2020 finalizó oficialmente la vigencia del Cuarto Plan de Acción Nacional de Gobierno Abierto 2018-2020, el cual a nivel general </w:t>
      </w:r>
      <w:r w:rsidR="005F34D4">
        <w:rPr>
          <w:lang w:val="es-ES_tradnl"/>
        </w:rPr>
        <w:t xml:space="preserve">del gobierno </w:t>
      </w:r>
      <w:r>
        <w:rPr>
          <w:lang w:val="es-ES_tradnl"/>
        </w:rPr>
        <w:t xml:space="preserve">alcanzó un </w:t>
      </w:r>
      <w:r w:rsidR="00812B3C">
        <w:rPr>
          <w:lang w:val="es-ES_tradnl"/>
        </w:rPr>
        <w:t>82.6%, considerando que varias entidades públicas debieron priorizar sus actividades a partir de marzo de 2020, para la atención de la coyuntura suscitada por la pandemia del Covid-19. P</w:t>
      </w:r>
      <w:r w:rsidR="00E74716">
        <w:rPr>
          <w:lang w:val="es-ES_tradnl"/>
        </w:rPr>
        <w:t xml:space="preserve">or parte del Ministerio de Finanzas Públicas se logró el 98.6% de cumplimiento, habiendo dejado </w:t>
      </w:r>
      <w:r w:rsidR="00207A28">
        <w:rPr>
          <w:lang w:val="es-ES_tradnl"/>
        </w:rPr>
        <w:t xml:space="preserve">pendiente </w:t>
      </w:r>
      <w:r w:rsidR="00E74716">
        <w:rPr>
          <w:lang w:val="es-ES_tradnl"/>
        </w:rPr>
        <w:t xml:space="preserve">con un grado de avance del 79.0%, solamente 1 de las 11 metas del </w:t>
      </w:r>
      <w:r w:rsidR="00074FC7">
        <w:rPr>
          <w:lang w:val="es-ES_tradnl"/>
        </w:rPr>
        <w:t>E</w:t>
      </w:r>
      <w:r w:rsidR="00E74716">
        <w:rPr>
          <w:lang w:val="es-ES_tradnl"/>
        </w:rPr>
        <w:t xml:space="preserve">je de Transparencia Fiscal, Compras y Adquisiciones Públicas. </w:t>
      </w:r>
      <w:r w:rsidR="005F34D4">
        <w:rPr>
          <w:lang w:val="es-ES_tradnl"/>
        </w:rPr>
        <w:t xml:space="preserve">En ese sentido, a partir del 8 de octubre de 2020, por parte de la Presidencia de la República se dio formal apertura e inicio al proceso de formulación o co-creación del Quinto Plan de Acción Nacional de Gobierno Abierto 2021-2023, </w:t>
      </w:r>
      <w:r w:rsidR="00466F08">
        <w:rPr>
          <w:lang w:val="es-ES_tradnl"/>
        </w:rPr>
        <w:t xml:space="preserve">el cual debe </w:t>
      </w:r>
      <w:r w:rsidR="009A5E16">
        <w:rPr>
          <w:lang w:val="es-ES_tradnl"/>
        </w:rPr>
        <w:t>quedar oficialmente formulado</w:t>
      </w:r>
      <w:r w:rsidR="00466F08">
        <w:rPr>
          <w:lang w:val="es-ES_tradnl"/>
        </w:rPr>
        <w:t xml:space="preserve"> a más tardar en octubre de 2021 e iniciar </w:t>
      </w:r>
      <w:r w:rsidR="00074FC7">
        <w:rPr>
          <w:lang w:val="es-ES_tradnl"/>
        </w:rPr>
        <w:t>su</w:t>
      </w:r>
      <w:r w:rsidR="00466F08">
        <w:rPr>
          <w:lang w:val="es-ES_tradnl"/>
        </w:rPr>
        <w:t xml:space="preserve"> proceso de implementación de compromisos e hitos</w:t>
      </w:r>
      <w:r w:rsidR="00D05BD6">
        <w:rPr>
          <w:lang w:val="es-ES_tradnl"/>
        </w:rPr>
        <w:t xml:space="preserve"> a cargo de las entidades públicas correspondientes,</w:t>
      </w:r>
      <w:r w:rsidR="00466F08">
        <w:rPr>
          <w:lang w:val="es-ES_tradnl"/>
        </w:rPr>
        <w:t xml:space="preserve"> </w:t>
      </w:r>
      <w:r w:rsidR="0064705D">
        <w:rPr>
          <w:lang w:val="es-ES_tradnl"/>
        </w:rPr>
        <w:t>en el período</w:t>
      </w:r>
      <w:r w:rsidR="009A5E16">
        <w:rPr>
          <w:lang w:val="es-ES_tradnl"/>
        </w:rPr>
        <w:t xml:space="preserve"> comprendido</w:t>
      </w:r>
      <w:r w:rsidR="0064705D">
        <w:rPr>
          <w:lang w:val="es-ES_tradnl"/>
        </w:rPr>
        <w:t xml:space="preserve"> de </w:t>
      </w:r>
      <w:r w:rsidR="00466F08">
        <w:rPr>
          <w:lang w:val="es-ES_tradnl"/>
        </w:rPr>
        <w:t>noviembre de 2021 a agosto de 2023</w:t>
      </w:r>
      <w:r w:rsidR="003C332C">
        <w:rPr>
          <w:lang w:val="es-ES_tradnl"/>
        </w:rPr>
        <w:t>.</w:t>
      </w:r>
    </w:p>
    <w:p w:rsidR="002E2D91" w:rsidRDefault="002E2D91" w:rsidP="00EA1931">
      <w:pPr>
        <w:jc w:val="both"/>
        <w:rPr>
          <w:lang w:val="es-ES_tradnl"/>
        </w:rPr>
      </w:pPr>
    </w:p>
    <w:p w:rsidR="00C053F5" w:rsidRDefault="00ED519D" w:rsidP="00EA1931">
      <w:pPr>
        <w:jc w:val="both"/>
        <w:rPr>
          <w:lang w:val="es-ES_tradnl"/>
        </w:rPr>
      </w:pPr>
      <w:r>
        <w:rPr>
          <w:lang w:val="es-ES_tradnl"/>
        </w:rPr>
        <w:t>A lo largo del ejercicio fiscal 2021 y bajo la coordinación de la Comisión Presidencial de Gobierno Abierto y Electrónico, dio inicio el proceso de formulación del Quinto Plan de Acción Nacional de Gobierno Abierto 2021-2023, con la participación de varias entidades públicas, organizaciones de sociedad civil y organismos internacionales en calidad de observadores del proceso</w:t>
      </w:r>
      <w:r w:rsidR="002429BC">
        <w:rPr>
          <w:lang w:val="es-ES_tradnl"/>
        </w:rPr>
        <w:t xml:space="preserve">, que participan en las reuniones de trabajo convocadas por la Mesa de Gobierno Abierto. Asimismo, </w:t>
      </w:r>
      <w:r w:rsidR="003875CB">
        <w:rPr>
          <w:lang w:val="es-ES_tradnl"/>
        </w:rPr>
        <w:t xml:space="preserve">y con base en el Manual de Mecanismos de Participación y Gobernanza, funciona un Comité Técnico de Gobierno Abierto, en calidad de foro multiactor, </w:t>
      </w:r>
      <w:r w:rsidR="00836FC3">
        <w:rPr>
          <w:lang w:val="es-ES_tradnl"/>
        </w:rPr>
        <w:t>que tiene a su cargo el análisis y discusión de los diversos temas que se abordan, así como el consenso y aprobación de los mismos.</w:t>
      </w:r>
      <w:r>
        <w:rPr>
          <w:lang w:val="es-ES_tradnl"/>
        </w:rPr>
        <w:t xml:space="preserve"> </w:t>
      </w:r>
      <w:r w:rsidR="002429BC">
        <w:rPr>
          <w:lang w:val="es-ES_tradnl"/>
        </w:rPr>
        <w:t xml:space="preserve">Inicialmente, </w:t>
      </w:r>
      <w:r w:rsidR="00C15079">
        <w:rPr>
          <w:lang w:val="es-ES_tradnl"/>
        </w:rPr>
        <w:t>para la formulación del Quinto Plan de Acción Nacional de Gobierno Abierto 2021-2</w:t>
      </w:r>
      <w:r w:rsidR="004B6915">
        <w:rPr>
          <w:lang w:val="es-ES_tradnl"/>
        </w:rPr>
        <w:t>0</w:t>
      </w:r>
      <w:r w:rsidR="00C15079">
        <w:rPr>
          <w:lang w:val="es-ES_tradnl"/>
        </w:rPr>
        <w:t xml:space="preserve">23, </w:t>
      </w:r>
      <w:r w:rsidR="002429BC">
        <w:rPr>
          <w:lang w:val="es-ES_tradnl"/>
        </w:rPr>
        <w:t xml:space="preserve">se elaboró y aprobó un Cronograma de Actividades y Guía Metodológica </w:t>
      </w:r>
      <w:r w:rsidR="00CD1750">
        <w:rPr>
          <w:lang w:val="es-ES_tradnl"/>
        </w:rPr>
        <w:t xml:space="preserve">que contiene el detalle de </w:t>
      </w:r>
      <w:r w:rsidR="00C053F5">
        <w:rPr>
          <w:lang w:val="es-ES_tradnl"/>
        </w:rPr>
        <w:t>las acciones</w:t>
      </w:r>
      <w:r w:rsidR="00CD1750">
        <w:rPr>
          <w:lang w:val="es-ES_tradnl"/>
        </w:rPr>
        <w:t>, entes responsables y fechas</w:t>
      </w:r>
      <w:r w:rsidR="00955885">
        <w:rPr>
          <w:lang w:val="es-ES_tradnl"/>
        </w:rPr>
        <w:t xml:space="preserve"> y plazos</w:t>
      </w:r>
      <w:r w:rsidR="00CD1750">
        <w:rPr>
          <w:lang w:val="es-ES_tradnl"/>
        </w:rPr>
        <w:t xml:space="preserve"> para </w:t>
      </w:r>
      <w:r w:rsidR="00C053F5">
        <w:rPr>
          <w:lang w:val="es-ES_tradnl"/>
        </w:rPr>
        <w:t>su</w:t>
      </w:r>
      <w:r w:rsidR="00CD1750">
        <w:rPr>
          <w:lang w:val="es-ES_tradnl"/>
        </w:rPr>
        <w:t xml:space="preserve"> desarrollo</w:t>
      </w:r>
      <w:r w:rsidR="00C053F5">
        <w:rPr>
          <w:lang w:val="es-ES_tradnl"/>
        </w:rPr>
        <w:t>.</w:t>
      </w:r>
    </w:p>
    <w:p w:rsidR="00C053F5" w:rsidRDefault="00C053F5" w:rsidP="00EA1931">
      <w:pPr>
        <w:jc w:val="both"/>
        <w:rPr>
          <w:lang w:val="es-ES_tradnl"/>
        </w:rPr>
      </w:pPr>
    </w:p>
    <w:p w:rsidR="004B6915" w:rsidRDefault="004B6915" w:rsidP="00EA1931">
      <w:pPr>
        <w:jc w:val="both"/>
        <w:rPr>
          <w:lang w:val="es-ES_tradnl"/>
        </w:rPr>
      </w:pPr>
      <w:r>
        <w:rPr>
          <w:lang w:val="es-ES_tradnl"/>
        </w:rPr>
        <w:t>Se definió y acordó un solo eje temático en este Quinto Plan de Acción Nacional de Gobierno Abierto 2021-2023, denominado</w:t>
      </w:r>
      <w:r w:rsidR="00955885">
        <w:rPr>
          <w:lang w:val="es-ES_tradnl"/>
        </w:rPr>
        <w:t xml:space="preserve"> “</w:t>
      </w:r>
      <w:r>
        <w:rPr>
          <w:lang w:val="es-ES_tradnl"/>
        </w:rPr>
        <w:t>Transparencia en la Gestión Pública y Presupuesto del Estado</w:t>
      </w:r>
      <w:r w:rsidR="00955885">
        <w:rPr>
          <w:lang w:val="es-ES_tradnl"/>
        </w:rPr>
        <w:t>”</w:t>
      </w:r>
      <w:r>
        <w:rPr>
          <w:lang w:val="es-ES_tradnl"/>
        </w:rPr>
        <w:t xml:space="preserve">, el cual está integrado por las siguientes </w:t>
      </w:r>
      <w:r w:rsidR="0084791E">
        <w:rPr>
          <w:lang w:val="es-ES_tradnl"/>
        </w:rPr>
        <w:t xml:space="preserve">seis </w:t>
      </w:r>
      <w:r>
        <w:rPr>
          <w:lang w:val="es-ES_tradnl"/>
        </w:rPr>
        <w:t>áreas temáticas:</w:t>
      </w:r>
    </w:p>
    <w:p w:rsidR="004B6915" w:rsidRDefault="004B6915" w:rsidP="00EA1931">
      <w:pPr>
        <w:jc w:val="both"/>
        <w:rPr>
          <w:lang w:val="es-ES_tradnl"/>
        </w:rPr>
      </w:pPr>
    </w:p>
    <w:p w:rsidR="00E14952" w:rsidRPr="000D2F14" w:rsidRDefault="000D2F14" w:rsidP="004C636B">
      <w:pPr>
        <w:pStyle w:val="Prrafodelista"/>
        <w:numPr>
          <w:ilvl w:val="0"/>
          <w:numId w:val="3"/>
        </w:numPr>
        <w:jc w:val="both"/>
        <w:rPr>
          <w:lang w:val="es-ES_tradnl"/>
        </w:rPr>
      </w:pPr>
      <w:r w:rsidRPr="000D2F14">
        <w:rPr>
          <w:lang w:val="es-ES_tradnl"/>
        </w:rPr>
        <w:t>Gobierno Digital y Modernización de la Gestión Pública</w:t>
      </w:r>
      <w:r w:rsidR="00E14952" w:rsidRPr="000D2F14">
        <w:rPr>
          <w:lang w:val="es-ES_tradnl"/>
        </w:rPr>
        <w:t>.</w:t>
      </w:r>
    </w:p>
    <w:p w:rsidR="00EA1931" w:rsidRPr="00CD0AF0" w:rsidRDefault="000D2F14" w:rsidP="004C636B">
      <w:pPr>
        <w:pStyle w:val="Prrafodelista"/>
        <w:numPr>
          <w:ilvl w:val="0"/>
          <w:numId w:val="3"/>
        </w:numPr>
        <w:jc w:val="both"/>
        <w:rPr>
          <w:lang w:val="es-ES_tradnl"/>
        </w:rPr>
      </w:pPr>
      <w:r w:rsidRPr="000D2F14">
        <w:rPr>
          <w:lang w:val="es-ES_tradnl"/>
        </w:rPr>
        <w:t xml:space="preserve">Educación, Salud, </w:t>
      </w:r>
      <w:r>
        <w:rPr>
          <w:lang w:val="es-ES_tradnl"/>
        </w:rPr>
        <w:t xml:space="preserve">y </w:t>
      </w:r>
      <w:r w:rsidRPr="000D2F14">
        <w:rPr>
          <w:lang w:val="es-ES_tradnl"/>
        </w:rPr>
        <w:t>Seguridad Alimentaria y Nutricional</w:t>
      </w:r>
      <w:r w:rsidR="00EA1931">
        <w:rPr>
          <w:lang w:val="es-ES_tradnl"/>
        </w:rPr>
        <w:t>.</w:t>
      </w:r>
    </w:p>
    <w:p w:rsidR="00E14952" w:rsidRPr="00756169" w:rsidRDefault="00756169" w:rsidP="004C636B">
      <w:pPr>
        <w:pStyle w:val="Prrafodelista"/>
        <w:numPr>
          <w:ilvl w:val="0"/>
          <w:numId w:val="3"/>
        </w:numPr>
        <w:jc w:val="both"/>
        <w:rPr>
          <w:lang w:val="es-ES_tradnl"/>
        </w:rPr>
      </w:pPr>
      <w:r w:rsidRPr="00756169">
        <w:rPr>
          <w:lang w:val="es-ES_tradnl"/>
        </w:rPr>
        <w:t xml:space="preserve">Medio Ambiente, Cambio Climático y Gestión Integral del Riesgo </w:t>
      </w:r>
      <w:r>
        <w:rPr>
          <w:lang w:val="es-ES_tradnl"/>
        </w:rPr>
        <w:t>a</w:t>
      </w:r>
      <w:r w:rsidRPr="00756169">
        <w:rPr>
          <w:lang w:val="es-ES_tradnl"/>
        </w:rPr>
        <w:t xml:space="preserve"> Desastres</w:t>
      </w:r>
      <w:r w:rsidR="00E14952" w:rsidRPr="00756169">
        <w:rPr>
          <w:lang w:val="es-ES_tradnl"/>
        </w:rPr>
        <w:t>.</w:t>
      </w:r>
    </w:p>
    <w:p w:rsidR="00E14952" w:rsidRPr="00CD0AF0" w:rsidRDefault="00756169" w:rsidP="004C636B">
      <w:pPr>
        <w:pStyle w:val="Prrafodelista"/>
        <w:numPr>
          <w:ilvl w:val="0"/>
          <w:numId w:val="3"/>
        </w:numPr>
        <w:jc w:val="both"/>
        <w:rPr>
          <w:lang w:val="es-ES_tradnl"/>
        </w:rPr>
      </w:pPr>
      <w:r w:rsidRPr="00756169">
        <w:rPr>
          <w:lang w:val="es-ES_tradnl"/>
        </w:rPr>
        <w:t>Reducción de la Pobreza y Migración</w:t>
      </w:r>
      <w:r w:rsidR="00E14952">
        <w:rPr>
          <w:lang w:val="es-ES_tradnl"/>
        </w:rPr>
        <w:t>.</w:t>
      </w:r>
    </w:p>
    <w:p w:rsidR="00E14952" w:rsidRPr="00CD0AF0" w:rsidRDefault="00756169" w:rsidP="004C636B">
      <w:pPr>
        <w:pStyle w:val="Prrafodelista"/>
        <w:numPr>
          <w:ilvl w:val="0"/>
          <w:numId w:val="3"/>
        </w:numPr>
        <w:jc w:val="both"/>
        <w:rPr>
          <w:lang w:val="es-ES_tradnl"/>
        </w:rPr>
      </w:pPr>
      <w:r w:rsidRPr="00756169">
        <w:rPr>
          <w:lang w:val="es-ES_tradnl"/>
        </w:rPr>
        <w:t>Inclusión Social y Poblaciones en Condiciones de Vulnerabilidad</w:t>
      </w:r>
      <w:r w:rsidR="00E14952">
        <w:rPr>
          <w:lang w:val="es-ES_tradnl"/>
        </w:rPr>
        <w:t>.</w:t>
      </w:r>
    </w:p>
    <w:p w:rsidR="00E14952" w:rsidRPr="00CD0AF0" w:rsidRDefault="00756169" w:rsidP="004C636B">
      <w:pPr>
        <w:pStyle w:val="Prrafodelista"/>
        <w:numPr>
          <w:ilvl w:val="0"/>
          <w:numId w:val="3"/>
        </w:numPr>
        <w:jc w:val="both"/>
        <w:rPr>
          <w:lang w:val="es-ES_tradnl"/>
        </w:rPr>
      </w:pPr>
      <w:r w:rsidRPr="00756169">
        <w:rPr>
          <w:lang w:val="es-ES_tradnl"/>
        </w:rPr>
        <w:t xml:space="preserve">Gestión y </w:t>
      </w:r>
      <w:r>
        <w:rPr>
          <w:lang w:val="es-ES_tradnl"/>
        </w:rPr>
        <w:t>S</w:t>
      </w:r>
      <w:r w:rsidRPr="00756169">
        <w:rPr>
          <w:lang w:val="es-ES_tradnl"/>
        </w:rPr>
        <w:t>eguimiento de Iniciativas, Tratados y Convenios Internacionales en Materia de Transparencia, Anticorrupción y Rendición de Cuentas</w:t>
      </w:r>
      <w:r w:rsidR="00E14952">
        <w:rPr>
          <w:lang w:val="es-ES_tradnl"/>
        </w:rPr>
        <w:t>.</w:t>
      </w:r>
    </w:p>
    <w:p w:rsidR="00756169" w:rsidRDefault="00756169" w:rsidP="00EA1931">
      <w:pPr>
        <w:jc w:val="both"/>
        <w:rPr>
          <w:lang w:val="es-ES_tradnl"/>
        </w:rPr>
      </w:pPr>
    </w:p>
    <w:p w:rsidR="00B61970" w:rsidRDefault="007B7CF5" w:rsidP="00EA1931">
      <w:pPr>
        <w:jc w:val="both"/>
        <w:rPr>
          <w:lang w:val="es-ES_tradnl"/>
        </w:rPr>
      </w:pPr>
      <w:r>
        <w:rPr>
          <w:lang w:val="es-ES_tradnl"/>
        </w:rPr>
        <w:t>Se acordó que el Quinto Plan de Gobierno Abierto sea integrado por 12 compromisos (2 por tema</w:t>
      </w:r>
      <w:r w:rsidR="00F46D8D">
        <w:rPr>
          <w:lang w:val="es-ES_tradnl"/>
        </w:rPr>
        <w:t xml:space="preserve"> o área temática</w:t>
      </w:r>
      <w:r>
        <w:rPr>
          <w:lang w:val="es-ES_tradnl"/>
        </w:rPr>
        <w:t xml:space="preserve">) y un máximo de 36 hitos o metas (3 por compromiso). </w:t>
      </w:r>
      <w:r w:rsidR="00F772F4">
        <w:rPr>
          <w:lang w:val="es-ES_tradnl"/>
        </w:rPr>
        <w:t xml:space="preserve">Entre las actividades para su formulación, </w:t>
      </w:r>
      <w:r w:rsidR="00F46D8D">
        <w:rPr>
          <w:lang w:val="es-ES_tradnl"/>
        </w:rPr>
        <w:t xml:space="preserve">se llevó a cabo de forma virtual, la realización de 4 Encuentros </w:t>
      </w:r>
      <w:r w:rsidR="00F46D8D">
        <w:rPr>
          <w:lang w:val="es-ES_tradnl"/>
        </w:rPr>
        <w:lastRenderedPageBreak/>
        <w:t xml:space="preserve">Regionales que abarcaron la mayoría de departamentos del país, en los cuales existió masiva participación de entidades públicas, organizaciones de sociedad civil y </w:t>
      </w:r>
      <w:r w:rsidR="00DA682D">
        <w:rPr>
          <w:lang w:val="es-ES_tradnl"/>
        </w:rPr>
        <w:t xml:space="preserve">ciudadanos en general que </w:t>
      </w:r>
      <w:r w:rsidR="00B61970">
        <w:rPr>
          <w:lang w:val="es-ES_tradnl"/>
        </w:rPr>
        <w:t>contribuyeron a</w:t>
      </w:r>
      <w:r w:rsidR="00DA682D">
        <w:rPr>
          <w:lang w:val="es-ES_tradnl"/>
        </w:rPr>
        <w:t xml:space="preserve"> la identificación de problemáticas que los aquejan, las causas que l</w:t>
      </w:r>
      <w:r w:rsidR="00B61970">
        <w:rPr>
          <w:lang w:val="es-ES_tradnl"/>
        </w:rPr>
        <w:t>a</w:t>
      </w:r>
      <w:r w:rsidR="00DA682D">
        <w:rPr>
          <w:lang w:val="es-ES_tradnl"/>
        </w:rPr>
        <w:t>s genera</w:t>
      </w:r>
      <w:r w:rsidR="00B61970">
        <w:rPr>
          <w:lang w:val="es-ES_tradnl"/>
        </w:rPr>
        <w:t>n, así como</w:t>
      </w:r>
      <w:r w:rsidR="00DA682D">
        <w:rPr>
          <w:lang w:val="es-ES_tradnl"/>
        </w:rPr>
        <w:t xml:space="preserve"> los posibles mecanismos de solución que debieran implementar las entidades públicas responsables de su </w:t>
      </w:r>
      <w:r w:rsidR="00815894">
        <w:rPr>
          <w:lang w:val="es-ES_tradnl"/>
        </w:rPr>
        <w:t>atención</w:t>
      </w:r>
      <w:r w:rsidR="00B61970">
        <w:rPr>
          <w:lang w:val="es-ES_tradnl"/>
        </w:rPr>
        <w:t>; todas estas acciones</w:t>
      </w:r>
      <w:r w:rsidR="00DA682D">
        <w:rPr>
          <w:lang w:val="es-ES_tradnl"/>
        </w:rPr>
        <w:t xml:space="preserve"> deben traducirse en</w:t>
      </w:r>
      <w:r w:rsidR="00B61970">
        <w:rPr>
          <w:lang w:val="es-ES_tradnl"/>
        </w:rPr>
        <w:t xml:space="preserve"> la</w:t>
      </w:r>
      <w:r w:rsidR="00DA682D">
        <w:rPr>
          <w:lang w:val="es-ES_tradnl"/>
        </w:rPr>
        <w:t xml:space="preserve"> </w:t>
      </w:r>
      <w:r w:rsidR="00B61970">
        <w:rPr>
          <w:lang w:val="es-ES_tradnl"/>
        </w:rPr>
        <w:t xml:space="preserve">formulación de </w:t>
      </w:r>
      <w:r w:rsidR="00DA682D">
        <w:rPr>
          <w:lang w:val="es-ES_tradnl"/>
        </w:rPr>
        <w:t>propuestas de compromisos e hitos</w:t>
      </w:r>
      <w:r w:rsidR="00B61970">
        <w:rPr>
          <w:lang w:val="es-ES_tradnl"/>
        </w:rPr>
        <w:t xml:space="preserve"> que deben ser evaluados por parte de las entidades públicas correspondientes, para determinar su viabilidad legal, técnica o financi</w:t>
      </w:r>
      <w:r w:rsidR="00815894">
        <w:rPr>
          <w:lang w:val="es-ES_tradnl"/>
        </w:rPr>
        <w:t>e</w:t>
      </w:r>
      <w:r w:rsidR="00B61970">
        <w:rPr>
          <w:lang w:val="es-ES_tradnl"/>
        </w:rPr>
        <w:t xml:space="preserve">ra, así como la posibilidad de implementarse en el período de dos años que abarca la vigencia de cada Plan de </w:t>
      </w:r>
      <w:r w:rsidR="00096BA7">
        <w:rPr>
          <w:lang w:val="es-ES_tradnl"/>
        </w:rPr>
        <w:t xml:space="preserve">Acción Nacional de </w:t>
      </w:r>
      <w:r w:rsidR="00B61970">
        <w:rPr>
          <w:lang w:val="es-ES_tradnl"/>
        </w:rPr>
        <w:t>Gobierno Abierto.</w:t>
      </w:r>
    </w:p>
    <w:p w:rsidR="00B61970" w:rsidRDefault="00B61970" w:rsidP="00EA1931">
      <w:pPr>
        <w:jc w:val="both"/>
        <w:rPr>
          <w:lang w:val="es-ES_tradnl"/>
        </w:rPr>
      </w:pPr>
    </w:p>
    <w:p w:rsidR="007D52E6" w:rsidRDefault="007D52E6" w:rsidP="00EA1931">
      <w:pPr>
        <w:jc w:val="both"/>
        <w:rPr>
          <w:lang w:val="es-ES_tradnl"/>
        </w:rPr>
      </w:pPr>
      <w:r>
        <w:rPr>
          <w:lang w:val="es-ES_tradnl"/>
        </w:rPr>
        <w:t xml:space="preserve">Finalmente, se llevó a cabo la realización de forma virtual, de seis Foros o Conversatorios Públicos, en los que participaron profesionales y expertos, tanto de entidades públicas como de organizaciones de sociedad civil, </w:t>
      </w:r>
      <w:r w:rsidR="006A794B">
        <w:rPr>
          <w:lang w:val="es-ES_tradnl"/>
        </w:rPr>
        <w:t>en los cuales se discutió</w:t>
      </w:r>
      <w:r>
        <w:rPr>
          <w:lang w:val="es-ES_tradnl"/>
        </w:rPr>
        <w:t xml:space="preserve"> sobre cada una de las </w:t>
      </w:r>
      <w:r w:rsidR="006A794B">
        <w:rPr>
          <w:lang w:val="es-ES_tradnl"/>
        </w:rPr>
        <w:t xml:space="preserve">áreas </w:t>
      </w:r>
      <w:r>
        <w:rPr>
          <w:lang w:val="es-ES_tradnl"/>
        </w:rPr>
        <w:t>temáticas bajo las cuales girará la definición de posibles compromisos e hitos que proponga la ciudadanía</w:t>
      </w:r>
      <w:r w:rsidR="006A794B">
        <w:rPr>
          <w:lang w:val="es-ES_tradnl"/>
        </w:rPr>
        <w:t xml:space="preserve"> en general</w:t>
      </w:r>
      <w:r w:rsidR="005340F9">
        <w:rPr>
          <w:lang w:val="es-ES_tradnl"/>
        </w:rPr>
        <w:t xml:space="preserve"> para la conformación del Quinto Plan de Gobierno Abierto.</w:t>
      </w:r>
    </w:p>
    <w:p w:rsidR="007D52E6" w:rsidRDefault="007D52E6" w:rsidP="00EA1931">
      <w:pPr>
        <w:jc w:val="both"/>
        <w:rPr>
          <w:lang w:val="es-ES_tradnl"/>
        </w:rPr>
      </w:pPr>
    </w:p>
    <w:p w:rsidR="000134B5" w:rsidRPr="00B658DF" w:rsidRDefault="000134B5" w:rsidP="000134B5"/>
    <w:p w:rsidR="00910D4D" w:rsidRPr="002F7293" w:rsidRDefault="008078F8" w:rsidP="004C636B">
      <w:pPr>
        <w:pStyle w:val="Ttulo2"/>
        <w:numPr>
          <w:ilvl w:val="1"/>
          <w:numId w:val="4"/>
        </w:numPr>
        <w:rPr>
          <w:rFonts w:ascii="Times New Roman" w:hAnsi="Times New Roman"/>
          <w:color w:val="auto"/>
          <w:sz w:val="24"/>
        </w:rPr>
      </w:pPr>
      <w:bookmarkStart w:id="72" w:name="_Toc83713652"/>
      <w:r w:rsidRPr="002F7293">
        <w:rPr>
          <w:rFonts w:ascii="Times New Roman" w:hAnsi="Times New Roman"/>
          <w:color w:val="auto"/>
          <w:sz w:val="24"/>
        </w:rPr>
        <w:t xml:space="preserve">Otras </w:t>
      </w:r>
      <w:r w:rsidR="000D2458" w:rsidRPr="002F7293">
        <w:rPr>
          <w:rFonts w:ascii="Times New Roman" w:hAnsi="Times New Roman"/>
          <w:color w:val="auto"/>
          <w:sz w:val="24"/>
        </w:rPr>
        <w:t>A</w:t>
      </w:r>
      <w:r w:rsidRPr="002F7293">
        <w:rPr>
          <w:rFonts w:ascii="Times New Roman" w:hAnsi="Times New Roman"/>
          <w:color w:val="auto"/>
          <w:sz w:val="24"/>
        </w:rPr>
        <w:t xml:space="preserve">cciones sobre </w:t>
      </w:r>
      <w:r w:rsidR="000D2458" w:rsidRPr="002F7293">
        <w:rPr>
          <w:rFonts w:ascii="Times New Roman" w:hAnsi="Times New Roman"/>
          <w:color w:val="auto"/>
          <w:sz w:val="24"/>
        </w:rPr>
        <w:t>T</w:t>
      </w:r>
      <w:r w:rsidRPr="002F7293">
        <w:rPr>
          <w:rFonts w:ascii="Times New Roman" w:hAnsi="Times New Roman"/>
          <w:color w:val="auto"/>
          <w:sz w:val="24"/>
        </w:rPr>
        <w:t xml:space="preserve">ransparencia </w:t>
      </w:r>
      <w:r w:rsidR="000D2458" w:rsidRPr="002F7293">
        <w:rPr>
          <w:rFonts w:ascii="Times New Roman" w:hAnsi="Times New Roman"/>
          <w:color w:val="auto"/>
          <w:sz w:val="24"/>
        </w:rPr>
        <w:t>F</w:t>
      </w:r>
      <w:r w:rsidRPr="002F7293">
        <w:rPr>
          <w:rFonts w:ascii="Times New Roman" w:hAnsi="Times New Roman"/>
          <w:color w:val="auto"/>
          <w:sz w:val="24"/>
        </w:rPr>
        <w:t>iscal</w:t>
      </w:r>
      <w:bookmarkEnd w:id="72"/>
    </w:p>
    <w:p w:rsidR="008078F8" w:rsidRDefault="008078F8" w:rsidP="004B5DF5">
      <w:pPr>
        <w:jc w:val="both"/>
        <w:rPr>
          <w:b/>
          <w:i/>
          <w:lang w:val="es-ES_tradnl"/>
        </w:rPr>
      </w:pPr>
    </w:p>
    <w:p w:rsidR="00731F06" w:rsidRDefault="004B5DF5" w:rsidP="004B5DF5">
      <w:pPr>
        <w:jc w:val="both"/>
        <w:rPr>
          <w:lang w:val="es-ES_tradnl"/>
        </w:rPr>
      </w:pPr>
      <w:r w:rsidRPr="006D17DE">
        <w:rPr>
          <w:b/>
          <w:i/>
          <w:lang w:val="es-ES_tradnl"/>
        </w:rPr>
        <w:t>Talleres de Presupuesto Abierto 20</w:t>
      </w:r>
      <w:r w:rsidR="00AA04AD">
        <w:rPr>
          <w:b/>
          <w:i/>
          <w:lang w:val="es-ES_tradnl"/>
        </w:rPr>
        <w:t>2</w:t>
      </w:r>
      <w:r w:rsidR="008E1523">
        <w:rPr>
          <w:b/>
          <w:i/>
          <w:lang w:val="es-ES_tradnl"/>
        </w:rPr>
        <w:t>2</w:t>
      </w:r>
      <w:r w:rsidRPr="00CD0AF0">
        <w:rPr>
          <w:b/>
          <w:lang w:val="es-ES_tradnl"/>
        </w:rPr>
        <w:t>.</w:t>
      </w:r>
      <w:r w:rsidRPr="00CD0AF0">
        <w:rPr>
          <w:lang w:val="es-ES_tradnl"/>
        </w:rPr>
        <w:t xml:space="preserve"> </w:t>
      </w:r>
      <w:r w:rsidR="000A1423">
        <w:rPr>
          <w:lang w:val="es-ES_tradnl"/>
        </w:rPr>
        <w:t>A partir del</w:t>
      </w:r>
      <w:r w:rsidR="00AA04AD">
        <w:rPr>
          <w:lang w:val="es-ES_tradnl"/>
        </w:rPr>
        <w:t xml:space="preserve"> año 2017</w:t>
      </w:r>
      <w:r w:rsidR="000A1423">
        <w:rPr>
          <w:lang w:val="es-ES_tradnl"/>
        </w:rPr>
        <w:t>, por medio del Acuerdo Ministerial No. 194-2017, el Ministerio de Finanzas Públicas</w:t>
      </w:r>
      <w:r w:rsidR="00F421DC">
        <w:rPr>
          <w:lang w:val="es-ES_tradnl"/>
        </w:rPr>
        <w:t xml:space="preserve"> </w:t>
      </w:r>
      <w:r w:rsidR="00AA04AD">
        <w:rPr>
          <w:lang w:val="es-ES_tradnl"/>
        </w:rPr>
        <w:t>institucionaliz</w:t>
      </w:r>
      <w:r w:rsidR="000A1423">
        <w:rPr>
          <w:lang w:val="es-ES_tradnl"/>
        </w:rPr>
        <w:t>ó</w:t>
      </w:r>
      <w:r w:rsidR="008F67E7">
        <w:rPr>
          <w:lang w:val="es-ES_tradnl"/>
        </w:rPr>
        <w:t xml:space="preserve"> la realización de</w:t>
      </w:r>
      <w:r w:rsidR="00AA04AD">
        <w:rPr>
          <w:lang w:val="es-ES_tradnl"/>
        </w:rPr>
        <w:t xml:space="preserve"> los Talleres de Presupuesto Abierto </w:t>
      </w:r>
      <w:r w:rsidR="00137A9C">
        <w:rPr>
          <w:lang w:val="es-ES_tradnl"/>
        </w:rPr>
        <w:t>durante e</w:t>
      </w:r>
      <w:r w:rsidR="00F421DC">
        <w:rPr>
          <w:lang w:val="es-ES_tradnl"/>
        </w:rPr>
        <w:t>l</w:t>
      </w:r>
      <w:r w:rsidRPr="00CD0AF0">
        <w:rPr>
          <w:lang w:val="es-ES_tradnl"/>
        </w:rPr>
        <w:t xml:space="preserve"> proceso de </w:t>
      </w:r>
      <w:r w:rsidR="002108E0">
        <w:rPr>
          <w:lang w:val="es-ES_tradnl"/>
        </w:rPr>
        <w:t xml:space="preserve">la </w:t>
      </w:r>
      <w:r w:rsidRPr="00CD0AF0">
        <w:rPr>
          <w:lang w:val="es-ES_tradnl"/>
        </w:rPr>
        <w:t>formulación</w:t>
      </w:r>
      <w:r w:rsidR="00AA04AD">
        <w:rPr>
          <w:lang w:val="es-ES_tradnl"/>
        </w:rPr>
        <w:t xml:space="preserve"> presupuestaria. En ese sentido, </w:t>
      </w:r>
      <w:r w:rsidR="00F42501">
        <w:rPr>
          <w:lang w:val="es-ES_tradnl"/>
        </w:rPr>
        <w:t xml:space="preserve">durante </w:t>
      </w:r>
      <w:r w:rsidR="00FA09AA">
        <w:rPr>
          <w:lang w:val="es-ES_tradnl"/>
        </w:rPr>
        <w:t>los</w:t>
      </w:r>
      <w:r w:rsidR="00F42501">
        <w:rPr>
          <w:lang w:val="es-ES_tradnl"/>
        </w:rPr>
        <w:t xml:space="preserve"> mes</w:t>
      </w:r>
      <w:r w:rsidR="00FA09AA">
        <w:rPr>
          <w:lang w:val="es-ES_tradnl"/>
        </w:rPr>
        <w:t>es</w:t>
      </w:r>
      <w:r w:rsidR="00F42501">
        <w:rPr>
          <w:lang w:val="es-ES_tradnl"/>
        </w:rPr>
        <w:t xml:space="preserve"> de ju</w:t>
      </w:r>
      <w:r w:rsidR="00F87073">
        <w:rPr>
          <w:lang w:val="es-ES_tradnl"/>
        </w:rPr>
        <w:t>l</w:t>
      </w:r>
      <w:r w:rsidR="00F42501">
        <w:rPr>
          <w:lang w:val="es-ES_tradnl"/>
        </w:rPr>
        <w:t>io</w:t>
      </w:r>
      <w:r w:rsidR="00FA09AA">
        <w:rPr>
          <w:lang w:val="es-ES_tradnl"/>
        </w:rPr>
        <w:t xml:space="preserve"> y agosto</w:t>
      </w:r>
      <w:r w:rsidR="00F42501">
        <w:rPr>
          <w:lang w:val="es-ES_tradnl"/>
        </w:rPr>
        <w:t xml:space="preserve"> de 20</w:t>
      </w:r>
      <w:r w:rsidR="00F87073">
        <w:rPr>
          <w:lang w:val="es-ES_tradnl"/>
        </w:rPr>
        <w:t>2</w:t>
      </w:r>
      <w:r w:rsidR="00FA09AA">
        <w:rPr>
          <w:lang w:val="es-ES_tradnl"/>
        </w:rPr>
        <w:t>1</w:t>
      </w:r>
      <w:r w:rsidR="00976CAC">
        <w:rPr>
          <w:lang w:val="es-ES_tradnl"/>
        </w:rPr>
        <w:t>,</w:t>
      </w:r>
      <w:r w:rsidR="00AA04AD">
        <w:rPr>
          <w:lang w:val="es-ES_tradnl"/>
        </w:rPr>
        <w:t xml:space="preserve"> </w:t>
      </w:r>
      <w:r w:rsidR="008027E1">
        <w:rPr>
          <w:lang w:val="es-ES_tradnl"/>
        </w:rPr>
        <w:t xml:space="preserve">en </w:t>
      </w:r>
      <w:r w:rsidR="00AA04AD">
        <w:rPr>
          <w:lang w:val="es-ES_tradnl"/>
        </w:rPr>
        <w:t xml:space="preserve">la formulación </w:t>
      </w:r>
      <w:r w:rsidRPr="00CD0AF0">
        <w:rPr>
          <w:lang w:val="es-ES_tradnl"/>
        </w:rPr>
        <w:t>del Proyecto de Presupuesto General de Ingresos y Egresos del Estado para el Ejercicio Fiscal 20</w:t>
      </w:r>
      <w:r w:rsidR="00AA04AD">
        <w:rPr>
          <w:lang w:val="es-ES_tradnl"/>
        </w:rPr>
        <w:t>2</w:t>
      </w:r>
      <w:r w:rsidR="00FA09AA">
        <w:rPr>
          <w:lang w:val="es-ES_tradnl"/>
        </w:rPr>
        <w:t xml:space="preserve">2 y Multianual 2022-2026 </w:t>
      </w:r>
      <w:r w:rsidR="00225320">
        <w:rPr>
          <w:lang w:val="es-ES_tradnl"/>
        </w:rPr>
        <w:t xml:space="preserve">se </w:t>
      </w:r>
      <w:r w:rsidR="008027E1">
        <w:rPr>
          <w:lang w:val="es-ES_tradnl"/>
        </w:rPr>
        <w:t>llevaron a cabo</w:t>
      </w:r>
      <w:r w:rsidR="00225320">
        <w:rPr>
          <w:lang w:val="es-ES_tradnl"/>
        </w:rPr>
        <w:t xml:space="preserve"> los Talleres de Presupuesto Abierto que</w:t>
      </w:r>
      <w:r w:rsidR="00225320" w:rsidRPr="00225320">
        <w:rPr>
          <w:lang w:val="es-ES_tradnl"/>
        </w:rPr>
        <w:t xml:space="preserve"> iniciaron con una semana de formación fiscal en cinco temas, siete talleres temáticos, seis exposiciones y cuatro foros</w:t>
      </w:r>
      <w:r w:rsidR="00225320">
        <w:rPr>
          <w:lang w:val="es-ES_tradnl"/>
        </w:rPr>
        <w:t xml:space="preserve"> públicos</w:t>
      </w:r>
      <w:r w:rsidR="00225320" w:rsidRPr="00225320">
        <w:rPr>
          <w:lang w:val="es-ES_tradnl"/>
        </w:rPr>
        <w:t xml:space="preserve">, todos relacionados a la propuesta de presupuesto para el próximo ejercicio fiscal. En las exposiciones, las entidades </w:t>
      </w:r>
      <w:r w:rsidR="00DD54E6">
        <w:rPr>
          <w:lang w:val="es-ES_tradnl"/>
        </w:rPr>
        <w:t xml:space="preserve">públicas </w:t>
      </w:r>
      <w:r w:rsidR="00225320" w:rsidRPr="00225320">
        <w:rPr>
          <w:lang w:val="es-ES_tradnl"/>
        </w:rPr>
        <w:t>plantear</w:t>
      </w:r>
      <w:r w:rsidR="00DD54E6">
        <w:rPr>
          <w:lang w:val="es-ES_tradnl"/>
        </w:rPr>
        <w:t>o</w:t>
      </w:r>
      <w:r w:rsidR="00225320" w:rsidRPr="00225320">
        <w:rPr>
          <w:lang w:val="es-ES_tradnl"/>
        </w:rPr>
        <w:t>n escenarios indicativos para el período</w:t>
      </w:r>
      <w:r w:rsidR="00DD54E6">
        <w:rPr>
          <w:lang w:val="es-ES_tradnl"/>
        </w:rPr>
        <w:t>, exponiendo sus planes estratégicos institucionales y</w:t>
      </w:r>
      <w:r w:rsidR="008027E1">
        <w:rPr>
          <w:lang w:val="es-ES_tradnl"/>
        </w:rPr>
        <w:t xml:space="preserve"> planes operativos anuales, así como</w:t>
      </w:r>
      <w:r w:rsidR="00DD54E6">
        <w:rPr>
          <w:lang w:val="es-ES_tradnl"/>
        </w:rPr>
        <w:t xml:space="preserve"> la priorización de sus asignaciones presupuestarias hacia sus programas, proyectos y actividades alineados a</w:t>
      </w:r>
      <w:r w:rsidR="005C6EA1">
        <w:rPr>
          <w:lang w:val="es-ES_tradnl"/>
        </w:rPr>
        <w:t>l Programa Nacional de Desarrollo Kat</w:t>
      </w:r>
      <w:r w:rsidR="00AC775C">
        <w:rPr>
          <w:lang w:val="es-ES_tradnl"/>
        </w:rPr>
        <w:t xml:space="preserve">ún, Nuestra Guatemala </w:t>
      </w:r>
      <w:r w:rsidR="005C6EA1">
        <w:rPr>
          <w:lang w:val="es-ES_tradnl"/>
        </w:rPr>
        <w:t>2032, a</w:t>
      </w:r>
      <w:r w:rsidR="00DD54E6">
        <w:rPr>
          <w:lang w:val="es-ES_tradnl"/>
        </w:rPr>
        <w:t xml:space="preserve"> la Política General de Gobierno 2020-2024 </w:t>
      </w:r>
      <w:r w:rsidR="005C6EA1">
        <w:rPr>
          <w:lang w:val="es-ES_tradnl"/>
        </w:rPr>
        <w:t xml:space="preserve">y </w:t>
      </w:r>
      <w:r w:rsidR="00AC775C">
        <w:rPr>
          <w:lang w:val="es-ES_tradnl"/>
        </w:rPr>
        <w:t xml:space="preserve">a </w:t>
      </w:r>
      <w:r w:rsidR="005C6EA1">
        <w:rPr>
          <w:lang w:val="es-ES_tradnl"/>
        </w:rPr>
        <w:t>los Objetivos de Desarrollo Sostenible</w:t>
      </w:r>
      <w:r w:rsidR="00E47124">
        <w:rPr>
          <w:lang w:val="es-ES_tradnl"/>
        </w:rPr>
        <w:t xml:space="preserve"> (ODS)</w:t>
      </w:r>
      <w:r w:rsidR="00AC775C">
        <w:rPr>
          <w:lang w:val="es-ES_tradnl"/>
        </w:rPr>
        <w:t>. Por</w:t>
      </w:r>
      <w:r w:rsidR="00DA17ED">
        <w:rPr>
          <w:lang w:val="es-ES_tradnl"/>
        </w:rPr>
        <w:t xml:space="preserve"> su parte,</w:t>
      </w:r>
      <w:r w:rsidR="00AC775C">
        <w:rPr>
          <w:lang w:val="es-ES_tradnl"/>
        </w:rPr>
        <w:t xml:space="preserve"> las organizaciones de sociedad civil</w:t>
      </w:r>
      <w:r w:rsidR="00DA17ED">
        <w:rPr>
          <w:lang w:val="es-ES_tradnl"/>
        </w:rPr>
        <w:t xml:space="preserve">, </w:t>
      </w:r>
      <w:r w:rsidRPr="00CD0AF0">
        <w:rPr>
          <w:lang w:val="es-ES_tradnl"/>
        </w:rPr>
        <w:t>sector académico, tanques de pensamiento, observadores internacionales y ciudadanos en general</w:t>
      </w:r>
      <w:r w:rsidR="001E22DF">
        <w:rPr>
          <w:lang w:val="es-ES_tradnl"/>
        </w:rPr>
        <w:t xml:space="preserve"> </w:t>
      </w:r>
      <w:r w:rsidRPr="00CD0AF0">
        <w:rPr>
          <w:lang w:val="es-ES_tradnl"/>
        </w:rPr>
        <w:t>emitier</w:t>
      </w:r>
      <w:r w:rsidR="00731F06">
        <w:rPr>
          <w:lang w:val="es-ES_tradnl"/>
        </w:rPr>
        <w:t>o</w:t>
      </w:r>
      <w:r w:rsidRPr="00CD0AF0">
        <w:rPr>
          <w:lang w:val="es-ES_tradnl"/>
        </w:rPr>
        <w:t>n comentarios y recomendaciones</w:t>
      </w:r>
      <w:r w:rsidR="00731F06">
        <w:rPr>
          <w:lang w:val="es-ES_tradnl"/>
        </w:rPr>
        <w:t xml:space="preserve"> </w:t>
      </w:r>
      <w:r w:rsidR="00D63F9B">
        <w:rPr>
          <w:lang w:val="es-ES_tradnl"/>
        </w:rPr>
        <w:t>que enriquecieron el proceso de formulación del proyecto de presupuesto</w:t>
      </w:r>
      <w:r w:rsidR="00157E8E">
        <w:rPr>
          <w:lang w:val="es-ES_tradnl"/>
        </w:rPr>
        <w:t xml:space="preserve"> que se presentó al Congreso de la República</w:t>
      </w:r>
      <w:r w:rsidR="00D63F9B">
        <w:rPr>
          <w:lang w:val="es-ES_tradnl"/>
        </w:rPr>
        <w:t>.</w:t>
      </w:r>
    </w:p>
    <w:p w:rsidR="00731F06" w:rsidRDefault="00731F06" w:rsidP="004B5DF5">
      <w:pPr>
        <w:jc w:val="both"/>
        <w:rPr>
          <w:lang w:val="es-ES_tradnl"/>
        </w:rPr>
      </w:pPr>
    </w:p>
    <w:p w:rsidR="007C0FD1" w:rsidRDefault="007C0FD1" w:rsidP="004B5DF5">
      <w:pPr>
        <w:jc w:val="both"/>
        <w:rPr>
          <w:lang w:val="es-ES_tradnl"/>
        </w:rPr>
      </w:pPr>
      <w:r>
        <w:rPr>
          <w:lang w:val="es-ES_tradnl"/>
        </w:rPr>
        <w:t xml:space="preserve">Esta buena práctica que anualmente realiza el Ministerio de Finanzas Públicas en coordinación con el Banco de Guatemala (BANGUAT), </w:t>
      </w:r>
      <w:r w:rsidR="00AF1502">
        <w:rPr>
          <w:lang w:val="es-ES_tradnl"/>
        </w:rPr>
        <w:t xml:space="preserve">la </w:t>
      </w:r>
      <w:r>
        <w:rPr>
          <w:lang w:val="es-ES_tradnl"/>
        </w:rPr>
        <w:t xml:space="preserve">Superintendencia de Administración Tributaria (SAT) y </w:t>
      </w:r>
      <w:r w:rsidR="00AF1502">
        <w:rPr>
          <w:lang w:val="es-ES_tradnl"/>
        </w:rPr>
        <w:t xml:space="preserve">la </w:t>
      </w:r>
      <w:r>
        <w:rPr>
          <w:lang w:val="es-ES_tradnl"/>
        </w:rPr>
        <w:t xml:space="preserve">Secretaría de Planificación y Programación de la Presidencia (SEGEPLAN) durante el proceso de la formulación presupuestaria, </w:t>
      </w:r>
      <w:r w:rsidR="008C40C2">
        <w:rPr>
          <w:lang w:val="es-ES_tradnl"/>
        </w:rPr>
        <w:t>deriva de un compromiso específico que desde el año 2017 asumió el Ministerio de Finanzas Públicas dentro de la Iniciativa de Gobierno Abierto, fomentando de esta manera los principios de transparencia, colaboración y participaci</w:t>
      </w:r>
      <w:r w:rsidR="00212835">
        <w:rPr>
          <w:lang w:val="es-ES_tradnl"/>
        </w:rPr>
        <w:t xml:space="preserve">ón ciudadana que también son impulsados por parte de la </w:t>
      </w:r>
      <w:r w:rsidR="00AF1502">
        <w:rPr>
          <w:lang w:val="es-ES_tradnl"/>
        </w:rPr>
        <w:t>Iniciativa Global para la Transparencia Fiscal (GIFT)</w:t>
      </w:r>
      <w:r w:rsidR="00235F29">
        <w:rPr>
          <w:lang w:val="es-ES_tradnl"/>
        </w:rPr>
        <w:t xml:space="preserve"> y otras</w:t>
      </w:r>
      <w:r w:rsidR="00AF1502">
        <w:rPr>
          <w:lang w:val="es-ES_tradnl"/>
        </w:rPr>
        <w:t>.</w:t>
      </w:r>
    </w:p>
    <w:p w:rsidR="004B5DF5" w:rsidRDefault="004B5DF5" w:rsidP="004B5DF5">
      <w:pPr>
        <w:jc w:val="both"/>
        <w:rPr>
          <w:lang w:val="es-ES_tradnl"/>
        </w:rPr>
      </w:pPr>
    </w:p>
    <w:p w:rsidR="00164BE7" w:rsidRDefault="00164BE7" w:rsidP="004B5DF5">
      <w:pPr>
        <w:jc w:val="both"/>
        <w:rPr>
          <w:lang w:val="es-ES_tradnl"/>
        </w:rPr>
      </w:pPr>
    </w:p>
    <w:p w:rsidR="004B5DF5" w:rsidRPr="00120B63" w:rsidRDefault="00696863" w:rsidP="004B5DF5">
      <w:pPr>
        <w:jc w:val="both"/>
        <w:rPr>
          <w:lang w:val="es-ES_tradnl"/>
        </w:rPr>
      </w:pPr>
      <w:r w:rsidRPr="00120B63">
        <w:rPr>
          <w:b/>
          <w:i/>
          <w:lang w:val="es-ES_tradnl"/>
        </w:rPr>
        <w:t xml:space="preserve">Mejoramiento de los Portales de Información Presupuestaria </w:t>
      </w:r>
      <w:r w:rsidR="00872E00">
        <w:rPr>
          <w:b/>
          <w:i/>
          <w:lang w:val="es-ES_tradnl"/>
        </w:rPr>
        <w:t xml:space="preserve">y Financiera </w:t>
      </w:r>
      <w:r w:rsidRPr="00120B63">
        <w:rPr>
          <w:b/>
          <w:i/>
          <w:lang w:val="es-ES_tradnl"/>
        </w:rPr>
        <w:t>del Ministerio de Finanzas Públicas</w:t>
      </w:r>
      <w:r w:rsidR="004B5DF5" w:rsidRPr="00120B63">
        <w:rPr>
          <w:b/>
          <w:lang w:val="es-ES_tradnl"/>
        </w:rPr>
        <w:t>.</w:t>
      </w:r>
      <w:r w:rsidR="004B5DF5" w:rsidRPr="00120B63">
        <w:rPr>
          <w:lang w:val="es-ES_tradnl"/>
        </w:rPr>
        <w:t xml:space="preserve"> </w:t>
      </w:r>
      <w:r w:rsidR="008D6B65">
        <w:rPr>
          <w:lang w:val="es-ES_tradnl"/>
        </w:rPr>
        <w:t xml:space="preserve">Durante el primer semestre de 2021, se llevó a cabo el proceso de revisión y actualización de </w:t>
      </w:r>
      <w:r w:rsidR="00D84598" w:rsidRPr="00120B63">
        <w:rPr>
          <w:lang w:val="es-ES_tradnl"/>
        </w:rPr>
        <w:t>la información presupuestaria y financiera puesta a disposición de los usuarios en la página web institucional, a través de los distintos portales</w:t>
      </w:r>
      <w:r w:rsidR="00616A63">
        <w:rPr>
          <w:lang w:val="es-ES_tradnl"/>
        </w:rPr>
        <w:t xml:space="preserve"> fiscales</w:t>
      </w:r>
      <w:r w:rsidR="00D84598" w:rsidRPr="00120B63">
        <w:rPr>
          <w:lang w:val="es-ES_tradnl"/>
        </w:rPr>
        <w:t xml:space="preserve">, entre los que destacan: Portal de Transparencia Fiscal, Portal de Datos Abiertos, </w:t>
      </w:r>
      <w:r w:rsidR="00D32A5A" w:rsidRPr="00120B63">
        <w:rPr>
          <w:lang w:val="es-ES_tradnl"/>
        </w:rPr>
        <w:t xml:space="preserve">Portal de Gobiernos Locales, Portal de </w:t>
      </w:r>
      <w:r w:rsidR="006F380D">
        <w:rPr>
          <w:lang w:val="es-ES_tradnl"/>
        </w:rPr>
        <w:t>Bienes del Estado</w:t>
      </w:r>
      <w:r w:rsidR="00D32A5A" w:rsidRPr="00120B63">
        <w:rPr>
          <w:lang w:val="es-ES_tradnl"/>
        </w:rPr>
        <w:t xml:space="preserve"> y más recientemente, </w:t>
      </w:r>
      <w:r w:rsidR="008D6B65">
        <w:rPr>
          <w:lang w:val="es-ES_tradnl"/>
        </w:rPr>
        <w:t>Portal de Transparencia Presupuestaria</w:t>
      </w:r>
      <w:r w:rsidR="00307204" w:rsidRPr="00120B63">
        <w:rPr>
          <w:lang w:val="es-ES_tradnl"/>
        </w:rPr>
        <w:t xml:space="preserve">, Portal de </w:t>
      </w:r>
      <w:r w:rsidR="006F380D">
        <w:rPr>
          <w:lang w:val="es-ES_tradnl"/>
        </w:rPr>
        <w:t>ONG</w:t>
      </w:r>
      <w:r w:rsidR="00D32A5A" w:rsidRPr="00120B63">
        <w:rPr>
          <w:lang w:val="es-ES_tradnl"/>
        </w:rPr>
        <w:t xml:space="preserve"> y Tablero de Control del Estado de Calamidad por </w:t>
      </w:r>
      <w:r w:rsidR="00696CB3" w:rsidRPr="00120B63">
        <w:rPr>
          <w:lang w:val="es-ES_tradnl"/>
        </w:rPr>
        <w:t>la Pandemia d</w:t>
      </w:r>
      <w:r w:rsidR="00D32A5A" w:rsidRPr="00120B63">
        <w:rPr>
          <w:lang w:val="es-ES_tradnl"/>
        </w:rPr>
        <w:t>el C</w:t>
      </w:r>
      <w:r w:rsidR="00261A60">
        <w:rPr>
          <w:lang w:val="es-ES_tradnl"/>
        </w:rPr>
        <w:t>OVID</w:t>
      </w:r>
      <w:r w:rsidR="00D32A5A" w:rsidRPr="00120B63">
        <w:rPr>
          <w:lang w:val="es-ES_tradnl"/>
        </w:rPr>
        <w:t>-19.</w:t>
      </w:r>
      <w:r w:rsidR="00696CB3" w:rsidRPr="00120B63">
        <w:rPr>
          <w:lang w:val="es-ES_tradnl"/>
        </w:rPr>
        <w:t xml:space="preserve"> </w:t>
      </w:r>
      <w:r w:rsidR="008D6B65">
        <w:rPr>
          <w:lang w:val="es-ES_tradnl"/>
        </w:rPr>
        <w:t xml:space="preserve">Asimismo, durante los primeros meses del presente año se diseñaron e implementaron el Portal de </w:t>
      </w:r>
      <w:r w:rsidR="00580710">
        <w:rPr>
          <w:lang w:val="es-ES_tradnl"/>
        </w:rPr>
        <w:t>Fideicomisos y Portal de Préstamos Externos. Con</w:t>
      </w:r>
      <w:r w:rsidR="00E80F93">
        <w:rPr>
          <w:lang w:val="es-ES_tradnl"/>
        </w:rPr>
        <w:t xml:space="preserve"> estos </w:t>
      </w:r>
      <w:r w:rsidR="00695920">
        <w:rPr>
          <w:lang w:val="es-ES_tradnl"/>
        </w:rPr>
        <w:t xml:space="preserve">nuevos </w:t>
      </w:r>
      <w:r w:rsidR="00E80F93">
        <w:rPr>
          <w:lang w:val="es-ES_tradnl"/>
        </w:rPr>
        <w:t>desarrollos se contribuye de manera directa al fomento de la transparencia</w:t>
      </w:r>
      <w:r w:rsidR="00D96A9F">
        <w:rPr>
          <w:lang w:val="es-ES_tradnl"/>
        </w:rPr>
        <w:t xml:space="preserve"> fiscal</w:t>
      </w:r>
      <w:r w:rsidR="00E80F93">
        <w:rPr>
          <w:lang w:val="es-ES_tradnl"/>
        </w:rPr>
        <w:t>, la rendición de cuentas y el libre acceso a la información pública</w:t>
      </w:r>
      <w:r w:rsidR="00D96A9F">
        <w:rPr>
          <w:lang w:val="es-ES_tradnl"/>
        </w:rPr>
        <w:t>, ya que se presenta la información en portales especializados, de fácil acceso y consulta, de forma amigable y en un ambiente gráfico, con mapas, diagramas, tablas e infografías</w:t>
      </w:r>
      <w:r w:rsidR="0049128E">
        <w:rPr>
          <w:lang w:val="es-ES_tradnl"/>
        </w:rPr>
        <w:t>.</w:t>
      </w:r>
    </w:p>
    <w:p w:rsidR="004B5DF5" w:rsidRPr="00120B63" w:rsidRDefault="004B5DF5" w:rsidP="004B5DF5">
      <w:pPr>
        <w:jc w:val="both"/>
        <w:rPr>
          <w:lang w:val="es-ES_tradnl"/>
        </w:rPr>
      </w:pPr>
    </w:p>
    <w:p w:rsidR="002F7293" w:rsidRPr="00281CB5" w:rsidRDefault="004B5DF5" w:rsidP="004B5DF5">
      <w:pPr>
        <w:jc w:val="both"/>
        <w:rPr>
          <w:lang w:val="es-ES_tradnl"/>
        </w:rPr>
      </w:pPr>
      <w:r w:rsidRPr="00281CB5">
        <w:rPr>
          <w:lang w:val="es-ES_tradnl"/>
        </w:rPr>
        <w:t xml:space="preserve">En </w:t>
      </w:r>
      <w:r w:rsidR="006F380D" w:rsidRPr="00281CB5">
        <w:rPr>
          <w:lang w:val="es-ES_tradnl"/>
        </w:rPr>
        <w:t xml:space="preserve">el caso particular del </w:t>
      </w:r>
      <w:r w:rsidR="002F7293" w:rsidRPr="00281CB5">
        <w:rPr>
          <w:lang w:val="es-ES_tradnl"/>
        </w:rPr>
        <w:t xml:space="preserve">Portal de Transparencia Presupuestaria (antes </w:t>
      </w:r>
      <w:r w:rsidR="006F380D" w:rsidRPr="00281CB5">
        <w:rPr>
          <w:lang w:val="es-ES_tradnl"/>
        </w:rPr>
        <w:t xml:space="preserve">Observatorio del </w:t>
      </w:r>
      <w:r w:rsidR="002F7293" w:rsidRPr="00281CB5">
        <w:rPr>
          <w:lang w:val="es-ES_tradnl"/>
        </w:rPr>
        <w:t>Gasto</w:t>
      </w:r>
      <w:r w:rsidR="006F380D" w:rsidRPr="00281CB5">
        <w:rPr>
          <w:lang w:val="es-ES_tradnl"/>
        </w:rPr>
        <w:t xml:space="preserve"> Público</w:t>
      </w:r>
      <w:r w:rsidR="002F7293" w:rsidRPr="00281CB5">
        <w:rPr>
          <w:lang w:val="es-ES_tradnl"/>
        </w:rPr>
        <w:t>)</w:t>
      </w:r>
      <w:r w:rsidR="006F380D" w:rsidRPr="00281CB5">
        <w:rPr>
          <w:lang w:val="es-ES_tradnl"/>
        </w:rPr>
        <w:t xml:space="preserve">, cabe mencionar que </w:t>
      </w:r>
      <w:r w:rsidR="002F7293" w:rsidRPr="00281CB5">
        <w:rPr>
          <w:lang w:val="es-ES_tradnl"/>
        </w:rPr>
        <w:t>se han elaborado reformas continuas con el propósito de ampliar la información puesta a disposición de los usuarios</w:t>
      </w:r>
      <w:r w:rsidR="00DD7493" w:rsidRPr="00281CB5">
        <w:rPr>
          <w:lang w:val="es-ES_tradnl"/>
        </w:rPr>
        <w:t>. Se continúa trabajando en la conceptualización, diseño y desarrollo de tableros internos que permitan publicar información de los sectores más importantes, tales como, Educación, Salud y Seguridad Alimentaria y Nutricional</w:t>
      </w:r>
      <w:r w:rsidR="002F7293" w:rsidRPr="00281CB5">
        <w:rPr>
          <w:lang w:val="es-ES_tradnl"/>
        </w:rPr>
        <w:t xml:space="preserve">. Asimismo, por parte de la Iniciativa Global para la Transparencia Global (GIFT), </w:t>
      </w:r>
      <w:r w:rsidR="006F380D" w:rsidRPr="00281CB5">
        <w:rPr>
          <w:lang w:val="es-ES_tradnl"/>
        </w:rPr>
        <w:t xml:space="preserve">en el </w:t>
      </w:r>
      <w:r w:rsidR="002F7293" w:rsidRPr="00281CB5">
        <w:rPr>
          <w:lang w:val="es-ES_tradnl"/>
        </w:rPr>
        <w:t xml:space="preserve">primer semestre del presente año se creó una Red Latinoamericana de Portales de Transparencia Fiscal, con el propósito de conocer la situación real de dichos portales en la región, y procurar su homologación, de conformidad con las características físicas, técnicas y metodológicas de los países que tienen un </w:t>
      </w:r>
      <w:r w:rsidR="00281CB5" w:rsidRPr="00281CB5">
        <w:rPr>
          <w:lang w:val="es-ES_tradnl"/>
        </w:rPr>
        <w:t xml:space="preserve">mayor </w:t>
      </w:r>
      <w:r w:rsidR="002F7293" w:rsidRPr="00281CB5">
        <w:rPr>
          <w:lang w:val="es-ES_tradnl"/>
        </w:rPr>
        <w:t>grado de avance</w:t>
      </w:r>
      <w:r w:rsidR="00281CB5" w:rsidRPr="00281CB5">
        <w:rPr>
          <w:lang w:val="es-ES_tradnl"/>
        </w:rPr>
        <w:t xml:space="preserve"> y desarrollo</w:t>
      </w:r>
      <w:r w:rsidR="002F7293" w:rsidRPr="00281CB5">
        <w:rPr>
          <w:lang w:val="es-ES_tradnl"/>
        </w:rPr>
        <w:t>.</w:t>
      </w:r>
    </w:p>
    <w:p w:rsidR="002F7293" w:rsidRDefault="002F7293" w:rsidP="004B5DF5">
      <w:pPr>
        <w:jc w:val="both"/>
        <w:rPr>
          <w:highlight w:val="cyan"/>
          <w:lang w:val="es-ES_tradnl"/>
        </w:rPr>
      </w:pPr>
    </w:p>
    <w:p w:rsidR="00164BE7" w:rsidRDefault="00164BE7" w:rsidP="004B5DF5">
      <w:pPr>
        <w:jc w:val="both"/>
        <w:rPr>
          <w:lang w:val="es-ES_tradnl"/>
        </w:rPr>
      </w:pPr>
    </w:p>
    <w:p w:rsidR="00D3038B" w:rsidRDefault="00935169" w:rsidP="004B5DF5">
      <w:pPr>
        <w:jc w:val="both"/>
        <w:rPr>
          <w:lang w:val="es-ES_tradnl"/>
        </w:rPr>
      </w:pPr>
      <w:r>
        <w:rPr>
          <w:b/>
          <w:i/>
          <w:lang w:val="es-ES_tradnl"/>
        </w:rPr>
        <w:t>Diseño del Sistema de Transferencias, Subsidios y Subvenciones (</w:t>
      </w:r>
      <w:r w:rsidR="00F42828">
        <w:rPr>
          <w:b/>
          <w:i/>
          <w:lang w:val="es-ES_tradnl"/>
        </w:rPr>
        <w:t>S</w:t>
      </w:r>
      <w:r>
        <w:rPr>
          <w:b/>
          <w:i/>
          <w:lang w:val="es-ES_tradnl"/>
        </w:rPr>
        <w:t>TSS)</w:t>
      </w:r>
      <w:r w:rsidR="004B5DF5" w:rsidRPr="00CD0AF0">
        <w:rPr>
          <w:lang w:val="es-ES_tradnl"/>
        </w:rPr>
        <w:t>.</w:t>
      </w:r>
      <w:r w:rsidR="006D17DE">
        <w:rPr>
          <w:lang w:val="es-ES_tradnl"/>
        </w:rPr>
        <w:t xml:space="preserve"> </w:t>
      </w:r>
      <w:r w:rsidR="00F42828">
        <w:rPr>
          <w:lang w:val="es-ES_tradnl"/>
        </w:rPr>
        <w:t xml:space="preserve">En </w:t>
      </w:r>
      <w:r>
        <w:rPr>
          <w:lang w:val="es-ES_tradnl"/>
        </w:rPr>
        <w:t>el Presupuesto General de Ingresos y Egresos del Estado de cada ejercicio fiscal, se programan asignaciones por concepto de transferencias corrientes y/o de capital a favor de entidades del sector privado y de organismos regionales e internacionales. De conformidad con la Ley Orgánica del Presupuesto, Decreto No. 101-97 del Congreso de la República, y del Reglamento de Manejo de Subsidios y Subvenciones, Acuerdo Gubernativo No. 55-2016,</w:t>
      </w:r>
      <w:r w:rsidR="00EE47A9">
        <w:rPr>
          <w:lang w:val="es-ES_tradnl"/>
        </w:rPr>
        <w:t xml:space="preserve"> </w:t>
      </w:r>
      <w:r w:rsidR="00F42828">
        <w:rPr>
          <w:lang w:val="es-ES_tradnl"/>
        </w:rPr>
        <w:t>y sus Reformas</w:t>
      </w:r>
      <w:r w:rsidR="00312D01">
        <w:rPr>
          <w:lang w:val="es-ES_tradnl"/>
        </w:rPr>
        <w:t>;</w:t>
      </w:r>
      <w:r>
        <w:rPr>
          <w:lang w:val="es-ES_tradnl"/>
        </w:rPr>
        <w:t xml:space="preserve"> tanto las entidades públicas otorgantes de los recursos, como las entidades receptoras de los mismos, deben presentar informes mensuales de avance físico y financiero</w:t>
      </w:r>
      <w:r w:rsidR="00B232D1">
        <w:rPr>
          <w:lang w:val="es-ES_tradnl"/>
        </w:rPr>
        <w:t>,</w:t>
      </w:r>
      <w:r>
        <w:rPr>
          <w:lang w:val="es-ES_tradnl"/>
        </w:rPr>
        <w:t xml:space="preserve"> destacando los objetivos, metas, resultados, indicadores, impactos y beneficiarios </w:t>
      </w:r>
      <w:r w:rsidR="00802A89">
        <w:rPr>
          <w:lang w:val="es-ES_tradnl"/>
        </w:rPr>
        <w:t>atendidos con</w:t>
      </w:r>
      <w:r>
        <w:rPr>
          <w:lang w:val="es-ES_tradnl"/>
        </w:rPr>
        <w:t xml:space="preserve"> </w:t>
      </w:r>
      <w:r w:rsidR="00EE47A9">
        <w:rPr>
          <w:lang w:val="es-ES_tradnl"/>
        </w:rPr>
        <w:t>las</w:t>
      </w:r>
      <w:r>
        <w:rPr>
          <w:lang w:val="es-ES_tradnl"/>
        </w:rPr>
        <w:t xml:space="preserve"> intervenciones públicas. En ese sentido, </w:t>
      </w:r>
      <w:r w:rsidR="00F42828">
        <w:rPr>
          <w:lang w:val="es-ES_tradnl"/>
        </w:rPr>
        <w:t>se</w:t>
      </w:r>
      <w:r>
        <w:rPr>
          <w:lang w:val="es-ES_tradnl"/>
        </w:rPr>
        <w:t xml:space="preserve"> diseñ</w:t>
      </w:r>
      <w:r w:rsidR="00F42828">
        <w:rPr>
          <w:lang w:val="es-ES_tradnl"/>
        </w:rPr>
        <w:t>ó</w:t>
      </w:r>
      <w:r>
        <w:rPr>
          <w:lang w:val="es-ES_tradnl"/>
        </w:rPr>
        <w:t xml:space="preserve"> e implement</w:t>
      </w:r>
      <w:r w:rsidR="00F42828">
        <w:rPr>
          <w:lang w:val="es-ES_tradnl"/>
        </w:rPr>
        <w:t>ó</w:t>
      </w:r>
      <w:r>
        <w:rPr>
          <w:lang w:val="es-ES_tradnl"/>
        </w:rPr>
        <w:t xml:space="preserve"> el Sistema de Transferencias, Subsidios y Subvenciones </w:t>
      </w:r>
      <w:r w:rsidR="00322B9E">
        <w:rPr>
          <w:lang w:val="es-ES_tradnl"/>
        </w:rPr>
        <w:t>(</w:t>
      </w:r>
      <w:r w:rsidR="00F42828">
        <w:rPr>
          <w:lang w:val="es-ES_tradnl"/>
        </w:rPr>
        <w:t>S</w:t>
      </w:r>
      <w:r w:rsidR="00322B9E">
        <w:rPr>
          <w:lang w:val="es-ES_tradnl"/>
        </w:rPr>
        <w:t xml:space="preserve">TSS) </w:t>
      </w:r>
      <w:r w:rsidR="00F42828">
        <w:rPr>
          <w:lang w:val="es-ES_tradnl"/>
        </w:rPr>
        <w:t xml:space="preserve">para que las entidades otorgantes y receptoras de recursos públicos procedan a registrar </w:t>
      </w:r>
      <w:r w:rsidR="00EE47A9">
        <w:rPr>
          <w:lang w:val="es-ES_tradnl"/>
        </w:rPr>
        <w:t>sus</w:t>
      </w:r>
      <w:r w:rsidR="00F42828">
        <w:rPr>
          <w:lang w:val="es-ES_tradnl"/>
        </w:rPr>
        <w:t xml:space="preserve"> informes de avance físic</w:t>
      </w:r>
      <w:r w:rsidR="00EE47A9">
        <w:rPr>
          <w:lang w:val="es-ES_tradnl"/>
        </w:rPr>
        <w:t>o</w:t>
      </w:r>
      <w:r w:rsidR="00F42828">
        <w:rPr>
          <w:lang w:val="es-ES_tradnl"/>
        </w:rPr>
        <w:t xml:space="preserve"> y financiero en forma mensual, de conformidad </w:t>
      </w:r>
      <w:r w:rsidR="00EE47A9">
        <w:rPr>
          <w:lang w:val="es-ES_tradnl"/>
        </w:rPr>
        <w:t>con</w:t>
      </w:r>
      <w:r w:rsidR="00F42828">
        <w:rPr>
          <w:lang w:val="es-ES_tradnl"/>
        </w:rPr>
        <w:t xml:space="preserve"> la normativa vigente. Además, se diseñó y desarrolló un </w:t>
      </w:r>
      <w:r w:rsidR="00596B82">
        <w:rPr>
          <w:lang w:val="es-ES_tradnl"/>
        </w:rPr>
        <w:t xml:space="preserve">Portal de ONG para facilitar a los ciudadanos en general, las consultas sobre la ejecución de </w:t>
      </w:r>
      <w:r w:rsidR="00EE47A9">
        <w:rPr>
          <w:lang w:val="es-ES_tradnl"/>
        </w:rPr>
        <w:t xml:space="preserve">los </w:t>
      </w:r>
      <w:r w:rsidR="00596B82">
        <w:rPr>
          <w:lang w:val="es-ES_tradnl"/>
        </w:rPr>
        <w:t>recursos públic</w:t>
      </w:r>
      <w:r w:rsidR="00EE47A9">
        <w:rPr>
          <w:lang w:val="es-ES_tradnl"/>
        </w:rPr>
        <w:t>o</w:t>
      </w:r>
      <w:r w:rsidR="00596B82">
        <w:rPr>
          <w:lang w:val="es-ES_tradnl"/>
        </w:rPr>
        <w:t>s por parte de entidades privadas e internacionales ejecutoras de los mismos.</w:t>
      </w:r>
    </w:p>
    <w:p w:rsidR="00D3038B" w:rsidRDefault="00D3038B" w:rsidP="004B5DF5">
      <w:pPr>
        <w:jc w:val="both"/>
        <w:rPr>
          <w:lang w:val="es-ES_tradnl"/>
        </w:rPr>
      </w:pPr>
    </w:p>
    <w:p w:rsidR="00164BE7" w:rsidRDefault="00164BE7" w:rsidP="004B5DF5">
      <w:pPr>
        <w:jc w:val="both"/>
        <w:rPr>
          <w:lang w:val="es-ES_tradnl"/>
        </w:rPr>
      </w:pPr>
    </w:p>
    <w:p w:rsidR="001C795D" w:rsidRDefault="004B5DF5" w:rsidP="004B5DF5">
      <w:pPr>
        <w:jc w:val="both"/>
        <w:rPr>
          <w:lang w:val="es-ES_tradnl"/>
        </w:rPr>
      </w:pPr>
      <w:r w:rsidRPr="006D17DE">
        <w:rPr>
          <w:b/>
          <w:i/>
          <w:lang w:val="es-ES_tradnl"/>
        </w:rPr>
        <w:t>Mejora en la calificación del Índice de Presupuesto Abierto (OBI por sus siglas en inglés).</w:t>
      </w:r>
      <w:r w:rsidRPr="00CD0AF0">
        <w:rPr>
          <w:lang w:val="es-ES_tradnl"/>
        </w:rPr>
        <w:t xml:space="preserve"> En la última evaluación de</w:t>
      </w:r>
      <w:r w:rsidR="00C96986">
        <w:rPr>
          <w:lang w:val="es-ES_tradnl"/>
        </w:rPr>
        <w:t>l Índice de Presupuesto Abierto (OBI), a cargo de</w:t>
      </w:r>
      <w:r w:rsidRPr="00CD0AF0">
        <w:rPr>
          <w:lang w:val="es-ES_tradnl"/>
        </w:rPr>
        <w:t xml:space="preserve"> la International Budget Partnership (IBP)</w:t>
      </w:r>
      <w:r w:rsidR="001C795D">
        <w:rPr>
          <w:lang w:val="es-ES_tradnl"/>
        </w:rPr>
        <w:t xml:space="preserve"> y su evaluador independiente en el país</w:t>
      </w:r>
      <w:r w:rsidRPr="00CD0AF0">
        <w:rPr>
          <w:lang w:val="es-ES_tradnl"/>
        </w:rPr>
        <w:t xml:space="preserve">, Guatemala obtuvo una </w:t>
      </w:r>
      <w:r w:rsidRPr="00CD0AF0">
        <w:rPr>
          <w:lang w:val="es-ES_tradnl"/>
        </w:rPr>
        <w:lastRenderedPageBreak/>
        <w:t xml:space="preserve">calificación de </w:t>
      </w:r>
      <w:r w:rsidR="008D6D40">
        <w:rPr>
          <w:lang w:val="es-ES_tradnl"/>
        </w:rPr>
        <w:t>61</w:t>
      </w:r>
      <w:r w:rsidRPr="00CD0AF0">
        <w:rPr>
          <w:lang w:val="es-ES_tradnl"/>
        </w:rPr>
        <w:t xml:space="preserve"> puntos</w:t>
      </w:r>
      <w:r w:rsidR="008D6D40">
        <w:rPr>
          <w:lang w:val="es-ES_tradnl"/>
        </w:rPr>
        <w:t xml:space="preserve"> que la ubica en el grupo de países </w:t>
      </w:r>
      <w:r w:rsidR="00E40403">
        <w:rPr>
          <w:lang w:val="es-ES_tradnl"/>
        </w:rPr>
        <w:t>que proporcionan</w:t>
      </w:r>
      <w:r w:rsidR="008D6D40">
        <w:rPr>
          <w:lang w:val="es-ES_tradnl"/>
        </w:rPr>
        <w:t xml:space="preserve"> “información </w:t>
      </w:r>
      <w:r w:rsidR="009E3B42">
        <w:rPr>
          <w:lang w:val="es-ES_tradnl"/>
        </w:rPr>
        <w:t xml:space="preserve">presupuestaria </w:t>
      </w:r>
      <w:r w:rsidR="008D6D40">
        <w:rPr>
          <w:lang w:val="es-ES_tradnl"/>
        </w:rPr>
        <w:t xml:space="preserve">sustancial”. </w:t>
      </w:r>
      <w:r w:rsidR="001C795D">
        <w:rPr>
          <w:lang w:val="es-ES_tradnl"/>
        </w:rPr>
        <w:t>En la más reciente evaluación</w:t>
      </w:r>
      <w:r w:rsidR="00696863">
        <w:rPr>
          <w:lang w:val="es-ES_tradnl"/>
        </w:rPr>
        <w:t>,</w:t>
      </w:r>
      <w:r w:rsidR="001C795D">
        <w:rPr>
          <w:lang w:val="es-ES_tradnl"/>
        </w:rPr>
        <w:t xml:space="preserve"> Guatemala continuó ascendiendo en su buen desempeño, habiendo alcanzado </w:t>
      </w:r>
      <w:r w:rsidR="00E40403">
        <w:rPr>
          <w:lang w:val="es-ES_tradnl"/>
        </w:rPr>
        <w:t xml:space="preserve">en esta ocasión </w:t>
      </w:r>
      <w:r w:rsidR="001C795D">
        <w:rPr>
          <w:lang w:val="es-ES_tradnl"/>
        </w:rPr>
        <w:t xml:space="preserve">una calificación de 65 puntos que la ubica </w:t>
      </w:r>
      <w:r w:rsidR="009E3B42">
        <w:rPr>
          <w:lang w:val="es-ES_tradnl"/>
        </w:rPr>
        <w:t>dentro de las cinco mejores posiciones</w:t>
      </w:r>
      <w:r w:rsidR="001C795D">
        <w:rPr>
          <w:lang w:val="es-ES_tradnl"/>
        </w:rPr>
        <w:t xml:space="preserve"> a nivel de América </w:t>
      </w:r>
      <w:r w:rsidR="00E40403">
        <w:rPr>
          <w:lang w:val="es-ES_tradnl"/>
        </w:rPr>
        <w:t>L</w:t>
      </w:r>
      <w:r w:rsidR="001C795D">
        <w:rPr>
          <w:lang w:val="es-ES_tradnl"/>
        </w:rPr>
        <w:t xml:space="preserve">atina y en la posición 24 dentro del ranking mundial </w:t>
      </w:r>
      <w:r w:rsidR="005D183B">
        <w:rPr>
          <w:lang w:val="es-ES_tradnl"/>
        </w:rPr>
        <w:t>compuesto</w:t>
      </w:r>
      <w:r w:rsidR="00E40403">
        <w:rPr>
          <w:lang w:val="es-ES_tradnl"/>
        </w:rPr>
        <w:t xml:space="preserve"> por</w:t>
      </w:r>
      <w:r w:rsidR="001C795D">
        <w:rPr>
          <w:lang w:val="es-ES_tradnl"/>
        </w:rPr>
        <w:t xml:space="preserve"> 117 países.</w:t>
      </w:r>
    </w:p>
    <w:p w:rsidR="001C795D" w:rsidRDefault="001C795D" w:rsidP="004B5DF5">
      <w:pPr>
        <w:jc w:val="both"/>
        <w:rPr>
          <w:lang w:val="es-ES_tradnl"/>
        </w:rPr>
      </w:pPr>
    </w:p>
    <w:p w:rsidR="001C795D" w:rsidRDefault="00FC6FAC" w:rsidP="004B5DF5">
      <w:pPr>
        <w:jc w:val="both"/>
        <w:rPr>
          <w:lang w:val="es-ES_tradnl"/>
        </w:rPr>
      </w:pPr>
      <w:r>
        <w:rPr>
          <w:lang w:val="es-ES_tradnl"/>
        </w:rPr>
        <w:t>Estos resultados han sido posibles</w:t>
      </w:r>
      <w:r w:rsidR="00A4072F">
        <w:rPr>
          <w:lang w:val="es-ES_tradnl"/>
        </w:rPr>
        <w:t xml:space="preserve"> gracias a la dedicación y empeño puestos de manifiesto por las dependencias del Ministerio de Finanzas Públicas que tienen a su cargo </w:t>
      </w:r>
      <w:r w:rsidR="00A4072F" w:rsidRPr="00CD0AF0">
        <w:rPr>
          <w:lang w:val="es-ES_tradnl"/>
        </w:rPr>
        <w:t xml:space="preserve">la elaboración y publicación de los 8 documentos clave del ciclo presupuestario que evalúa el Índice de Presupuesto Abierto, </w:t>
      </w:r>
      <w:r w:rsidR="00A4072F">
        <w:rPr>
          <w:lang w:val="es-ES_tradnl"/>
        </w:rPr>
        <w:t>tomando en cuenta</w:t>
      </w:r>
      <w:r w:rsidR="00A4072F" w:rsidRPr="00CD0AF0">
        <w:rPr>
          <w:lang w:val="es-ES_tradnl"/>
        </w:rPr>
        <w:t xml:space="preserve"> los estándares y lineamientos contenidos en la Guía para la Transparencia en los Documentos Presupuestarios del Gobierno y en la Encuesta de Presupuesto Abierto, ambos emitidos por la International Budget Partnership (IBP).</w:t>
      </w:r>
      <w:r w:rsidR="00A4072F">
        <w:rPr>
          <w:lang w:val="es-ES_tradnl"/>
        </w:rPr>
        <w:t xml:space="preserve"> Estos ocho documentos presupuestarios son: </w:t>
      </w:r>
      <w:r w:rsidR="00A4072F" w:rsidRPr="00B730B7">
        <w:rPr>
          <w:lang w:val="es-ES_tradnl"/>
        </w:rPr>
        <w:t xml:space="preserve">1) Proyecto de Presupuesto del Ejecutivo </w:t>
      </w:r>
      <w:r w:rsidR="00A4072F">
        <w:rPr>
          <w:lang w:val="es-ES_tradnl"/>
        </w:rPr>
        <w:t>(</w:t>
      </w:r>
      <w:r w:rsidR="00A4072F" w:rsidRPr="00B730B7">
        <w:rPr>
          <w:lang w:val="es-ES_tradnl"/>
        </w:rPr>
        <w:t>EBP</w:t>
      </w:r>
      <w:r w:rsidR="00A4072F">
        <w:rPr>
          <w:lang w:val="es-ES_tradnl"/>
        </w:rPr>
        <w:t>)</w:t>
      </w:r>
      <w:r w:rsidR="00A4072F" w:rsidRPr="00B730B7">
        <w:rPr>
          <w:lang w:val="es-ES_tradnl"/>
        </w:rPr>
        <w:t xml:space="preserve">; 2) Documento Preliminar de Presupuesto </w:t>
      </w:r>
      <w:r w:rsidR="00A4072F">
        <w:rPr>
          <w:lang w:val="es-ES_tradnl"/>
        </w:rPr>
        <w:t>(</w:t>
      </w:r>
      <w:r w:rsidR="00A4072F" w:rsidRPr="00B730B7">
        <w:rPr>
          <w:lang w:val="es-ES_tradnl"/>
        </w:rPr>
        <w:t>PBS</w:t>
      </w:r>
      <w:r w:rsidR="00A4072F">
        <w:rPr>
          <w:lang w:val="es-ES_tradnl"/>
        </w:rPr>
        <w:t>)</w:t>
      </w:r>
      <w:r w:rsidR="00A4072F" w:rsidRPr="00B730B7">
        <w:rPr>
          <w:lang w:val="es-ES_tradnl"/>
        </w:rPr>
        <w:t xml:space="preserve">; 3) Presupuesto Aprobado </w:t>
      </w:r>
      <w:r w:rsidR="00A4072F">
        <w:rPr>
          <w:lang w:val="es-ES_tradnl"/>
        </w:rPr>
        <w:t>(</w:t>
      </w:r>
      <w:r w:rsidR="00A4072F" w:rsidRPr="00B730B7">
        <w:rPr>
          <w:lang w:val="es-ES_tradnl"/>
        </w:rPr>
        <w:t>EB</w:t>
      </w:r>
      <w:r w:rsidR="00A4072F">
        <w:rPr>
          <w:lang w:val="es-ES_tradnl"/>
        </w:rPr>
        <w:t>)</w:t>
      </w:r>
      <w:r w:rsidR="00A4072F" w:rsidRPr="00B730B7">
        <w:rPr>
          <w:lang w:val="es-ES_tradnl"/>
        </w:rPr>
        <w:t xml:space="preserve">; 4) Presupuesto Ciudadano </w:t>
      </w:r>
      <w:r w:rsidR="00A4072F">
        <w:rPr>
          <w:lang w:val="es-ES_tradnl"/>
        </w:rPr>
        <w:t>(</w:t>
      </w:r>
      <w:r w:rsidR="00A4072F" w:rsidRPr="00B730B7">
        <w:rPr>
          <w:lang w:val="es-ES_tradnl"/>
        </w:rPr>
        <w:t>CB</w:t>
      </w:r>
      <w:r w:rsidR="00A4072F">
        <w:rPr>
          <w:lang w:val="es-ES_tradnl"/>
        </w:rPr>
        <w:t>)</w:t>
      </w:r>
      <w:r w:rsidR="00A4072F" w:rsidRPr="00B730B7">
        <w:rPr>
          <w:lang w:val="es-ES_tradnl"/>
        </w:rPr>
        <w:t xml:space="preserve">; 5) Informes Entregados Durante el Año </w:t>
      </w:r>
      <w:r w:rsidR="00A4072F">
        <w:rPr>
          <w:lang w:val="es-ES_tradnl"/>
        </w:rPr>
        <w:t>(</w:t>
      </w:r>
      <w:r w:rsidR="00A4072F" w:rsidRPr="00B730B7">
        <w:rPr>
          <w:lang w:val="es-ES_tradnl"/>
        </w:rPr>
        <w:t>IYR</w:t>
      </w:r>
      <w:r w:rsidR="00A4072F">
        <w:rPr>
          <w:lang w:val="es-ES_tradnl"/>
        </w:rPr>
        <w:t>)</w:t>
      </w:r>
      <w:r w:rsidR="00A4072F" w:rsidRPr="00B730B7">
        <w:rPr>
          <w:lang w:val="es-ES_tradnl"/>
        </w:rPr>
        <w:t xml:space="preserve">; 6) Revisión de Mitad de Año </w:t>
      </w:r>
      <w:r w:rsidR="00A4072F">
        <w:rPr>
          <w:lang w:val="es-ES_tradnl"/>
        </w:rPr>
        <w:t>(</w:t>
      </w:r>
      <w:r w:rsidR="00A4072F" w:rsidRPr="00B730B7">
        <w:rPr>
          <w:lang w:val="es-ES_tradnl"/>
        </w:rPr>
        <w:t>MYR</w:t>
      </w:r>
      <w:r w:rsidR="00A4072F">
        <w:rPr>
          <w:lang w:val="es-ES_tradnl"/>
        </w:rPr>
        <w:t>)</w:t>
      </w:r>
      <w:r w:rsidR="00A4072F" w:rsidRPr="00B730B7">
        <w:rPr>
          <w:lang w:val="es-ES_tradnl"/>
        </w:rPr>
        <w:t xml:space="preserve">; 7) Informe de Fin de Año </w:t>
      </w:r>
      <w:r w:rsidR="00A4072F">
        <w:rPr>
          <w:lang w:val="es-ES_tradnl"/>
        </w:rPr>
        <w:t>(</w:t>
      </w:r>
      <w:r w:rsidR="00A4072F" w:rsidRPr="00B730B7">
        <w:rPr>
          <w:lang w:val="es-ES_tradnl"/>
        </w:rPr>
        <w:t>YER</w:t>
      </w:r>
      <w:r w:rsidR="00A4072F">
        <w:rPr>
          <w:lang w:val="es-ES_tradnl"/>
        </w:rPr>
        <w:t>)</w:t>
      </w:r>
      <w:r w:rsidR="00A4072F" w:rsidRPr="00B730B7">
        <w:rPr>
          <w:lang w:val="es-ES_tradnl"/>
        </w:rPr>
        <w:t xml:space="preserve">; y 8) Informe de Auditoría </w:t>
      </w:r>
      <w:r w:rsidR="00A4072F">
        <w:rPr>
          <w:lang w:val="es-ES_tradnl"/>
        </w:rPr>
        <w:t>(</w:t>
      </w:r>
      <w:r w:rsidR="00A4072F" w:rsidRPr="00B730B7">
        <w:rPr>
          <w:lang w:val="es-ES_tradnl"/>
        </w:rPr>
        <w:t>AR</w:t>
      </w:r>
      <w:r w:rsidR="00A4072F">
        <w:rPr>
          <w:lang w:val="es-ES_tradnl"/>
        </w:rPr>
        <w:t>).</w:t>
      </w:r>
    </w:p>
    <w:p w:rsidR="00A4072F" w:rsidRDefault="00A4072F" w:rsidP="004B5DF5">
      <w:pPr>
        <w:jc w:val="both"/>
        <w:rPr>
          <w:lang w:val="es-ES_tradnl"/>
        </w:rPr>
      </w:pPr>
    </w:p>
    <w:p w:rsidR="00B45BD0" w:rsidRDefault="00B45BD0" w:rsidP="004B5DF5">
      <w:pPr>
        <w:jc w:val="both"/>
        <w:rPr>
          <w:lang w:val="es-ES_tradnl"/>
        </w:rPr>
      </w:pPr>
      <w:r>
        <w:rPr>
          <w:lang w:val="es-ES_tradnl"/>
        </w:rPr>
        <w:t xml:space="preserve">Asimismo, ha influido </w:t>
      </w:r>
      <w:r w:rsidR="006C4F76">
        <w:rPr>
          <w:lang w:val="es-ES_tradnl"/>
        </w:rPr>
        <w:t>grandemente</w:t>
      </w:r>
      <w:r>
        <w:rPr>
          <w:lang w:val="es-ES_tradnl"/>
        </w:rPr>
        <w:t xml:space="preserve"> la institucionalización de este</w:t>
      </w:r>
      <w:r w:rsidR="004B5DF5" w:rsidRPr="00CD0AF0">
        <w:rPr>
          <w:lang w:val="es-ES_tradnl"/>
        </w:rPr>
        <w:t xml:space="preserve"> proceso mediante la emisión del Acuerdo Ministerial No. 194-2017, </w:t>
      </w:r>
      <w:r>
        <w:rPr>
          <w:lang w:val="es-ES_tradnl"/>
        </w:rPr>
        <w:t xml:space="preserve">que designa a las dependencias directamente responsables de la elaboración y publicación de los </w:t>
      </w:r>
      <w:r w:rsidR="00E60DEE">
        <w:rPr>
          <w:lang w:val="es-ES_tradnl"/>
        </w:rPr>
        <w:t>ocho</w:t>
      </w:r>
      <w:r>
        <w:rPr>
          <w:lang w:val="es-ES_tradnl"/>
        </w:rPr>
        <w:t xml:space="preserve"> documentos clave del ciclo presupuestario</w:t>
      </w:r>
      <w:r w:rsidR="006C4F76">
        <w:rPr>
          <w:lang w:val="es-ES_tradnl"/>
        </w:rPr>
        <w:t>, así como</w:t>
      </w:r>
      <w:r>
        <w:rPr>
          <w:lang w:val="es-ES_tradnl"/>
        </w:rPr>
        <w:t xml:space="preserve"> las fechas </w:t>
      </w:r>
      <w:r w:rsidR="006C4F76">
        <w:rPr>
          <w:lang w:val="es-ES_tradnl"/>
        </w:rPr>
        <w:t>límites</w:t>
      </w:r>
      <w:r>
        <w:rPr>
          <w:lang w:val="es-ES_tradnl"/>
        </w:rPr>
        <w:t xml:space="preserve"> en que </w:t>
      </w:r>
      <w:r w:rsidR="006C4F76">
        <w:rPr>
          <w:lang w:val="es-ES_tradnl"/>
        </w:rPr>
        <w:t xml:space="preserve">éstos </w:t>
      </w:r>
      <w:r>
        <w:rPr>
          <w:lang w:val="es-ES_tradnl"/>
        </w:rPr>
        <w:t xml:space="preserve">deben ser publicados en la página web institucional. Como etapa preparatoria para el proceso de la evaluación que se realiza cada dos años, el Ministerio de Finanzas Públicas </w:t>
      </w:r>
      <w:r w:rsidR="006C4F76">
        <w:rPr>
          <w:lang w:val="es-ES_tradnl"/>
        </w:rPr>
        <w:t xml:space="preserve">ha implementado la buena práctica de hacer un Informe de Autoevaluación, a través de un programa de simulación, sobre la revisión objetiva de los documentos que serán objeto de la </w:t>
      </w:r>
      <w:r w:rsidR="002207EF">
        <w:rPr>
          <w:lang w:val="es-ES_tradnl"/>
        </w:rPr>
        <w:t>próxima</w:t>
      </w:r>
      <w:r w:rsidR="006C4F76">
        <w:rPr>
          <w:lang w:val="es-ES_tradnl"/>
        </w:rPr>
        <w:t xml:space="preserve"> evaluación, lo que muestra una calificación tentativa por obtener, considerando la calidad y exhaustividad de la información presupuestaria que se produce y la fecha en que se publica.</w:t>
      </w:r>
      <w:r w:rsidR="009E3B42">
        <w:rPr>
          <w:lang w:val="es-ES_tradnl"/>
        </w:rPr>
        <w:t xml:space="preserve"> Para la próxima evaluación que abarcará el período 2020 y 2021, y cuyos resultados debieran ser publicados </w:t>
      </w:r>
      <w:r w:rsidR="00F32220">
        <w:rPr>
          <w:lang w:val="es-ES_tradnl"/>
        </w:rPr>
        <w:t>durante</w:t>
      </w:r>
      <w:r w:rsidR="009E3B42">
        <w:rPr>
          <w:lang w:val="es-ES_tradnl"/>
        </w:rPr>
        <w:t xml:space="preserve"> el primer trimestre de 2022, el Ministerio de Finanzas Públicas estima seguir incrementando en su calificación, ya que en cada uno de los documentos presupuestarios publicados se han realizado esfuerzos por ampliar la información, acorde con los parámetros </w:t>
      </w:r>
      <w:r w:rsidR="00F32220">
        <w:rPr>
          <w:lang w:val="es-ES_tradnl"/>
        </w:rPr>
        <w:t xml:space="preserve">y estándares </w:t>
      </w:r>
      <w:r w:rsidR="009E3B42">
        <w:rPr>
          <w:lang w:val="es-ES_tradnl"/>
        </w:rPr>
        <w:t>de la Encuesta de Presupuesto Abierto (OBS).</w:t>
      </w:r>
    </w:p>
    <w:p w:rsidR="00B45BD0" w:rsidRDefault="00B45BD0" w:rsidP="004B5DF5">
      <w:pPr>
        <w:jc w:val="both"/>
        <w:rPr>
          <w:lang w:val="es-ES_tradnl"/>
        </w:rPr>
      </w:pPr>
    </w:p>
    <w:p w:rsidR="00B45BD0" w:rsidRDefault="00B45BD0" w:rsidP="004B5DF5">
      <w:pPr>
        <w:jc w:val="both"/>
        <w:rPr>
          <w:lang w:val="es-ES_tradnl"/>
        </w:rPr>
      </w:pPr>
    </w:p>
    <w:p w:rsidR="00ED72FA" w:rsidRPr="00ED72FA" w:rsidRDefault="009352CD" w:rsidP="00ED72FA">
      <w:pPr>
        <w:jc w:val="both"/>
        <w:rPr>
          <w:lang w:val="es-ES_tradnl"/>
        </w:rPr>
      </w:pPr>
      <w:r w:rsidRPr="002B005D">
        <w:rPr>
          <w:b/>
          <w:i/>
          <w:lang w:val="es-ES_tradnl"/>
        </w:rPr>
        <w:t xml:space="preserve">Análisis y </w:t>
      </w:r>
      <w:r w:rsidR="00B77826" w:rsidRPr="002B005D">
        <w:rPr>
          <w:b/>
          <w:i/>
          <w:lang w:val="es-ES_tradnl"/>
        </w:rPr>
        <w:t>Gestión de Riesgos Fiscales.</w:t>
      </w:r>
      <w:r w:rsidR="00B77826" w:rsidRPr="002B005D">
        <w:rPr>
          <w:lang w:val="es-ES_tradnl"/>
        </w:rPr>
        <w:t xml:space="preserve"> Por </w:t>
      </w:r>
      <w:r w:rsidR="00F32220">
        <w:rPr>
          <w:lang w:val="es-ES_tradnl"/>
        </w:rPr>
        <w:t>sexto</w:t>
      </w:r>
      <w:r w:rsidR="00B77826" w:rsidRPr="002B005D">
        <w:rPr>
          <w:lang w:val="es-ES_tradnl"/>
        </w:rPr>
        <w:t xml:space="preserve"> año consecutivo, en la etapa de formulación del Proyecto de Presupuesto General de Ingresos y Egresos del Estado, se incorpora un</w:t>
      </w:r>
      <w:r w:rsidRPr="002B005D">
        <w:rPr>
          <w:lang w:val="es-ES_tradnl"/>
        </w:rPr>
        <w:t>a separata o</w:t>
      </w:r>
      <w:r w:rsidR="00B77826" w:rsidRPr="002B005D">
        <w:rPr>
          <w:lang w:val="es-ES_tradnl"/>
        </w:rPr>
        <w:t xml:space="preserve"> informe ejecutivo sobre el análisis y gestión de </w:t>
      </w:r>
      <w:r w:rsidRPr="002B005D">
        <w:rPr>
          <w:lang w:val="es-ES_tradnl"/>
        </w:rPr>
        <w:t xml:space="preserve">los </w:t>
      </w:r>
      <w:r w:rsidR="00B77826" w:rsidRPr="002B005D">
        <w:rPr>
          <w:lang w:val="es-ES_tradnl"/>
        </w:rPr>
        <w:t>riesgos fiscales</w:t>
      </w:r>
      <w:r w:rsidR="00B77826" w:rsidRPr="00B77826">
        <w:rPr>
          <w:lang w:val="es-ES_tradnl"/>
        </w:rPr>
        <w:t xml:space="preserve"> </w:t>
      </w:r>
      <w:r w:rsidR="00ED72FA" w:rsidRPr="00ED72FA">
        <w:rPr>
          <w:lang w:val="es-ES_tradnl"/>
        </w:rPr>
        <w:t xml:space="preserve">que podrían tener un impacto en la evolución de las principales variables </w:t>
      </w:r>
      <w:r w:rsidR="00D15DEF">
        <w:rPr>
          <w:lang w:val="es-ES_tradnl"/>
        </w:rPr>
        <w:t xml:space="preserve">macroeconómicas y </w:t>
      </w:r>
      <w:r w:rsidR="00ED72FA" w:rsidRPr="00ED72FA">
        <w:rPr>
          <w:lang w:val="es-ES_tradnl"/>
        </w:rPr>
        <w:t>fiscales</w:t>
      </w:r>
      <w:r>
        <w:rPr>
          <w:lang w:val="es-ES_tradnl"/>
        </w:rPr>
        <w:t>,</w:t>
      </w:r>
      <w:r w:rsidR="00ED72FA" w:rsidRPr="00ED72FA">
        <w:rPr>
          <w:lang w:val="es-ES_tradnl"/>
        </w:rPr>
        <w:t xml:space="preserve"> y que</w:t>
      </w:r>
      <w:r>
        <w:rPr>
          <w:lang w:val="es-ES_tradnl"/>
        </w:rPr>
        <w:t xml:space="preserve"> adicionalmente</w:t>
      </w:r>
      <w:r w:rsidR="00ED72FA" w:rsidRPr="00ED72FA">
        <w:rPr>
          <w:lang w:val="es-ES_tradnl"/>
        </w:rPr>
        <w:t xml:space="preserve"> </w:t>
      </w:r>
      <w:r>
        <w:rPr>
          <w:lang w:val="es-ES_tradnl"/>
        </w:rPr>
        <w:t xml:space="preserve">podrían </w:t>
      </w:r>
      <w:r w:rsidR="00ED72FA" w:rsidRPr="00ED72FA">
        <w:rPr>
          <w:lang w:val="es-ES_tradnl"/>
        </w:rPr>
        <w:t>afectar la sostenibilidad de la deu</w:t>
      </w:r>
      <w:r>
        <w:rPr>
          <w:lang w:val="es-ES_tradnl"/>
        </w:rPr>
        <w:t xml:space="preserve">da pública en el mediano plazo. </w:t>
      </w:r>
      <w:r w:rsidR="00ED72FA" w:rsidRPr="00ED72FA">
        <w:rPr>
          <w:lang w:val="es-ES_tradnl"/>
        </w:rPr>
        <w:t xml:space="preserve">Dicho análisis tiene el objetivo de cumplir los compromisos que el país ha asumido en materia de transparencia fiscal, </w:t>
      </w:r>
      <w:r>
        <w:rPr>
          <w:lang w:val="es-ES_tradnl"/>
        </w:rPr>
        <w:t>según</w:t>
      </w:r>
      <w:r w:rsidR="00ED72FA" w:rsidRPr="00ED72FA">
        <w:rPr>
          <w:lang w:val="es-ES_tradnl"/>
        </w:rPr>
        <w:t xml:space="preserve"> las recomendaciones del</w:t>
      </w:r>
      <w:r>
        <w:rPr>
          <w:lang w:val="es-ES_tradnl"/>
        </w:rPr>
        <w:t xml:space="preserve"> Fondo Monetario Internacional</w:t>
      </w:r>
      <w:r w:rsidR="00ED72FA" w:rsidRPr="00ED72FA">
        <w:rPr>
          <w:lang w:val="es-ES_tradnl"/>
        </w:rPr>
        <w:t xml:space="preserve"> </w:t>
      </w:r>
      <w:r>
        <w:rPr>
          <w:lang w:val="es-ES_tradnl"/>
        </w:rPr>
        <w:t>(</w:t>
      </w:r>
      <w:r w:rsidR="00ED72FA" w:rsidRPr="00ED72FA">
        <w:rPr>
          <w:lang w:val="es-ES_tradnl"/>
        </w:rPr>
        <w:t>FMI</w:t>
      </w:r>
      <w:r>
        <w:rPr>
          <w:lang w:val="es-ES_tradnl"/>
        </w:rPr>
        <w:t>)</w:t>
      </w:r>
      <w:r w:rsidR="00ED72FA" w:rsidRPr="00ED72FA">
        <w:rPr>
          <w:lang w:val="es-ES_tradnl"/>
        </w:rPr>
        <w:t>,</w:t>
      </w:r>
      <w:r w:rsidR="00D15DEF">
        <w:rPr>
          <w:lang w:val="es-ES_tradnl"/>
        </w:rPr>
        <w:t xml:space="preserve"> de</w:t>
      </w:r>
      <w:r w:rsidR="00ED72FA" w:rsidRPr="00ED72FA">
        <w:rPr>
          <w:lang w:val="es-ES_tradnl"/>
        </w:rPr>
        <w:t xml:space="preserve"> </w:t>
      </w:r>
      <w:r>
        <w:rPr>
          <w:lang w:val="es-ES_tradnl"/>
        </w:rPr>
        <w:t>conform</w:t>
      </w:r>
      <w:r w:rsidR="00D15DEF">
        <w:rPr>
          <w:lang w:val="es-ES_tradnl"/>
        </w:rPr>
        <w:t>idad a</w:t>
      </w:r>
      <w:r w:rsidR="00ED72FA" w:rsidRPr="00ED72FA">
        <w:rPr>
          <w:lang w:val="es-ES_tradnl"/>
        </w:rPr>
        <w:t xml:space="preserve"> la evaluación formal sobre transparencia fiscal</w:t>
      </w:r>
      <w:r>
        <w:rPr>
          <w:lang w:val="es-ES_tradnl"/>
        </w:rPr>
        <w:t xml:space="preserve"> que realizó en el país</w:t>
      </w:r>
      <w:r w:rsidR="00D15DEF">
        <w:rPr>
          <w:lang w:val="es-ES_tradnl"/>
        </w:rPr>
        <w:t>,</w:t>
      </w:r>
      <w:r>
        <w:rPr>
          <w:lang w:val="es-ES_tradnl"/>
        </w:rPr>
        <w:t xml:space="preserve"> entre marzo y abril de</w:t>
      </w:r>
      <w:r w:rsidR="00ED72FA" w:rsidRPr="00ED72FA">
        <w:rPr>
          <w:lang w:val="es-ES_tradnl"/>
        </w:rPr>
        <w:t xml:space="preserve"> 2016. De esa cuenta desde el año 2017 se incluye como una separata </w:t>
      </w:r>
      <w:r w:rsidR="00444AFC">
        <w:rPr>
          <w:lang w:val="es-ES_tradnl"/>
        </w:rPr>
        <w:t>que integra el</w:t>
      </w:r>
      <w:r w:rsidR="00ED72FA" w:rsidRPr="00ED72FA">
        <w:rPr>
          <w:lang w:val="es-ES_tradnl"/>
        </w:rPr>
        <w:t xml:space="preserve"> Proyecto de Presupuesto</w:t>
      </w:r>
      <w:r w:rsidR="00444AFC">
        <w:rPr>
          <w:lang w:val="es-ES_tradnl"/>
        </w:rPr>
        <w:t xml:space="preserve"> General de Ingresos y Egresos del Estado,</w:t>
      </w:r>
      <w:r w:rsidR="00ED72FA" w:rsidRPr="00ED72FA">
        <w:rPr>
          <w:lang w:val="es-ES_tradnl"/>
        </w:rPr>
        <w:t xml:space="preserve"> </w:t>
      </w:r>
      <w:r w:rsidR="00444AFC">
        <w:rPr>
          <w:lang w:val="es-ES_tradnl"/>
        </w:rPr>
        <w:t>un</w:t>
      </w:r>
      <w:r w:rsidR="00ED72FA" w:rsidRPr="00ED72FA">
        <w:rPr>
          <w:lang w:val="es-ES_tradnl"/>
        </w:rPr>
        <w:t xml:space="preserve"> informe </w:t>
      </w:r>
      <w:r w:rsidR="00444AFC">
        <w:rPr>
          <w:lang w:val="es-ES_tradnl"/>
        </w:rPr>
        <w:t>sobre</w:t>
      </w:r>
      <w:r w:rsidR="00ED72FA" w:rsidRPr="00ED72FA">
        <w:rPr>
          <w:lang w:val="es-ES_tradnl"/>
        </w:rPr>
        <w:t xml:space="preserve"> los principales riesgos fiscales</w:t>
      </w:r>
      <w:r w:rsidR="00444AFC">
        <w:rPr>
          <w:lang w:val="es-ES_tradnl"/>
        </w:rPr>
        <w:t xml:space="preserve"> que pudieran afectar las finanzas del Estado</w:t>
      </w:r>
      <w:r w:rsidR="00ED72FA" w:rsidRPr="00ED72FA">
        <w:rPr>
          <w:lang w:val="es-ES_tradnl"/>
        </w:rPr>
        <w:t>.</w:t>
      </w:r>
    </w:p>
    <w:p w:rsidR="00ED72FA" w:rsidRPr="00ED72FA" w:rsidRDefault="00ED72FA" w:rsidP="00ED72FA">
      <w:pPr>
        <w:jc w:val="both"/>
        <w:rPr>
          <w:lang w:val="es-ES_tradnl"/>
        </w:rPr>
      </w:pPr>
    </w:p>
    <w:p w:rsidR="005A2DA4" w:rsidRDefault="00ED72FA" w:rsidP="00ED72FA">
      <w:pPr>
        <w:jc w:val="both"/>
        <w:rPr>
          <w:lang w:val="es-ES_tradnl"/>
        </w:rPr>
      </w:pPr>
      <w:r w:rsidRPr="00ED72FA">
        <w:rPr>
          <w:lang w:val="es-ES_tradnl"/>
        </w:rPr>
        <w:lastRenderedPageBreak/>
        <w:t xml:space="preserve">La inclusión del análisis </w:t>
      </w:r>
      <w:r w:rsidR="00583B3D">
        <w:rPr>
          <w:lang w:val="es-ES_tradnl"/>
        </w:rPr>
        <w:t xml:space="preserve">en </w:t>
      </w:r>
      <w:r w:rsidRPr="00ED72FA">
        <w:rPr>
          <w:lang w:val="es-ES_tradnl"/>
        </w:rPr>
        <w:t xml:space="preserve">la </w:t>
      </w:r>
      <w:r w:rsidR="00583B3D">
        <w:rPr>
          <w:lang w:val="es-ES_tradnl"/>
        </w:rPr>
        <w:t>g</w:t>
      </w:r>
      <w:r w:rsidRPr="00ED72FA">
        <w:rPr>
          <w:lang w:val="es-ES_tradnl"/>
        </w:rPr>
        <w:t xml:space="preserve">estión de </w:t>
      </w:r>
      <w:r w:rsidR="00583B3D">
        <w:rPr>
          <w:lang w:val="es-ES_tradnl"/>
        </w:rPr>
        <w:t>r</w:t>
      </w:r>
      <w:r w:rsidRPr="00ED72FA">
        <w:rPr>
          <w:lang w:val="es-ES_tradnl"/>
        </w:rPr>
        <w:t xml:space="preserve">iesgos </w:t>
      </w:r>
      <w:r w:rsidR="00583B3D">
        <w:rPr>
          <w:lang w:val="es-ES_tradnl"/>
        </w:rPr>
        <w:t>f</w:t>
      </w:r>
      <w:r w:rsidRPr="00ED72FA">
        <w:rPr>
          <w:lang w:val="es-ES_tradnl"/>
        </w:rPr>
        <w:t xml:space="preserve">iscales ha adquirido </w:t>
      </w:r>
      <w:r w:rsidR="00A8343F">
        <w:rPr>
          <w:lang w:val="es-ES_tradnl"/>
        </w:rPr>
        <w:t>vital</w:t>
      </w:r>
      <w:r w:rsidRPr="00ED72FA">
        <w:rPr>
          <w:lang w:val="es-ES_tradnl"/>
        </w:rPr>
        <w:t xml:space="preserve"> importancia durante los últimos años, pues el impacto de la globalización, de las incidencias del comercio internacional, la volatilidad de los mercados financieros, el creciente proteccionismo comercial liderado por las principales potencias económicas, la vulnerabilidad de las economías ante desastres climatológicos, los pasivos laborales, </w:t>
      </w:r>
      <w:r w:rsidR="005A2DA4">
        <w:rPr>
          <w:lang w:val="es-ES_tradnl"/>
        </w:rPr>
        <w:t xml:space="preserve">entre otros, </w:t>
      </w:r>
      <w:r w:rsidRPr="00ED72FA">
        <w:rPr>
          <w:lang w:val="es-ES_tradnl"/>
        </w:rPr>
        <w:t xml:space="preserve">son la muestra de una gama de variables que afectan las economías, </w:t>
      </w:r>
      <w:r w:rsidR="00583B3D">
        <w:rPr>
          <w:lang w:val="es-ES_tradnl"/>
        </w:rPr>
        <w:t xml:space="preserve">así como </w:t>
      </w:r>
      <w:r w:rsidRPr="00ED72FA">
        <w:rPr>
          <w:lang w:val="es-ES_tradnl"/>
        </w:rPr>
        <w:t>la evolución de las finanzas y la sostenibilidad de la deuda</w:t>
      </w:r>
      <w:r w:rsidR="00E02651">
        <w:rPr>
          <w:lang w:val="es-ES_tradnl"/>
        </w:rPr>
        <w:t xml:space="preserve"> pública</w:t>
      </w:r>
      <w:r w:rsidR="00583B3D">
        <w:rPr>
          <w:lang w:val="es-ES_tradnl"/>
        </w:rPr>
        <w:t>,</w:t>
      </w:r>
      <w:r w:rsidRPr="00ED72FA">
        <w:rPr>
          <w:lang w:val="es-ES_tradnl"/>
        </w:rPr>
        <w:t xml:space="preserve"> sobre todo en el mediano y largo plazos. Sobre esta visión, tal como lo indica la </w:t>
      </w:r>
      <w:r w:rsidR="005A2DA4">
        <w:rPr>
          <w:lang w:val="es-ES_tradnl"/>
        </w:rPr>
        <w:t xml:space="preserve">Organización para </w:t>
      </w:r>
      <w:r w:rsidR="00E02651">
        <w:rPr>
          <w:lang w:val="es-ES_tradnl"/>
        </w:rPr>
        <w:t>la Cooperación</w:t>
      </w:r>
      <w:r w:rsidR="005A2DA4">
        <w:rPr>
          <w:lang w:val="es-ES_tradnl"/>
        </w:rPr>
        <w:t xml:space="preserve"> y Desarrollo Económicos (OCDE)</w:t>
      </w:r>
      <w:r w:rsidRPr="00ED72FA">
        <w:rPr>
          <w:lang w:val="es-ES_tradnl"/>
        </w:rPr>
        <w:t>, es importante la evaluación del impacto de eventos que tienen el potencial de alterar los datos efectivos de las variables fiscales con relación a sus valores proyectados. Los riesgos fiscales pueden tener impactos significativos sobre el resultado fiscal, es decir</w:t>
      </w:r>
      <w:r w:rsidR="008C4344">
        <w:rPr>
          <w:lang w:val="es-ES_tradnl"/>
        </w:rPr>
        <w:t>,</w:t>
      </w:r>
      <w:r w:rsidRPr="00ED72FA">
        <w:rPr>
          <w:lang w:val="es-ES_tradnl"/>
        </w:rPr>
        <w:t xml:space="preserve"> el superávit o déficit del sector público, e impactar </w:t>
      </w:r>
      <w:r w:rsidR="008C4344">
        <w:rPr>
          <w:lang w:val="es-ES_tradnl"/>
        </w:rPr>
        <w:t xml:space="preserve">en </w:t>
      </w:r>
      <w:r w:rsidRPr="00ED72FA">
        <w:rPr>
          <w:lang w:val="es-ES_tradnl"/>
        </w:rPr>
        <w:t>las necesidades de financiamiento.</w:t>
      </w:r>
    </w:p>
    <w:p w:rsidR="005A2DA4" w:rsidRDefault="005A2DA4" w:rsidP="00ED72FA">
      <w:pPr>
        <w:jc w:val="both"/>
        <w:rPr>
          <w:lang w:val="es-ES_tradnl"/>
        </w:rPr>
      </w:pPr>
    </w:p>
    <w:p w:rsidR="00C563F6" w:rsidRDefault="00C563F6" w:rsidP="00ED72FA">
      <w:pPr>
        <w:jc w:val="both"/>
        <w:rPr>
          <w:lang w:val="es-ES_tradnl"/>
        </w:rPr>
      </w:pPr>
      <w:r w:rsidRPr="00C563F6">
        <w:rPr>
          <w:lang w:val="es-ES_tradnl"/>
        </w:rPr>
        <w:t>En este sentido</w:t>
      </w:r>
      <w:r>
        <w:rPr>
          <w:lang w:val="es-ES_tradnl"/>
        </w:rPr>
        <w:t>,</w:t>
      </w:r>
      <w:r w:rsidRPr="00C563F6">
        <w:rPr>
          <w:lang w:val="es-ES_tradnl"/>
        </w:rPr>
        <w:t xml:space="preserve"> el Ministerio de Finanzas Públicas ha avanzado durante los últimos años en la inclusión de este tipo de análisis ya que se ha considerado la importancia de un adecuado manejo </w:t>
      </w:r>
      <w:r>
        <w:rPr>
          <w:lang w:val="es-ES_tradnl"/>
        </w:rPr>
        <w:t>en</w:t>
      </w:r>
      <w:r w:rsidRPr="00C563F6">
        <w:rPr>
          <w:lang w:val="es-ES_tradnl"/>
        </w:rPr>
        <w:t xml:space="preserve"> la gestión de riesgos, </w:t>
      </w:r>
      <w:r>
        <w:rPr>
          <w:lang w:val="es-ES_tradnl"/>
        </w:rPr>
        <w:t>específicamente</w:t>
      </w:r>
      <w:r w:rsidRPr="00C563F6">
        <w:rPr>
          <w:lang w:val="es-ES_tradnl"/>
        </w:rPr>
        <w:t xml:space="preserve"> en la identificación de los riesgos fiscales, incluyendo la cuantificación de sus posibles impactos. Ello implica la inclusión de medidas de política orientadas a mitigar los </w:t>
      </w:r>
      <w:r>
        <w:rPr>
          <w:lang w:val="es-ES_tradnl"/>
        </w:rPr>
        <w:t>mismos</w:t>
      </w:r>
      <w:r w:rsidRPr="00C563F6">
        <w:rPr>
          <w:lang w:val="es-ES_tradnl"/>
        </w:rPr>
        <w:t xml:space="preserve"> y la creación de instrumentos orientados a facilitar la toma de decisiones y previsiones para cubrir sus potenciales costos o para aceptarlo</w:t>
      </w:r>
      <w:r>
        <w:rPr>
          <w:lang w:val="es-ES_tradnl"/>
        </w:rPr>
        <w:t>s</w:t>
      </w:r>
      <w:r w:rsidRPr="00C563F6">
        <w:rPr>
          <w:lang w:val="es-ES_tradnl"/>
        </w:rPr>
        <w:t xml:space="preserve"> y acomodarlo</w:t>
      </w:r>
      <w:r>
        <w:rPr>
          <w:lang w:val="es-ES_tradnl"/>
        </w:rPr>
        <w:t>s</w:t>
      </w:r>
      <w:r w:rsidRPr="00C563F6">
        <w:rPr>
          <w:lang w:val="es-ES_tradnl"/>
        </w:rPr>
        <w:t>. La importancia radica en la identificación de medidas de mitigación de riesgos fiscales</w:t>
      </w:r>
      <w:r>
        <w:rPr>
          <w:lang w:val="es-ES_tradnl"/>
        </w:rPr>
        <w:t>,</w:t>
      </w:r>
      <w:r w:rsidRPr="00C563F6">
        <w:rPr>
          <w:lang w:val="es-ES_tradnl"/>
        </w:rPr>
        <w:t xml:space="preserve"> tales como</w:t>
      </w:r>
      <w:r>
        <w:rPr>
          <w:lang w:val="es-ES_tradnl"/>
        </w:rPr>
        <w:t>,</w:t>
      </w:r>
      <w:r w:rsidRPr="00C563F6">
        <w:rPr>
          <w:lang w:val="es-ES_tradnl"/>
        </w:rPr>
        <w:t xml:space="preserve"> controles directos o los límites de exposición, elaboración de estrategias para la gestión de riesgos financieros, regulaciones, y otras medidas y mecanismos para transferir</w:t>
      </w:r>
      <w:r>
        <w:rPr>
          <w:lang w:val="es-ES_tradnl"/>
        </w:rPr>
        <w:t>, mitigar</w:t>
      </w:r>
      <w:r w:rsidRPr="00C563F6">
        <w:rPr>
          <w:lang w:val="es-ES_tradnl"/>
        </w:rPr>
        <w:t xml:space="preserve"> o compartir </w:t>
      </w:r>
      <w:r>
        <w:rPr>
          <w:lang w:val="es-ES_tradnl"/>
        </w:rPr>
        <w:t>los</w:t>
      </w:r>
      <w:r w:rsidRPr="00C563F6">
        <w:rPr>
          <w:lang w:val="es-ES_tradnl"/>
        </w:rPr>
        <w:t xml:space="preserve"> riesgo</w:t>
      </w:r>
      <w:r>
        <w:rPr>
          <w:lang w:val="es-ES_tradnl"/>
        </w:rPr>
        <w:t>s.</w:t>
      </w:r>
    </w:p>
    <w:p w:rsidR="007E0FD4" w:rsidRDefault="007E0FD4" w:rsidP="004B5DF5">
      <w:pPr>
        <w:jc w:val="both"/>
        <w:rPr>
          <w:lang w:val="es-ES_tradnl"/>
        </w:rPr>
      </w:pPr>
    </w:p>
    <w:p w:rsidR="00B2597D" w:rsidRDefault="00B2597D" w:rsidP="00C87E7F">
      <w:pPr>
        <w:jc w:val="both"/>
        <w:rPr>
          <w:lang w:val="es-ES_tradnl"/>
        </w:rPr>
      </w:pPr>
    </w:p>
    <w:p w:rsidR="006F3C04" w:rsidRDefault="006F3C04" w:rsidP="006F3C04">
      <w:pPr>
        <w:jc w:val="both"/>
        <w:rPr>
          <w:lang w:val="es-ES_tradnl"/>
        </w:rPr>
      </w:pPr>
      <w:r w:rsidRPr="008930FF">
        <w:rPr>
          <w:b/>
          <w:i/>
          <w:lang w:val="es-ES_tradnl"/>
        </w:rPr>
        <w:t>Programa de Reactivación Económica y Social 2021-2025.</w:t>
      </w:r>
      <w:r w:rsidRPr="008930FF">
        <w:rPr>
          <w:lang w:val="es-ES_tradnl"/>
        </w:rPr>
        <w:t xml:space="preserve"> Derivado de la crisis sanitaria</w:t>
      </w:r>
      <w:r w:rsidRPr="006F3C04">
        <w:rPr>
          <w:lang w:val="es-ES_tradnl"/>
        </w:rPr>
        <w:t xml:space="preserve"> provocada por la </w:t>
      </w:r>
      <w:r w:rsidR="00DA3B60">
        <w:rPr>
          <w:lang w:val="es-ES_tradnl"/>
        </w:rPr>
        <w:t xml:space="preserve">pandemia del </w:t>
      </w:r>
      <w:r w:rsidRPr="006F3C04">
        <w:rPr>
          <w:lang w:val="es-ES_tradnl"/>
        </w:rPr>
        <w:t>C</w:t>
      </w:r>
      <w:r w:rsidR="00F32220">
        <w:rPr>
          <w:lang w:val="es-ES_tradnl"/>
        </w:rPr>
        <w:t>OVID</w:t>
      </w:r>
      <w:r w:rsidRPr="006F3C04">
        <w:rPr>
          <w:lang w:val="es-ES_tradnl"/>
        </w:rPr>
        <w:t>-19, que ha afectado a</w:t>
      </w:r>
      <w:r w:rsidR="00DA3B60">
        <w:rPr>
          <w:lang w:val="es-ES_tradnl"/>
        </w:rPr>
        <w:t xml:space="preserve"> todo</w:t>
      </w:r>
      <w:r w:rsidRPr="006F3C04">
        <w:rPr>
          <w:lang w:val="es-ES_tradnl"/>
        </w:rPr>
        <w:t xml:space="preserve"> </w:t>
      </w:r>
      <w:r w:rsidR="004C5F49">
        <w:rPr>
          <w:lang w:val="es-ES_tradnl"/>
        </w:rPr>
        <w:t xml:space="preserve">el </w:t>
      </w:r>
      <w:r w:rsidRPr="006F3C04">
        <w:rPr>
          <w:lang w:val="es-ES_tradnl"/>
        </w:rPr>
        <w:t>planeta</w:t>
      </w:r>
      <w:r w:rsidR="00DA3B60">
        <w:rPr>
          <w:lang w:val="es-ES_tradnl"/>
        </w:rPr>
        <w:t xml:space="preserve"> principalmente</w:t>
      </w:r>
      <w:r w:rsidRPr="006F3C04">
        <w:rPr>
          <w:lang w:val="es-ES_tradnl"/>
        </w:rPr>
        <w:t xml:space="preserve"> en 2020, la economía a nivel mundial ha sufrido una considerable contracción, en virtud que los mercados se han desarrollado de forma irregular, aunado a las medidas de confinamiento que han debido adoptar los gobiernos, con el objetivo de salvaguardar la vida de los ciudadanos.</w:t>
      </w:r>
    </w:p>
    <w:p w:rsidR="00F32220" w:rsidRPr="006F3C04" w:rsidRDefault="00F32220" w:rsidP="006F3C04">
      <w:pPr>
        <w:jc w:val="both"/>
        <w:rPr>
          <w:lang w:val="es-ES_tradnl"/>
        </w:rPr>
      </w:pPr>
    </w:p>
    <w:p w:rsidR="006F3C04" w:rsidRDefault="006F3C04" w:rsidP="006F3C04">
      <w:pPr>
        <w:jc w:val="both"/>
        <w:rPr>
          <w:lang w:val="es-ES_tradnl"/>
        </w:rPr>
      </w:pPr>
      <w:r w:rsidRPr="006F3C04">
        <w:rPr>
          <w:lang w:val="es-ES_tradnl"/>
        </w:rPr>
        <w:t xml:space="preserve">De tal cuenta, </w:t>
      </w:r>
      <w:r w:rsidR="00DA3B60">
        <w:rPr>
          <w:lang w:val="es-ES_tradnl"/>
        </w:rPr>
        <w:t>varios o</w:t>
      </w:r>
      <w:r w:rsidRPr="006F3C04">
        <w:rPr>
          <w:lang w:val="es-ES_tradnl"/>
        </w:rPr>
        <w:t xml:space="preserve">rganismos </w:t>
      </w:r>
      <w:r w:rsidR="00DA3B60">
        <w:rPr>
          <w:lang w:val="es-ES_tradnl"/>
        </w:rPr>
        <w:t>i</w:t>
      </w:r>
      <w:r w:rsidRPr="006F3C04">
        <w:rPr>
          <w:lang w:val="es-ES_tradnl"/>
        </w:rPr>
        <w:t>nternacionales como el Fondo Monetario Internacional (FMI) y el Banco Mundial (BM), plantearon que para 2020 la economía se desaceleraría, en comparación con el ritmo reflejado en los últimos años, principalmente por la reducción en el volumen de las transacciones comerciales entre países, así como por la disminución en la producción y el confinamiento establecido</w:t>
      </w:r>
      <w:r>
        <w:rPr>
          <w:lang w:val="es-ES_tradnl"/>
        </w:rPr>
        <w:t>.</w:t>
      </w:r>
    </w:p>
    <w:p w:rsidR="006F3C04" w:rsidRDefault="006F3C04" w:rsidP="006F3C04">
      <w:pPr>
        <w:jc w:val="both"/>
        <w:rPr>
          <w:lang w:val="es-ES_tradnl"/>
        </w:rPr>
      </w:pPr>
    </w:p>
    <w:p w:rsidR="006F3C04" w:rsidRDefault="00FB7F99" w:rsidP="006F3C04">
      <w:pPr>
        <w:jc w:val="both"/>
        <w:rPr>
          <w:lang w:val="es-ES_tradnl"/>
        </w:rPr>
      </w:pPr>
      <w:r>
        <w:rPr>
          <w:lang w:val="es-ES_tradnl"/>
        </w:rPr>
        <w:t>En ese sentido, u</w:t>
      </w:r>
      <w:r w:rsidR="006F3C04" w:rsidRPr="006F3C04">
        <w:rPr>
          <w:lang w:val="es-ES_tradnl"/>
        </w:rPr>
        <w:t>no de los instrumentos para contrarrestar la desaceleración de la economía es</w:t>
      </w:r>
      <w:r>
        <w:rPr>
          <w:lang w:val="es-ES_tradnl"/>
        </w:rPr>
        <w:t xml:space="preserve"> el manejo prudente de</w:t>
      </w:r>
      <w:r w:rsidR="006F3C04" w:rsidRPr="006F3C04">
        <w:rPr>
          <w:lang w:val="es-ES_tradnl"/>
        </w:rPr>
        <w:t xml:space="preserve"> la política fiscal</w:t>
      </w:r>
      <w:r>
        <w:rPr>
          <w:lang w:val="es-ES_tradnl"/>
        </w:rPr>
        <w:t>;</w:t>
      </w:r>
      <w:r w:rsidR="006F3C04" w:rsidRPr="006F3C04">
        <w:rPr>
          <w:lang w:val="es-ES_tradnl"/>
        </w:rPr>
        <w:t xml:space="preserve"> por lo que</w:t>
      </w:r>
      <w:r>
        <w:rPr>
          <w:lang w:val="es-ES_tradnl"/>
        </w:rPr>
        <w:t>,</w:t>
      </w:r>
      <w:r w:rsidR="006F3C04" w:rsidRPr="006F3C04">
        <w:rPr>
          <w:lang w:val="es-ES_tradnl"/>
        </w:rPr>
        <w:t xml:space="preserve"> a través del gasto del sector público puede reconducir</w:t>
      </w:r>
      <w:r>
        <w:rPr>
          <w:lang w:val="es-ES_tradnl"/>
        </w:rPr>
        <w:t>se</w:t>
      </w:r>
      <w:r w:rsidR="006F3C04" w:rsidRPr="006F3C04">
        <w:rPr>
          <w:lang w:val="es-ES_tradnl"/>
        </w:rPr>
        <w:t xml:space="preserve"> la demanda agregada hasta </w:t>
      </w:r>
      <w:r>
        <w:rPr>
          <w:lang w:val="es-ES_tradnl"/>
        </w:rPr>
        <w:t>un</w:t>
      </w:r>
      <w:r w:rsidR="006F3C04" w:rsidRPr="006F3C04">
        <w:rPr>
          <w:lang w:val="es-ES_tradnl"/>
        </w:rPr>
        <w:t xml:space="preserve"> nivel que permita una producción sostenida de pleno empleo, cuando se está en una situación de contracción en el desarrollo de las actividades económicas.</w:t>
      </w:r>
      <w:r>
        <w:rPr>
          <w:lang w:val="es-ES_tradnl"/>
        </w:rPr>
        <w:t xml:space="preserve"> </w:t>
      </w:r>
      <w:r w:rsidR="006F3C04" w:rsidRPr="006F3C04">
        <w:rPr>
          <w:lang w:val="es-ES_tradnl"/>
        </w:rPr>
        <w:t>En función de lo anterior, para lograr la recuperación y reactivación de la economía, el Estado de Guatemala ha adoptado un papel activo para incentivar y dinamizar el desarrollo de la actividad económica, a través de una política fiscal expansiva por medio del presupuesto público. Es por ello que, con el objetivo de contrarrestar los efectos adversos del C</w:t>
      </w:r>
      <w:r w:rsidR="00F32220">
        <w:rPr>
          <w:lang w:val="es-ES_tradnl"/>
        </w:rPr>
        <w:t>OVID</w:t>
      </w:r>
      <w:r w:rsidR="006F3C04" w:rsidRPr="006F3C04">
        <w:rPr>
          <w:lang w:val="es-ES_tradnl"/>
        </w:rPr>
        <w:t xml:space="preserve">-19, en el </w:t>
      </w:r>
      <w:r>
        <w:rPr>
          <w:lang w:val="es-ES_tradnl"/>
        </w:rPr>
        <w:t xml:space="preserve">año </w:t>
      </w:r>
      <w:r w:rsidR="006F3C04" w:rsidRPr="006F3C04">
        <w:rPr>
          <w:lang w:val="es-ES_tradnl"/>
        </w:rPr>
        <w:t>2020 se aprob</w:t>
      </w:r>
      <w:r>
        <w:rPr>
          <w:lang w:val="es-ES_tradnl"/>
        </w:rPr>
        <w:t>ó</w:t>
      </w:r>
      <w:r w:rsidR="006F3C04" w:rsidRPr="006F3C04">
        <w:rPr>
          <w:lang w:val="es-ES_tradnl"/>
        </w:rPr>
        <w:t xml:space="preserve"> una serie de programas enfocados </w:t>
      </w:r>
      <w:r>
        <w:rPr>
          <w:lang w:val="es-ES_tradnl"/>
        </w:rPr>
        <w:t>a</w:t>
      </w:r>
      <w:r w:rsidR="006F3C04" w:rsidRPr="006F3C04">
        <w:rPr>
          <w:lang w:val="es-ES_tradnl"/>
        </w:rPr>
        <w:t xml:space="preserve"> generar un estímulo fiscal para mitigar el impacto en la economía; tales como</w:t>
      </w:r>
      <w:r w:rsidR="00AF010C">
        <w:rPr>
          <w:lang w:val="es-ES_tradnl"/>
        </w:rPr>
        <w:t>:</w:t>
      </w:r>
      <w:r w:rsidR="006F3C04" w:rsidRPr="006F3C04">
        <w:rPr>
          <w:lang w:val="es-ES_tradnl"/>
        </w:rPr>
        <w:t xml:space="preserve"> dotar de alimentos y recursos </w:t>
      </w:r>
      <w:r>
        <w:rPr>
          <w:lang w:val="es-ES_tradnl"/>
        </w:rPr>
        <w:lastRenderedPageBreak/>
        <w:t>económicos</w:t>
      </w:r>
      <w:r w:rsidR="006F3C04" w:rsidRPr="006F3C04">
        <w:rPr>
          <w:lang w:val="es-ES_tradnl"/>
        </w:rPr>
        <w:t xml:space="preserve"> a las familias, principalmente aquellas en situación vulnerable, para satisfacer sus necesidades básicas</w:t>
      </w:r>
      <w:r>
        <w:rPr>
          <w:lang w:val="es-ES_tradnl"/>
        </w:rPr>
        <w:t>;</w:t>
      </w:r>
      <w:r w:rsidR="006F3C04" w:rsidRPr="006F3C04">
        <w:rPr>
          <w:lang w:val="es-ES_tradnl"/>
        </w:rPr>
        <w:t xml:space="preserve"> asimismo se facilitó el acceso a financiamiento en condiciones blandas a las micro, pequeñas y medianas empresas, permitiéndoles continuar con el desarrollo de sus actividades, contribuyendo así a </w:t>
      </w:r>
      <w:r>
        <w:rPr>
          <w:lang w:val="es-ES_tradnl"/>
        </w:rPr>
        <w:t>la conservación de</w:t>
      </w:r>
      <w:r w:rsidR="00AF010C">
        <w:rPr>
          <w:lang w:val="es-ES_tradnl"/>
        </w:rPr>
        <w:t>l</w:t>
      </w:r>
      <w:r>
        <w:rPr>
          <w:lang w:val="es-ES_tradnl"/>
        </w:rPr>
        <w:t xml:space="preserve"> empleo.</w:t>
      </w:r>
    </w:p>
    <w:p w:rsidR="00FB7F99" w:rsidRPr="006F3C04" w:rsidRDefault="00FB7F99" w:rsidP="006F3C04">
      <w:pPr>
        <w:jc w:val="both"/>
        <w:rPr>
          <w:lang w:val="es-ES_tradnl"/>
        </w:rPr>
      </w:pPr>
    </w:p>
    <w:p w:rsidR="00D23DA9" w:rsidRDefault="00FB7F99" w:rsidP="006F3C04">
      <w:pPr>
        <w:jc w:val="both"/>
        <w:rPr>
          <w:lang w:val="es-ES_tradnl"/>
        </w:rPr>
      </w:pPr>
      <w:r>
        <w:rPr>
          <w:lang w:val="es-ES_tradnl"/>
        </w:rPr>
        <w:t>Las</w:t>
      </w:r>
      <w:r w:rsidR="006F3C04" w:rsidRPr="006F3C04">
        <w:rPr>
          <w:lang w:val="es-ES_tradnl"/>
        </w:rPr>
        <w:t xml:space="preserve"> medidas de apoyo fueron aprobadas </w:t>
      </w:r>
      <w:r>
        <w:rPr>
          <w:lang w:val="es-ES_tradnl"/>
        </w:rPr>
        <w:t xml:space="preserve">por el Congreso de la República de Guatemala </w:t>
      </w:r>
      <w:r w:rsidR="008A0ECE">
        <w:rPr>
          <w:lang w:val="es-ES_tradnl"/>
        </w:rPr>
        <w:t>mediante la emisión</w:t>
      </w:r>
      <w:r w:rsidR="006F3C04" w:rsidRPr="006F3C04">
        <w:rPr>
          <w:lang w:val="es-ES_tradnl"/>
        </w:rPr>
        <w:t xml:space="preserve"> de</w:t>
      </w:r>
      <w:r>
        <w:rPr>
          <w:lang w:val="es-ES_tradnl"/>
        </w:rPr>
        <w:t>l</w:t>
      </w:r>
      <w:r w:rsidR="006F3C04" w:rsidRPr="006F3C04">
        <w:rPr>
          <w:lang w:val="es-ES_tradnl"/>
        </w:rPr>
        <w:t xml:space="preserve"> Decreto</w:t>
      </w:r>
      <w:r>
        <w:rPr>
          <w:lang w:val="es-ES_tradnl"/>
        </w:rPr>
        <w:t xml:space="preserve"> No. </w:t>
      </w:r>
      <w:r w:rsidR="006F3C04" w:rsidRPr="006F3C04">
        <w:rPr>
          <w:lang w:val="es-ES_tradnl"/>
        </w:rPr>
        <w:t xml:space="preserve">12-2020, Ley de Emergencia para Proteger a los Guatemaltecos de los efectos causados por la Pandemia </w:t>
      </w:r>
      <w:r>
        <w:rPr>
          <w:lang w:val="es-ES_tradnl"/>
        </w:rPr>
        <w:t>del</w:t>
      </w:r>
      <w:r w:rsidR="006F3C04" w:rsidRPr="006F3C04">
        <w:rPr>
          <w:lang w:val="es-ES_tradnl"/>
        </w:rPr>
        <w:t xml:space="preserve"> C</w:t>
      </w:r>
      <w:r w:rsidR="00F32220">
        <w:rPr>
          <w:lang w:val="es-ES_tradnl"/>
        </w:rPr>
        <w:t>OVID</w:t>
      </w:r>
      <w:r w:rsidR="006F3C04" w:rsidRPr="006F3C04">
        <w:rPr>
          <w:lang w:val="es-ES_tradnl"/>
        </w:rPr>
        <w:t xml:space="preserve">-19; </w:t>
      </w:r>
      <w:r>
        <w:rPr>
          <w:lang w:val="es-ES_tradnl"/>
        </w:rPr>
        <w:t xml:space="preserve">Decreto No. </w:t>
      </w:r>
      <w:r w:rsidR="006F3C04" w:rsidRPr="006F3C04">
        <w:rPr>
          <w:lang w:val="es-ES_tradnl"/>
        </w:rPr>
        <w:t xml:space="preserve">13-2020, Ley de Rescate Económico a las Familias por los efectos causados por el Covid-19; y, </w:t>
      </w:r>
      <w:r>
        <w:rPr>
          <w:lang w:val="es-ES_tradnl"/>
        </w:rPr>
        <w:t xml:space="preserve">Decreto No. </w:t>
      </w:r>
      <w:r w:rsidR="006F3C04" w:rsidRPr="006F3C04">
        <w:rPr>
          <w:lang w:val="es-ES_tradnl"/>
        </w:rPr>
        <w:t>20-2020, Ampliación al Presupuesto General de Ingresos y Egresos del Estado para el Ejercicio Fiscal</w:t>
      </w:r>
      <w:r>
        <w:rPr>
          <w:lang w:val="es-ES_tradnl"/>
        </w:rPr>
        <w:t xml:space="preserve"> 2020, que contienen programas económicos y sociales, tales</w:t>
      </w:r>
      <w:r w:rsidR="00D23DA9">
        <w:rPr>
          <w:lang w:val="es-ES_tradnl"/>
        </w:rPr>
        <w:t xml:space="preserve"> como: Bono Familia; Crédito para Capital de Trabajo; Fondo para la Protección del Empleo; Infraestructura y Equipamiento de Hospitales; Programa de Apoyo Alimentario; Fondo para las Mipymes; Subsidio a la Tarifa Social de </w:t>
      </w:r>
      <w:r w:rsidR="00AE5638">
        <w:rPr>
          <w:lang w:val="es-ES_tradnl"/>
        </w:rPr>
        <w:t>E</w:t>
      </w:r>
      <w:r w:rsidR="00D23DA9">
        <w:rPr>
          <w:lang w:val="es-ES_tradnl"/>
        </w:rPr>
        <w:t xml:space="preserve">nergía </w:t>
      </w:r>
      <w:r w:rsidR="00AE5638">
        <w:rPr>
          <w:lang w:val="es-ES_tradnl"/>
        </w:rPr>
        <w:t>E</w:t>
      </w:r>
      <w:r w:rsidR="00D23DA9">
        <w:rPr>
          <w:lang w:val="es-ES_tradnl"/>
        </w:rPr>
        <w:t>léctrica; Fondo de Protección de Capitales; Programa de Aporte al Adulto Mayor; Programa de Agricultura Campesina; y Programa de Apoyo al Comercio Popular.</w:t>
      </w:r>
    </w:p>
    <w:p w:rsidR="00D23DA9" w:rsidRDefault="00D23DA9" w:rsidP="006F3C04">
      <w:pPr>
        <w:jc w:val="both"/>
        <w:rPr>
          <w:lang w:val="es-ES_tradnl"/>
        </w:rPr>
      </w:pPr>
    </w:p>
    <w:p w:rsidR="006F3C04" w:rsidRDefault="006F3C04" w:rsidP="006F3C04">
      <w:pPr>
        <w:jc w:val="both"/>
        <w:rPr>
          <w:lang w:val="es-ES_tradnl"/>
        </w:rPr>
      </w:pPr>
      <w:r w:rsidRPr="006F3C04">
        <w:rPr>
          <w:lang w:val="es-ES_tradnl"/>
        </w:rPr>
        <w:t xml:space="preserve">De esta cuenta, tras la implementación de políticas públicas que han permitido mitigar las consecuencias de la </w:t>
      </w:r>
      <w:r w:rsidR="008A0ECE">
        <w:rPr>
          <w:lang w:val="es-ES_tradnl"/>
        </w:rPr>
        <w:t>suscitada emergencia,</w:t>
      </w:r>
      <w:r w:rsidRPr="006F3C04">
        <w:rPr>
          <w:lang w:val="es-ES_tradnl"/>
        </w:rPr>
        <w:t xml:space="preserve"> es necesario reafirmar el proceso de recuperación y reactivación de la economía</w:t>
      </w:r>
      <w:r w:rsidR="008A0ECE">
        <w:rPr>
          <w:lang w:val="es-ES_tradnl"/>
        </w:rPr>
        <w:t>;</w:t>
      </w:r>
      <w:r w:rsidRPr="006F3C04">
        <w:rPr>
          <w:lang w:val="es-ES_tradnl"/>
        </w:rPr>
        <w:t xml:space="preserve"> por lo que, dentro del Proyecto de Presupuesto General de Ingresos y Egresos del Estado para el Ejercicio Fiscal 202</w:t>
      </w:r>
      <w:r w:rsidR="00F32220">
        <w:rPr>
          <w:lang w:val="es-ES_tradnl"/>
        </w:rPr>
        <w:t>2</w:t>
      </w:r>
      <w:r w:rsidRPr="006F3C04">
        <w:rPr>
          <w:lang w:val="es-ES_tradnl"/>
        </w:rPr>
        <w:t xml:space="preserve"> y Multianual 202</w:t>
      </w:r>
      <w:r w:rsidR="00F32220">
        <w:rPr>
          <w:lang w:val="es-ES_tradnl"/>
        </w:rPr>
        <w:t>2</w:t>
      </w:r>
      <w:r w:rsidRPr="006F3C04">
        <w:rPr>
          <w:lang w:val="es-ES_tradnl"/>
        </w:rPr>
        <w:t>-202</w:t>
      </w:r>
      <w:r w:rsidR="00F32220">
        <w:rPr>
          <w:lang w:val="es-ES_tradnl"/>
        </w:rPr>
        <w:t>6</w:t>
      </w:r>
      <w:r w:rsidRPr="006F3C04">
        <w:rPr>
          <w:lang w:val="es-ES_tradnl"/>
        </w:rPr>
        <w:t xml:space="preserve">, se contempla </w:t>
      </w:r>
      <w:r w:rsidR="00F32220">
        <w:rPr>
          <w:lang w:val="es-ES_tradnl"/>
        </w:rPr>
        <w:t xml:space="preserve">la continuidad de </w:t>
      </w:r>
      <w:r w:rsidR="00261A60">
        <w:rPr>
          <w:lang w:val="es-ES_tradnl"/>
        </w:rPr>
        <w:t>los</w:t>
      </w:r>
      <w:r w:rsidRPr="006F3C04">
        <w:rPr>
          <w:lang w:val="es-ES_tradnl"/>
        </w:rPr>
        <w:t xml:space="preserve"> proyectos que</w:t>
      </w:r>
      <w:r w:rsidR="00261A60">
        <w:rPr>
          <w:lang w:val="es-ES_tradnl"/>
        </w:rPr>
        <w:t xml:space="preserve"> corresponda y que</w:t>
      </w:r>
      <w:r w:rsidRPr="006F3C04">
        <w:rPr>
          <w:lang w:val="es-ES_tradnl"/>
        </w:rPr>
        <w:t xml:space="preserve"> contribuirán a dar el impulso que se requiere para retomar la senda de</w:t>
      </w:r>
      <w:r w:rsidR="008A0ECE">
        <w:rPr>
          <w:lang w:val="es-ES_tradnl"/>
        </w:rPr>
        <w:t>l</w:t>
      </w:r>
      <w:r w:rsidRPr="006F3C04">
        <w:rPr>
          <w:lang w:val="es-ES_tradnl"/>
        </w:rPr>
        <w:t xml:space="preserve"> crecimiento económico y social del país</w:t>
      </w:r>
      <w:r>
        <w:rPr>
          <w:lang w:val="es-ES_tradnl"/>
        </w:rPr>
        <w:t xml:space="preserve">. </w:t>
      </w:r>
      <w:r w:rsidRPr="006F3C04">
        <w:rPr>
          <w:lang w:val="es-ES_tradnl"/>
        </w:rPr>
        <w:t>En este sentido, es necesario reconocer que la pandemia confirmó el estancamiento que el país ha tenido en el desarrollo de infraestructura</w:t>
      </w:r>
      <w:r w:rsidR="008A0ECE">
        <w:rPr>
          <w:lang w:val="es-ES_tradnl"/>
        </w:rPr>
        <w:t>, principalmente hospitalaria</w:t>
      </w:r>
      <w:r w:rsidRPr="006F3C04">
        <w:rPr>
          <w:lang w:val="es-ES_tradnl"/>
        </w:rPr>
        <w:t xml:space="preserve">. Bajo este contexto, a partir del </w:t>
      </w:r>
      <w:r w:rsidR="008A0ECE">
        <w:rPr>
          <w:lang w:val="es-ES_tradnl"/>
        </w:rPr>
        <w:t>próximo e</w:t>
      </w:r>
      <w:r w:rsidRPr="006F3C04">
        <w:rPr>
          <w:lang w:val="es-ES_tradnl"/>
        </w:rPr>
        <w:t xml:space="preserve">jercicio </w:t>
      </w:r>
      <w:r w:rsidR="008A0ECE">
        <w:rPr>
          <w:lang w:val="es-ES_tradnl"/>
        </w:rPr>
        <w:t>f</w:t>
      </w:r>
      <w:r w:rsidRPr="006F3C04">
        <w:rPr>
          <w:lang w:val="es-ES_tradnl"/>
        </w:rPr>
        <w:t>iscal se plantea una serie de proyectos de inversión física y social, los cuales contribuirán a generar el impulso que requiere la economía nacional para recobrar el dinamismo y al mismo tiempo contribuir directamente a mejorar las condi</w:t>
      </w:r>
      <w:r w:rsidR="008A635D">
        <w:rPr>
          <w:lang w:val="es-ES_tradnl"/>
        </w:rPr>
        <w:t>ciones de vida de la población guatemalteca.</w:t>
      </w:r>
    </w:p>
    <w:p w:rsidR="006F3C04" w:rsidRDefault="006F3C04" w:rsidP="006F3C04">
      <w:pPr>
        <w:jc w:val="both"/>
        <w:rPr>
          <w:lang w:val="es-ES_tradnl"/>
        </w:rPr>
      </w:pPr>
    </w:p>
    <w:p w:rsidR="006F3C04" w:rsidRDefault="006F3C04" w:rsidP="006F3C04">
      <w:pPr>
        <w:jc w:val="both"/>
        <w:rPr>
          <w:lang w:val="es-ES_tradnl"/>
        </w:rPr>
      </w:pPr>
      <w:r w:rsidRPr="006F3C04">
        <w:rPr>
          <w:lang w:val="es-ES_tradnl"/>
        </w:rPr>
        <w:t>Finalmente, es importante indicar que para alcanzar de forma exitosa el proceso de recuperación y reactivación económica, es necesari</w:t>
      </w:r>
      <w:r w:rsidR="00B54881">
        <w:rPr>
          <w:lang w:val="es-ES_tradnl"/>
        </w:rPr>
        <w:t>o realizar</w:t>
      </w:r>
      <w:r w:rsidRPr="006F3C04">
        <w:rPr>
          <w:lang w:val="es-ES_tradnl"/>
        </w:rPr>
        <w:t xml:space="preserve"> </w:t>
      </w:r>
      <w:r w:rsidR="00B54881">
        <w:rPr>
          <w:lang w:val="es-ES_tradnl"/>
        </w:rPr>
        <w:t>una</w:t>
      </w:r>
      <w:r w:rsidRPr="006F3C04">
        <w:rPr>
          <w:lang w:val="es-ES_tradnl"/>
        </w:rPr>
        <w:t xml:space="preserve"> coordinación interinstitucional entre el Organismo Ejecutivo y </w:t>
      </w:r>
      <w:r w:rsidR="00B54881">
        <w:rPr>
          <w:lang w:val="es-ES_tradnl"/>
        </w:rPr>
        <w:t>el Congreso de la República de Guatemala</w:t>
      </w:r>
      <w:r w:rsidRPr="006F3C04">
        <w:rPr>
          <w:lang w:val="es-ES_tradnl"/>
        </w:rPr>
        <w:t xml:space="preserve">, así como </w:t>
      </w:r>
      <w:r w:rsidR="00B54881">
        <w:rPr>
          <w:lang w:val="es-ES_tradnl"/>
        </w:rPr>
        <w:t>con los gobiernos locales</w:t>
      </w:r>
      <w:r w:rsidRPr="006F3C04">
        <w:rPr>
          <w:lang w:val="es-ES_tradnl"/>
        </w:rPr>
        <w:t>, representado</w:t>
      </w:r>
      <w:r w:rsidR="008A635D">
        <w:rPr>
          <w:lang w:val="es-ES_tradnl"/>
        </w:rPr>
        <w:t>s</w:t>
      </w:r>
      <w:r w:rsidRPr="006F3C04">
        <w:rPr>
          <w:lang w:val="es-ES_tradnl"/>
        </w:rPr>
        <w:t xml:space="preserve"> </w:t>
      </w:r>
      <w:r w:rsidR="008A635D">
        <w:rPr>
          <w:lang w:val="es-ES_tradnl"/>
        </w:rPr>
        <w:t>por medio de</w:t>
      </w:r>
      <w:r w:rsidRPr="006F3C04">
        <w:rPr>
          <w:lang w:val="es-ES_tradnl"/>
        </w:rPr>
        <w:t xml:space="preserve"> las Municipalidades</w:t>
      </w:r>
      <w:r w:rsidR="00B54881">
        <w:rPr>
          <w:lang w:val="es-ES_tradnl"/>
        </w:rPr>
        <w:t>, mancomunidades y empresas públicas municipales</w:t>
      </w:r>
      <w:r w:rsidRPr="006F3C04">
        <w:rPr>
          <w:lang w:val="es-ES_tradnl"/>
        </w:rPr>
        <w:t>, sin olvidar la participación del sector privado</w:t>
      </w:r>
      <w:r w:rsidR="008A635D">
        <w:rPr>
          <w:lang w:val="es-ES_tradnl"/>
        </w:rPr>
        <w:t>,</w:t>
      </w:r>
      <w:r w:rsidR="00B54881">
        <w:rPr>
          <w:lang w:val="es-ES_tradnl"/>
        </w:rPr>
        <w:t xml:space="preserve"> organizaciones de sociedad civil</w:t>
      </w:r>
      <w:r w:rsidR="008A635D">
        <w:rPr>
          <w:lang w:val="es-ES_tradnl"/>
        </w:rPr>
        <w:t>, tanques de pensamiento, centros de investigación, sector académico, periodistas y ciudadanos en general, situación que contribuirá a la puesta en práctica de los principios de transparencia, participación ciudadana y colaboración</w:t>
      </w:r>
      <w:r w:rsidR="00833934">
        <w:rPr>
          <w:lang w:val="es-ES_tradnl"/>
        </w:rPr>
        <w:t>,</w:t>
      </w:r>
      <w:r w:rsidR="008A635D">
        <w:rPr>
          <w:lang w:val="es-ES_tradnl"/>
        </w:rPr>
        <w:t xml:space="preserve"> bajo los que se sustenta la Iniciativa de Gobierno Abierto, de la cual el Estado de Guatemala forma parte proactivamente y de manera muy exitosa.</w:t>
      </w:r>
    </w:p>
    <w:p w:rsidR="006F3C04" w:rsidRDefault="006F3C04" w:rsidP="006F3C04">
      <w:pPr>
        <w:jc w:val="both"/>
        <w:rPr>
          <w:lang w:val="es-ES_tradnl"/>
        </w:rPr>
      </w:pPr>
    </w:p>
    <w:p w:rsidR="00164BE7" w:rsidRDefault="00164BE7">
      <w:pPr>
        <w:rPr>
          <w:lang w:val="es-ES_tradnl"/>
        </w:rPr>
      </w:pPr>
      <w:r>
        <w:rPr>
          <w:lang w:val="es-ES_tradnl"/>
        </w:rPr>
        <w:br w:type="page"/>
      </w:r>
    </w:p>
    <w:p w:rsidR="00B2076C" w:rsidRDefault="00B2076C"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094BD4" w:rsidRDefault="00094BD4"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69616A" w:rsidRDefault="0069616A" w:rsidP="0069616A">
      <w:pPr>
        <w:autoSpaceDE w:val="0"/>
        <w:autoSpaceDN w:val="0"/>
        <w:adjustRightInd w:val="0"/>
        <w:jc w:val="both"/>
        <w:rPr>
          <w:sz w:val="16"/>
        </w:rPr>
      </w:pPr>
    </w:p>
    <w:p w:rsidR="0069616A" w:rsidRDefault="0069616A" w:rsidP="0069616A">
      <w:pPr>
        <w:autoSpaceDE w:val="0"/>
        <w:autoSpaceDN w:val="0"/>
        <w:adjustRightInd w:val="0"/>
        <w:jc w:val="both"/>
        <w:rPr>
          <w:sz w:val="16"/>
        </w:rPr>
      </w:pPr>
    </w:p>
    <w:p w:rsidR="0069616A" w:rsidRPr="00C5226D" w:rsidRDefault="0069616A" w:rsidP="009114FA">
      <w:pPr>
        <w:pStyle w:val="Prrafodelista"/>
        <w:numPr>
          <w:ilvl w:val="0"/>
          <w:numId w:val="2"/>
        </w:numPr>
        <w:autoSpaceDE w:val="0"/>
        <w:autoSpaceDN w:val="0"/>
        <w:adjustRightInd w:val="0"/>
        <w:jc w:val="center"/>
        <w:rPr>
          <w:b/>
          <w:sz w:val="36"/>
        </w:rPr>
      </w:pPr>
      <w:r w:rsidRPr="00C5226D">
        <w:rPr>
          <w:b/>
          <w:sz w:val="36"/>
        </w:rPr>
        <w:t>Anexos</w:t>
      </w: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7623AE" w:rsidRDefault="007623AE"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C6012B" w:rsidRPr="00CF0C9B" w:rsidRDefault="00C6012B" w:rsidP="00C6012B">
      <w:pPr>
        <w:jc w:val="center"/>
        <w:rPr>
          <w:b/>
          <w:lang w:val="es-MX"/>
        </w:rPr>
      </w:pPr>
      <w:r w:rsidRPr="00CF0C9B">
        <w:rPr>
          <w:b/>
          <w:lang w:val="es-MX"/>
        </w:rPr>
        <w:lastRenderedPageBreak/>
        <w:t>Cuadro 2</w:t>
      </w:r>
      <w:r w:rsidR="00E47124">
        <w:rPr>
          <w:b/>
          <w:lang w:val="es-MX"/>
        </w:rPr>
        <w:t>6</w:t>
      </w:r>
      <w:r w:rsidR="00C120D1">
        <w:rPr>
          <w:b/>
          <w:lang w:val="es-MX"/>
        </w:rPr>
        <w:t xml:space="preserve"> (1/4)</w:t>
      </w:r>
    </w:p>
    <w:p w:rsidR="00C6012B" w:rsidRPr="00CF0C9B" w:rsidRDefault="00C6012B" w:rsidP="00C6012B">
      <w:pPr>
        <w:jc w:val="center"/>
        <w:rPr>
          <w:b/>
          <w:lang w:val="es-MX"/>
        </w:rPr>
      </w:pPr>
      <w:r w:rsidRPr="00CF0C9B">
        <w:rPr>
          <w:b/>
          <w:lang w:val="es-MX"/>
        </w:rPr>
        <w:t>Ejecución Presupuestaria por Entidad y Programas Institucionales</w:t>
      </w:r>
    </w:p>
    <w:p w:rsidR="00C6012B" w:rsidRPr="00CF0C9B" w:rsidRDefault="00C6012B" w:rsidP="00C6012B">
      <w:pPr>
        <w:jc w:val="center"/>
        <w:rPr>
          <w:b/>
          <w:lang w:val="es-MX"/>
        </w:rPr>
      </w:pPr>
      <w:r w:rsidRPr="00CF0C9B">
        <w:rPr>
          <w:b/>
          <w:lang w:val="es-MX"/>
        </w:rPr>
        <w:t>Estimación de Cierre 202</w:t>
      </w:r>
      <w:r w:rsidR="00214988">
        <w:rPr>
          <w:b/>
          <w:lang w:val="es-MX"/>
        </w:rPr>
        <w:t>1</w:t>
      </w:r>
    </w:p>
    <w:p w:rsidR="00C6012B" w:rsidRDefault="00400A48" w:rsidP="00C6012B">
      <w:pPr>
        <w:pStyle w:val="Prrafodelista"/>
        <w:ind w:left="0"/>
        <w:jc w:val="center"/>
        <w:rPr>
          <w:b/>
          <w:lang w:val="es-MX"/>
        </w:rPr>
      </w:pPr>
      <w:r w:rsidRPr="003C694D">
        <w:rPr>
          <w:noProof/>
          <w:lang w:val="es-GT" w:eastAsia="es-GT"/>
        </w:rPr>
        <w:drawing>
          <wp:anchor distT="0" distB="0" distL="114300" distR="114300" simplePos="0" relativeHeight="251679744" behindDoc="0" locked="0" layoutInCell="1" allowOverlap="1" wp14:anchorId="74F59ED9" wp14:editId="0DDBE0C6">
            <wp:simplePos x="0" y="0"/>
            <wp:positionH relativeFrom="column">
              <wp:posOffset>-337185</wp:posOffset>
            </wp:positionH>
            <wp:positionV relativeFrom="paragraph">
              <wp:posOffset>241300</wp:posOffset>
            </wp:positionV>
            <wp:extent cx="6534150" cy="5695950"/>
            <wp:effectExtent l="0" t="0" r="0" b="0"/>
            <wp:wrapSquare wrapText="bothSides"/>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t="8746"/>
                    <a:stretch/>
                  </pic:blipFill>
                  <pic:spPr bwMode="auto">
                    <a:xfrm>
                      <a:off x="0" y="0"/>
                      <a:ext cx="6534150" cy="569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012B" w:rsidRPr="00CF0C9B">
        <w:rPr>
          <w:b/>
          <w:lang w:val="es-MX"/>
        </w:rPr>
        <w:t>(Cifras en Millones de Quetzales)</w:t>
      </w: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214988" w:rsidRDefault="00214988" w:rsidP="00C6012B">
      <w:pPr>
        <w:pStyle w:val="Prrafodelista"/>
        <w:ind w:left="0"/>
        <w:jc w:val="center"/>
        <w:rPr>
          <w:sz w:val="16"/>
        </w:rPr>
      </w:pPr>
    </w:p>
    <w:p w:rsidR="00C6012B" w:rsidRDefault="00C6012B" w:rsidP="00400A48">
      <w:pPr>
        <w:pStyle w:val="Prrafodelista"/>
        <w:ind w:left="0"/>
        <w:rPr>
          <w:sz w:val="16"/>
        </w:rPr>
      </w:pPr>
    </w:p>
    <w:p w:rsidR="00C6012B" w:rsidRPr="00CF0C9B" w:rsidRDefault="00C6012B" w:rsidP="00C6012B">
      <w:pPr>
        <w:jc w:val="center"/>
        <w:rPr>
          <w:b/>
          <w:lang w:val="es-MX"/>
        </w:rPr>
      </w:pPr>
      <w:r w:rsidRPr="00CF0C9B">
        <w:rPr>
          <w:b/>
          <w:lang w:val="es-MX"/>
        </w:rPr>
        <w:t>Cuadro 2</w:t>
      </w:r>
      <w:r w:rsidR="00E47124">
        <w:rPr>
          <w:b/>
          <w:lang w:val="es-MX"/>
        </w:rPr>
        <w:t>6</w:t>
      </w:r>
      <w:r w:rsidRPr="00CF0C9B">
        <w:rPr>
          <w:b/>
          <w:lang w:val="es-MX"/>
        </w:rPr>
        <w:t xml:space="preserve"> (</w:t>
      </w:r>
      <w:r w:rsidR="00C120D1">
        <w:rPr>
          <w:b/>
          <w:lang w:val="es-MX"/>
        </w:rPr>
        <w:t>2/4</w:t>
      </w:r>
      <w:r w:rsidRPr="00CF0C9B">
        <w:rPr>
          <w:b/>
          <w:lang w:val="es-MX"/>
        </w:rPr>
        <w:t>)</w:t>
      </w:r>
    </w:p>
    <w:p w:rsidR="00C6012B" w:rsidRPr="00CF0C9B" w:rsidRDefault="00C6012B" w:rsidP="00C6012B">
      <w:pPr>
        <w:jc w:val="center"/>
        <w:rPr>
          <w:b/>
          <w:lang w:val="es-MX"/>
        </w:rPr>
      </w:pPr>
      <w:r w:rsidRPr="00CF0C9B">
        <w:rPr>
          <w:b/>
          <w:lang w:val="es-MX"/>
        </w:rPr>
        <w:t>Ejecución Presupuestaria por Entidad y Programas Institucionales</w:t>
      </w:r>
    </w:p>
    <w:p w:rsidR="00C6012B" w:rsidRPr="00CF0C9B" w:rsidRDefault="00C6012B" w:rsidP="00C6012B">
      <w:pPr>
        <w:jc w:val="center"/>
        <w:rPr>
          <w:b/>
          <w:lang w:val="es-MX"/>
        </w:rPr>
      </w:pPr>
      <w:r w:rsidRPr="00CF0C9B">
        <w:rPr>
          <w:b/>
          <w:lang w:val="es-MX"/>
        </w:rPr>
        <w:t>Estimación de Cierre 202</w:t>
      </w:r>
      <w:r w:rsidR="00400A48">
        <w:rPr>
          <w:b/>
          <w:lang w:val="es-MX"/>
        </w:rPr>
        <w:t>1</w:t>
      </w:r>
    </w:p>
    <w:p w:rsidR="00C6012B" w:rsidRDefault="00400A48" w:rsidP="00214988">
      <w:pPr>
        <w:pStyle w:val="Prrafodelista"/>
        <w:tabs>
          <w:tab w:val="center" w:pos="4536"/>
          <w:tab w:val="left" w:pos="6649"/>
        </w:tabs>
        <w:ind w:left="0"/>
        <w:rPr>
          <w:b/>
          <w:lang w:val="es-MX"/>
        </w:rPr>
      </w:pPr>
      <w:r w:rsidRPr="00ED44A8">
        <w:rPr>
          <w:noProof/>
          <w:lang w:val="es-GT" w:eastAsia="es-GT"/>
        </w:rPr>
        <w:drawing>
          <wp:anchor distT="0" distB="0" distL="114300" distR="114300" simplePos="0" relativeHeight="251681792" behindDoc="0" locked="0" layoutInCell="1" allowOverlap="1" wp14:anchorId="412AF934" wp14:editId="28A72499">
            <wp:simplePos x="0" y="0"/>
            <wp:positionH relativeFrom="column">
              <wp:posOffset>-346710</wp:posOffset>
            </wp:positionH>
            <wp:positionV relativeFrom="paragraph">
              <wp:posOffset>276860</wp:posOffset>
            </wp:positionV>
            <wp:extent cx="6610350" cy="6276975"/>
            <wp:effectExtent l="0" t="0" r="0" b="9525"/>
            <wp:wrapSquare wrapText="bothSides"/>
            <wp:docPr id="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t="6250"/>
                    <a:stretch/>
                  </pic:blipFill>
                  <pic:spPr bwMode="auto">
                    <a:xfrm>
                      <a:off x="0" y="0"/>
                      <a:ext cx="6610350" cy="627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988">
        <w:rPr>
          <w:b/>
          <w:lang w:val="es-MX"/>
        </w:rPr>
        <w:tab/>
      </w:r>
      <w:r w:rsidR="00C6012B" w:rsidRPr="00CF0C9B">
        <w:rPr>
          <w:b/>
          <w:lang w:val="es-MX"/>
        </w:rPr>
        <w:t>(Cifras en Millones de Quetzales)</w:t>
      </w:r>
      <w:r w:rsidR="00214988">
        <w:rPr>
          <w:b/>
          <w:lang w:val="es-MX"/>
        </w:rPr>
        <w:tab/>
      </w:r>
    </w:p>
    <w:p w:rsidR="00214988" w:rsidRPr="00CF0C9B" w:rsidRDefault="00214988" w:rsidP="00214988">
      <w:pPr>
        <w:pStyle w:val="Prrafodelista"/>
        <w:tabs>
          <w:tab w:val="center" w:pos="4536"/>
          <w:tab w:val="left" w:pos="6649"/>
        </w:tabs>
        <w:ind w:left="0"/>
        <w:rPr>
          <w:b/>
          <w:lang w:val="es-MX"/>
        </w:rPr>
      </w:pPr>
    </w:p>
    <w:p w:rsidR="00C6012B" w:rsidRDefault="00C6012B" w:rsidP="00C6012B">
      <w:pPr>
        <w:pStyle w:val="Prrafodelista"/>
        <w:ind w:left="0"/>
        <w:jc w:val="center"/>
        <w:rPr>
          <w:noProof/>
          <w:lang w:val="es-GT" w:eastAsia="es-GT"/>
        </w:rPr>
      </w:pPr>
    </w:p>
    <w:p w:rsidR="00214988" w:rsidRDefault="00214988" w:rsidP="00C6012B">
      <w:pPr>
        <w:pStyle w:val="Prrafodelista"/>
        <w:ind w:left="0"/>
        <w:jc w:val="center"/>
        <w:rPr>
          <w:noProof/>
          <w:lang w:val="es-GT" w:eastAsia="es-GT"/>
        </w:rPr>
      </w:pPr>
    </w:p>
    <w:p w:rsidR="00214988" w:rsidRDefault="00214988" w:rsidP="00C6012B">
      <w:pPr>
        <w:pStyle w:val="Prrafodelista"/>
        <w:ind w:left="0"/>
        <w:jc w:val="center"/>
        <w:rPr>
          <w:noProof/>
          <w:lang w:val="es-GT" w:eastAsia="es-GT"/>
        </w:rPr>
      </w:pPr>
    </w:p>
    <w:p w:rsidR="00214988" w:rsidRDefault="00214988" w:rsidP="00C6012B">
      <w:pPr>
        <w:pStyle w:val="Prrafodelista"/>
        <w:ind w:left="0"/>
        <w:jc w:val="center"/>
        <w:rPr>
          <w:noProof/>
          <w:lang w:val="es-GT" w:eastAsia="es-GT"/>
        </w:rPr>
      </w:pPr>
    </w:p>
    <w:p w:rsidR="00214988" w:rsidRDefault="00214988" w:rsidP="00C6012B">
      <w:pPr>
        <w:pStyle w:val="Prrafodelista"/>
        <w:ind w:left="0"/>
        <w:jc w:val="center"/>
        <w:rPr>
          <w:noProof/>
          <w:lang w:val="es-GT" w:eastAsia="es-GT"/>
        </w:rPr>
      </w:pPr>
    </w:p>
    <w:p w:rsidR="00C6012B" w:rsidRPr="00CF0C9B" w:rsidRDefault="00C6012B" w:rsidP="00C6012B">
      <w:pPr>
        <w:jc w:val="center"/>
        <w:rPr>
          <w:b/>
          <w:lang w:val="es-MX"/>
        </w:rPr>
      </w:pPr>
      <w:r w:rsidRPr="00CF0C9B">
        <w:rPr>
          <w:b/>
          <w:lang w:val="es-MX"/>
        </w:rPr>
        <w:lastRenderedPageBreak/>
        <w:t>Cuadro 2</w:t>
      </w:r>
      <w:r w:rsidR="00E47124">
        <w:rPr>
          <w:b/>
          <w:lang w:val="es-MX"/>
        </w:rPr>
        <w:t>6</w:t>
      </w:r>
      <w:r w:rsidRPr="00CF0C9B">
        <w:rPr>
          <w:b/>
          <w:lang w:val="es-MX"/>
        </w:rPr>
        <w:t xml:space="preserve"> (</w:t>
      </w:r>
      <w:r w:rsidR="00C120D1">
        <w:rPr>
          <w:b/>
          <w:lang w:val="es-MX"/>
        </w:rPr>
        <w:t>3/4</w:t>
      </w:r>
      <w:r w:rsidRPr="00CF0C9B">
        <w:rPr>
          <w:b/>
          <w:lang w:val="es-MX"/>
        </w:rPr>
        <w:t>)</w:t>
      </w:r>
    </w:p>
    <w:p w:rsidR="00C6012B" w:rsidRPr="00CF0C9B" w:rsidRDefault="00C6012B" w:rsidP="00C6012B">
      <w:pPr>
        <w:jc w:val="center"/>
        <w:rPr>
          <w:b/>
          <w:lang w:val="es-MX"/>
        </w:rPr>
      </w:pPr>
      <w:r w:rsidRPr="00CF0C9B">
        <w:rPr>
          <w:b/>
          <w:lang w:val="es-MX"/>
        </w:rPr>
        <w:t>Ejecución Presupuestaria por Entidad y Programas Institucionales</w:t>
      </w:r>
    </w:p>
    <w:p w:rsidR="00C6012B" w:rsidRDefault="00C6012B" w:rsidP="00C6012B">
      <w:pPr>
        <w:jc w:val="center"/>
        <w:rPr>
          <w:b/>
          <w:lang w:val="es-MX"/>
        </w:rPr>
      </w:pPr>
      <w:r w:rsidRPr="00CF0C9B">
        <w:rPr>
          <w:b/>
          <w:lang w:val="es-MX"/>
        </w:rPr>
        <w:t>Estimación de Cierre 202</w:t>
      </w:r>
      <w:r w:rsidR="00917928">
        <w:rPr>
          <w:b/>
          <w:lang w:val="es-MX"/>
        </w:rPr>
        <w:t>1</w:t>
      </w:r>
    </w:p>
    <w:p w:rsidR="00C6012B" w:rsidRDefault="00400A48" w:rsidP="00C6012B">
      <w:pPr>
        <w:pStyle w:val="Prrafodelista"/>
        <w:ind w:left="0"/>
        <w:jc w:val="center"/>
        <w:rPr>
          <w:b/>
          <w:lang w:val="es-MX"/>
        </w:rPr>
      </w:pPr>
      <w:r w:rsidRPr="00ED44A8">
        <w:rPr>
          <w:noProof/>
          <w:lang w:val="es-GT" w:eastAsia="es-GT"/>
        </w:rPr>
        <w:drawing>
          <wp:anchor distT="0" distB="0" distL="114300" distR="114300" simplePos="0" relativeHeight="251683840" behindDoc="0" locked="0" layoutInCell="1" allowOverlap="1" wp14:anchorId="58C68EFF" wp14:editId="5468BC34">
            <wp:simplePos x="0" y="0"/>
            <wp:positionH relativeFrom="column">
              <wp:posOffset>-584835</wp:posOffset>
            </wp:positionH>
            <wp:positionV relativeFrom="paragraph">
              <wp:posOffset>203200</wp:posOffset>
            </wp:positionV>
            <wp:extent cx="6943725" cy="7439025"/>
            <wp:effectExtent l="0" t="0" r="9525" b="9525"/>
            <wp:wrapSquare wrapText="bothSides"/>
            <wp:docPr id="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t="5134"/>
                    <a:stretch/>
                  </pic:blipFill>
                  <pic:spPr bwMode="auto">
                    <a:xfrm>
                      <a:off x="0" y="0"/>
                      <a:ext cx="6943725" cy="7439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012B" w:rsidRPr="00CF0C9B">
        <w:rPr>
          <w:b/>
          <w:lang w:val="es-MX"/>
        </w:rPr>
        <w:t>(Cifras en Millones de Quetzales)</w:t>
      </w:r>
    </w:p>
    <w:p w:rsidR="00A0443E" w:rsidRPr="00CF0C9B" w:rsidRDefault="00A0443E" w:rsidP="00400A48">
      <w:pPr>
        <w:pStyle w:val="Prrafodelista"/>
        <w:ind w:left="0"/>
        <w:jc w:val="center"/>
        <w:rPr>
          <w:b/>
          <w:lang w:val="es-MX"/>
        </w:rPr>
      </w:pPr>
      <w:r w:rsidRPr="00CF0C9B">
        <w:rPr>
          <w:b/>
          <w:lang w:val="es-MX"/>
        </w:rPr>
        <w:lastRenderedPageBreak/>
        <w:t>Cuadro 2</w:t>
      </w:r>
      <w:r w:rsidR="00E47124">
        <w:rPr>
          <w:b/>
          <w:lang w:val="es-MX"/>
        </w:rPr>
        <w:t>6</w:t>
      </w:r>
      <w:r w:rsidRPr="00CF0C9B">
        <w:rPr>
          <w:b/>
          <w:lang w:val="es-MX"/>
        </w:rPr>
        <w:t xml:space="preserve"> (</w:t>
      </w:r>
      <w:r w:rsidR="00C120D1">
        <w:rPr>
          <w:b/>
          <w:lang w:val="es-MX"/>
        </w:rPr>
        <w:t>4/4</w:t>
      </w:r>
      <w:r w:rsidRPr="00CF0C9B">
        <w:rPr>
          <w:b/>
          <w:lang w:val="es-MX"/>
        </w:rPr>
        <w:t>)</w:t>
      </w:r>
    </w:p>
    <w:p w:rsidR="00A0443E" w:rsidRPr="00CF0C9B" w:rsidRDefault="00A0443E" w:rsidP="00A0443E">
      <w:pPr>
        <w:jc w:val="center"/>
        <w:rPr>
          <w:b/>
          <w:lang w:val="es-MX"/>
        </w:rPr>
      </w:pPr>
      <w:r w:rsidRPr="00CF0C9B">
        <w:rPr>
          <w:b/>
          <w:lang w:val="es-MX"/>
        </w:rPr>
        <w:t>Ejecución Presupuestaria por Entidad y Programas Institucionales</w:t>
      </w:r>
    </w:p>
    <w:p w:rsidR="00A0443E" w:rsidRDefault="00A0443E" w:rsidP="00A0443E">
      <w:pPr>
        <w:jc w:val="center"/>
        <w:rPr>
          <w:b/>
          <w:lang w:val="es-MX"/>
        </w:rPr>
      </w:pPr>
      <w:r w:rsidRPr="00CF0C9B">
        <w:rPr>
          <w:b/>
          <w:lang w:val="es-MX"/>
        </w:rPr>
        <w:t>Estimación de Cierre 202</w:t>
      </w:r>
      <w:r w:rsidR="00400A48">
        <w:rPr>
          <w:b/>
          <w:lang w:val="es-MX"/>
        </w:rPr>
        <w:t>1</w:t>
      </w:r>
    </w:p>
    <w:p w:rsidR="00A0443E" w:rsidRPr="00A0443E" w:rsidRDefault="00400A48" w:rsidP="00A0443E">
      <w:pPr>
        <w:pStyle w:val="Prrafodelista"/>
        <w:ind w:left="0"/>
        <w:jc w:val="center"/>
        <w:rPr>
          <w:b/>
          <w:lang w:val="es-MX"/>
        </w:rPr>
      </w:pPr>
      <w:r w:rsidRPr="00ED44A8">
        <w:rPr>
          <w:noProof/>
          <w:lang w:val="es-GT" w:eastAsia="es-GT"/>
        </w:rPr>
        <w:drawing>
          <wp:anchor distT="0" distB="0" distL="114300" distR="114300" simplePos="0" relativeHeight="251685888" behindDoc="0" locked="0" layoutInCell="1" allowOverlap="1" wp14:anchorId="4076E2D9" wp14:editId="2BE97E24">
            <wp:simplePos x="0" y="0"/>
            <wp:positionH relativeFrom="column">
              <wp:posOffset>-175260</wp:posOffset>
            </wp:positionH>
            <wp:positionV relativeFrom="paragraph">
              <wp:posOffset>259715</wp:posOffset>
            </wp:positionV>
            <wp:extent cx="6553200" cy="2943225"/>
            <wp:effectExtent l="0" t="0" r="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815"/>
                    <a:stretch/>
                  </pic:blipFill>
                  <pic:spPr bwMode="auto">
                    <a:xfrm>
                      <a:off x="0" y="0"/>
                      <a:ext cx="6553200" cy="294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43E" w:rsidRPr="00CF0C9B">
        <w:rPr>
          <w:b/>
          <w:lang w:val="es-MX"/>
        </w:rPr>
        <w:t>(Cifras en Millones de Quetzales)</w:t>
      </w:r>
    </w:p>
    <w:p w:rsidR="00C6012B" w:rsidRPr="00416F2B" w:rsidRDefault="00C6012B" w:rsidP="00C6012B">
      <w:pPr>
        <w:autoSpaceDE w:val="0"/>
        <w:autoSpaceDN w:val="0"/>
        <w:adjustRightInd w:val="0"/>
        <w:ind w:left="-142"/>
        <w:rPr>
          <w:sz w:val="18"/>
        </w:rPr>
      </w:pPr>
      <w:r w:rsidRPr="00416F2B">
        <w:rPr>
          <w:sz w:val="18"/>
        </w:rPr>
        <w:t xml:space="preserve">Fuente: </w:t>
      </w:r>
      <w:r>
        <w:rPr>
          <w:sz w:val="18"/>
        </w:rPr>
        <w:t>Ministerio de Finanzas Públicas.</w:t>
      </w:r>
    </w:p>
    <w:p w:rsidR="00C6012B" w:rsidRDefault="00C6012B"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A0443E" w:rsidRDefault="00A0443E" w:rsidP="0069616A">
      <w:pPr>
        <w:autoSpaceDE w:val="0"/>
        <w:autoSpaceDN w:val="0"/>
        <w:adjustRightInd w:val="0"/>
        <w:jc w:val="center"/>
        <w:rPr>
          <w:b/>
          <w:sz w:val="36"/>
        </w:rPr>
      </w:pPr>
    </w:p>
    <w:p w:rsidR="0059388D" w:rsidRPr="0059388D" w:rsidRDefault="0059388D" w:rsidP="0069616A">
      <w:pPr>
        <w:autoSpaceDE w:val="0"/>
        <w:autoSpaceDN w:val="0"/>
        <w:adjustRightInd w:val="0"/>
        <w:jc w:val="center"/>
        <w:rPr>
          <w:b/>
          <w:sz w:val="20"/>
        </w:rPr>
      </w:pPr>
    </w:p>
    <w:p w:rsidR="00A74391" w:rsidRPr="00A27A47" w:rsidRDefault="00A74391" w:rsidP="004E7459">
      <w:pPr>
        <w:jc w:val="center"/>
        <w:rPr>
          <w:b/>
          <w:lang w:val="es-MX"/>
        </w:rPr>
      </w:pPr>
      <w:r w:rsidRPr="00A27A47">
        <w:rPr>
          <w:b/>
          <w:lang w:val="es-MX"/>
        </w:rPr>
        <w:lastRenderedPageBreak/>
        <w:t xml:space="preserve">Cuadro </w:t>
      </w:r>
      <w:r w:rsidR="002B5EF3" w:rsidRPr="00A27A47">
        <w:rPr>
          <w:b/>
          <w:lang w:val="es-MX"/>
        </w:rPr>
        <w:t>2</w:t>
      </w:r>
      <w:r w:rsidR="00E47124">
        <w:rPr>
          <w:b/>
          <w:lang w:val="es-MX"/>
        </w:rPr>
        <w:t>7</w:t>
      </w:r>
      <w:r w:rsidR="00C120D1">
        <w:rPr>
          <w:b/>
          <w:lang w:val="es-MX"/>
        </w:rPr>
        <w:t xml:space="preserve"> (1/2)</w:t>
      </w:r>
    </w:p>
    <w:p w:rsidR="00A74391" w:rsidRPr="00A27A47" w:rsidRDefault="00A74391" w:rsidP="004E7459">
      <w:pPr>
        <w:jc w:val="center"/>
        <w:rPr>
          <w:b/>
          <w:lang w:val="es-MX"/>
        </w:rPr>
      </w:pPr>
      <w:r w:rsidRPr="00A27A47">
        <w:rPr>
          <w:b/>
          <w:lang w:val="es-MX"/>
        </w:rPr>
        <w:t>Situación Financiera</w:t>
      </w:r>
    </w:p>
    <w:p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w:t>
      </w:r>
      <w:r w:rsidR="00783C69">
        <w:rPr>
          <w:b/>
          <w:lang w:val="es-MX"/>
        </w:rPr>
        <w:t>1</w:t>
      </w:r>
    </w:p>
    <w:p w:rsidR="00A74391" w:rsidRDefault="00A74391" w:rsidP="004E7459">
      <w:pPr>
        <w:pStyle w:val="Prrafodelista"/>
        <w:ind w:left="0"/>
        <w:jc w:val="center"/>
        <w:rPr>
          <w:b/>
          <w:lang w:val="es-MX"/>
        </w:rPr>
      </w:pPr>
      <w:r w:rsidRPr="00A27A47">
        <w:rPr>
          <w:b/>
          <w:lang w:val="es-MX"/>
        </w:rPr>
        <w:t>(Cifras en Millones de Quetzales)</w:t>
      </w:r>
    </w:p>
    <w:tbl>
      <w:tblPr>
        <w:tblpPr w:leftFromText="141" w:rightFromText="141" w:vertAnchor="text" w:horzAnchor="margin" w:tblpY="374"/>
        <w:tblW w:w="9371" w:type="dxa"/>
        <w:tblCellMar>
          <w:left w:w="70" w:type="dxa"/>
          <w:right w:w="70" w:type="dxa"/>
        </w:tblCellMar>
        <w:tblLook w:val="04A0" w:firstRow="1" w:lastRow="0" w:firstColumn="1" w:lastColumn="0" w:noHBand="0" w:noVBand="1"/>
      </w:tblPr>
      <w:tblGrid>
        <w:gridCol w:w="4835"/>
        <w:gridCol w:w="2410"/>
        <w:gridCol w:w="2126"/>
      </w:tblGrid>
      <w:tr w:rsidR="00783C69" w:rsidRPr="00783C69" w:rsidTr="00783C69">
        <w:trPr>
          <w:trHeight w:val="315"/>
        </w:trPr>
        <w:tc>
          <w:tcPr>
            <w:tcW w:w="4835" w:type="dxa"/>
            <w:vMerge w:val="restart"/>
            <w:tcBorders>
              <w:top w:val="single" w:sz="8" w:space="0" w:color="auto"/>
              <w:left w:val="single" w:sz="8" w:space="0" w:color="auto"/>
              <w:bottom w:val="single" w:sz="8" w:space="0" w:color="000000"/>
              <w:right w:val="single" w:sz="8" w:space="0" w:color="auto"/>
            </w:tcBorders>
            <w:shd w:val="clear" w:color="000000" w:fill="366092"/>
            <w:noWrap/>
            <w:vAlign w:val="center"/>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Descripción </w:t>
            </w:r>
          </w:p>
        </w:tc>
        <w:tc>
          <w:tcPr>
            <w:tcW w:w="4536" w:type="dxa"/>
            <w:gridSpan w:val="2"/>
            <w:tcBorders>
              <w:top w:val="single" w:sz="8" w:space="0" w:color="auto"/>
              <w:left w:val="nil"/>
              <w:bottom w:val="single" w:sz="8" w:space="0" w:color="auto"/>
              <w:right w:val="single" w:sz="8" w:space="0" w:color="000000"/>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2021</w:t>
            </w:r>
          </w:p>
        </w:tc>
      </w:tr>
      <w:tr w:rsidR="00783C69" w:rsidRPr="00783C69" w:rsidTr="00783C69">
        <w:trPr>
          <w:trHeight w:val="315"/>
        </w:trPr>
        <w:tc>
          <w:tcPr>
            <w:tcW w:w="4835" w:type="dxa"/>
            <w:vMerge/>
            <w:tcBorders>
              <w:top w:val="single" w:sz="8" w:space="0" w:color="auto"/>
              <w:left w:val="single" w:sz="8" w:space="0" w:color="auto"/>
              <w:bottom w:val="single" w:sz="8" w:space="0" w:color="000000"/>
              <w:right w:val="single" w:sz="8" w:space="0" w:color="auto"/>
            </w:tcBorders>
            <w:vAlign w:val="center"/>
            <w:hideMark/>
          </w:tcPr>
          <w:p w:rsidR="00783C69" w:rsidRPr="00783C69" w:rsidRDefault="00783C69" w:rsidP="00783C69">
            <w:pPr>
              <w:rPr>
                <w:b/>
                <w:bCs/>
                <w:color w:val="FFFFFF"/>
                <w:sz w:val="22"/>
                <w:szCs w:val="22"/>
                <w:lang w:val="es-GT" w:eastAsia="es-GT"/>
              </w:rPr>
            </w:pPr>
          </w:p>
        </w:tc>
        <w:tc>
          <w:tcPr>
            <w:tcW w:w="2410" w:type="dxa"/>
            <w:tcBorders>
              <w:top w:val="nil"/>
              <w:left w:val="single" w:sz="8" w:space="0" w:color="auto"/>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Presupuesto </w:t>
            </w:r>
          </w:p>
        </w:tc>
        <w:tc>
          <w:tcPr>
            <w:tcW w:w="2126" w:type="dxa"/>
            <w:tcBorders>
              <w:top w:val="nil"/>
              <w:left w:val="nil"/>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Estimación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 xml:space="preserve">Ingresos Totales </w:t>
            </w:r>
          </w:p>
        </w:tc>
        <w:tc>
          <w:tcPr>
            <w:tcW w:w="2410" w:type="dxa"/>
            <w:tcBorders>
              <w:top w:val="single" w:sz="8" w:space="0" w:color="auto"/>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68,547.4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74,719.5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Ingresos Corrientes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68,544.0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74,701.3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2"/>
              <w:rPr>
                <w:b/>
                <w:bCs/>
                <w:sz w:val="20"/>
                <w:szCs w:val="20"/>
                <w:lang w:val="es-GT" w:eastAsia="es-GT"/>
              </w:rPr>
            </w:pPr>
            <w:r w:rsidRPr="00783C69">
              <w:rPr>
                <w:b/>
                <w:bCs/>
                <w:sz w:val="20"/>
                <w:szCs w:val="20"/>
                <w:lang w:val="es-GT" w:eastAsia="es-GT"/>
              </w:rPr>
              <w:t xml:space="preserve">Ingresos Tributarios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64,027.7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70,768.4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2"/>
              <w:rPr>
                <w:b/>
                <w:bCs/>
                <w:sz w:val="20"/>
                <w:szCs w:val="20"/>
                <w:lang w:val="es-GT" w:eastAsia="es-GT"/>
              </w:rPr>
            </w:pPr>
            <w:r w:rsidRPr="00783C69">
              <w:rPr>
                <w:b/>
                <w:bCs/>
                <w:sz w:val="20"/>
                <w:szCs w:val="20"/>
                <w:lang w:val="es-GT" w:eastAsia="es-GT"/>
              </w:rPr>
              <w:t>Impuestos 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21,669.4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25,416.0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sobre la Renta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16,622.1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20,326.7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sobre la propiedad y otros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27.9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19.7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A las Empresas Mercantiles y Agropecuarias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IETAAP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7.9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center"/>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de Solidaridad</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5,019.3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5,058.5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center"/>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Otros 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2"/>
              <w:rPr>
                <w:b/>
                <w:bCs/>
                <w:sz w:val="20"/>
                <w:szCs w:val="20"/>
                <w:lang w:val="es-GT" w:eastAsia="es-GT"/>
              </w:rPr>
            </w:pPr>
            <w:r w:rsidRPr="00783C69">
              <w:rPr>
                <w:b/>
                <w:bCs/>
                <w:sz w:val="20"/>
                <w:szCs w:val="20"/>
                <w:lang w:val="es-GT" w:eastAsia="es-GT"/>
              </w:rPr>
              <w:t>Impuestos Indirectos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42,358.3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45,352.3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Impuesto al Valor Agregado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31,679.9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33,932.6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Doméstico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15,941.9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15,923.0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Importaciones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15,738.0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18,009.6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Derechos Arancelarios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2,723.6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3,140.7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Petróleo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3,514.6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3,939.8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Timbres Fiscales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498.3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463.9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Vehículos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914.8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872.2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IPRIMA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1,048.0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1,169.3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Regalías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225.4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147.4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Salida del País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333.4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152.4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Impuestos Específicos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1,267.3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1,337.4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Alcoholes y bebidas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910.4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1,019.5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Tabaco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356.9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317.9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Distribución de Cemento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144.6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188.9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Otros indirectos y medidas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7.6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2"/>
              <w:rPr>
                <w:b/>
                <w:bCs/>
                <w:sz w:val="20"/>
                <w:szCs w:val="20"/>
                <w:lang w:val="es-GT" w:eastAsia="es-GT"/>
              </w:rPr>
            </w:pPr>
            <w:r w:rsidRPr="00783C69">
              <w:rPr>
                <w:b/>
                <w:bCs/>
                <w:sz w:val="20"/>
                <w:szCs w:val="20"/>
                <w:lang w:val="es-GT" w:eastAsia="es-GT"/>
              </w:rPr>
              <w:t xml:space="preserve">No Tributarios y Transferencias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4,516.3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3,933.0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Contribuciones a la Seguridad Social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2,587.2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2,648.5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Donaciones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254.5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72.3</w:t>
            </w:r>
          </w:p>
        </w:tc>
      </w:tr>
      <w:tr w:rsidR="00783C69" w:rsidRPr="00783C69" w:rsidTr="00783C69">
        <w:trPr>
          <w:trHeight w:val="300"/>
        </w:trPr>
        <w:tc>
          <w:tcPr>
            <w:tcW w:w="4835" w:type="dxa"/>
            <w:tcBorders>
              <w:top w:val="nil"/>
              <w:left w:val="single" w:sz="8" w:space="0" w:color="auto"/>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 xml:space="preserve">Otros </w:t>
            </w:r>
          </w:p>
        </w:tc>
        <w:tc>
          <w:tcPr>
            <w:tcW w:w="2410" w:type="dxa"/>
            <w:tcBorders>
              <w:top w:val="nil"/>
              <w:left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1,674.6</w:t>
            </w:r>
          </w:p>
        </w:tc>
        <w:tc>
          <w:tcPr>
            <w:tcW w:w="2126" w:type="dxa"/>
            <w:tcBorders>
              <w:top w:val="nil"/>
              <w:left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1,212.2</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Ingresos de Capital</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3.4</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18.2</w:t>
            </w:r>
          </w:p>
        </w:tc>
      </w:tr>
    </w:tbl>
    <w:p w:rsidR="00381D8B" w:rsidRDefault="00381D8B" w:rsidP="004E7459">
      <w:pPr>
        <w:pStyle w:val="Prrafodelista"/>
        <w:ind w:left="0"/>
        <w:jc w:val="center"/>
        <w:rPr>
          <w:b/>
          <w:sz w:val="22"/>
          <w:lang w:val="es-MX"/>
        </w:rPr>
      </w:pPr>
    </w:p>
    <w:p w:rsidR="00CF0E15" w:rsidRDefault="00CF0E15" w:rsidP="00CF0E15">
      <w:pPr>
        <w:pStyle w:val="Prrafodelista"/>
        <w:ind w:left="0"/>
        <w:jc w:val="center"/>
        <w:rPr>
          <w:b/>
          <w:sz w:val="22"/>
          <w:lang w:val="es-MX"/>
        </w:rPr>
      </w:pPr>
    </w:p>
    <w:p w:rsidR="00783C69" w:rsidRDefault="00783C69" w:rsidP="00CF0E15">
      <w:pPr>
        <w:pStyle w:val="Prrafodelista"/>
        <w:ind w:left="0"/>
        <w:jc w:val="center"/>
        <w:rPr>
          <w:b/>
          <w:sz w:val="22"/>
          <w:lang w:val="es-MX"/>
        </w:rPr>
      </w:pPr>
    </w:p>
    <w:p w:rsidR="00F22586" w:rsidRDefault="00F22586" w:rsidP="00CF0E15">
      <w:pPr>
        <w:pStyle w:val="Prrafodelista"/>
        <w:ind w:left="0"/>
        <w:jc w:val="center"/>
        <w:rPr>
          <w:b/>
          <w:sz w:val="22"/>
          <w:lang w:val="es-MX"/>
        </w:rPr>
      </w:pPr>
    </w:p>
    <w:p w:rsidR="00783C69" w:rsidRDefault="00783C69" w:rsidP="00CF0E15">
      <w:pPr>
        <w:pStyle w:val="Prrafodelista"/>
        <w:ind w:left="0"/>
        <w:jc w:val="center"/>
        <w:rPr>
          <w:b/>
          <w:sz w:val="22"/>
          <w:lang w:val="es-MX"/>
        </w:rPr>
      </w:pPr>
    </w:p>
    <w:p w:rsidR="00F22586" w:rsidRDefault="00F22586" w:rsidP="00CF0E15">
      <w:pPr>
        <w:pStyle w:val="Prrafodelista"/>
        <w:ind w:left="0"/>
        <w:jc w:val="center"/>
        <w:rPr>
          <w:b/>
          <w:sz w:val="22"/>
          <w:lang w:val="es-MX"/>
        </w:rPr>
      </w:pPr>
    </w:p>
    <w:p w:rsidR="00A74391" w:rsidRPr="00A27A47" w:rsidRDefault="00A74391" w:rsidP="004E7459">
      <w:pPr>
        <w:jc w:val="center"/>
        <w:rPr>
          <w:b/>
          <w:lang w:val="es-MX"/>
        </w:rPr>
      </w:pPr>
      <w:r w:rsidRPr="00A27A47">
        <w:rPr>
          <w:b/>
          <w:lang w:val="es-MX"/>
        </w:rPr>
        <w:lastRenderedPageBreak/>
        <w:t xml:space="preserve">Cuadro </w:t>
      </w:r>
      <w:r w:rsidR="002B5EF3" w:rsidRPr="00A27A47">
        <w:rPr>
          <w:b/>
          <w:lang w:val="es-MX"/>
        </w:rPr>
        <w:t>2</w:t>
      </w:r>
      <w:r w:rsidR="00E47124">
        <w:rPr>
          <w:b/>
          <w:lang w:val="es-MX"/>
        </w:rPr>
        <w:t>7</w:t>
      </w:r>
      <w:r w:rsidRPr="00A27A47">
        <w:rPr>
          <w:b/>
          <w:lang w:val="es-MX"/>
        </w:rPr>
        <w:t xml:space="preserve"> (</w:t>
      </w:r>
      <w:r w:rsidR="00C120D1">
        <w:rPr>
          <w:b/>
          <w:lang w:val="es-MX"/>
        </w:rPr>
        <w:t>2/2</w:t>
      </w:r>
      <w:r w:rsidRPr="00A27A47">
        <w:rPr>
          <w:b/>
          <w:lang w:val="es-MX"/>
        </w:rPr>
        <w:t>)</w:t>
      </w:r>
    </w:p>
    <w:p w:rsidR="00A74391" w:rsidRPr="00A27A47" w:rsidRDefault="00A74391" w:rsidP="004E7459">
      <w:pPr>
        <w:jc w:val="center"/>
        <w:rPr>
          <w:b/>
          <w:lang w:val="es-MX"/>
        </w:rPr>
      </w:pPr>
      <w:r w:rsidRPr="00A27A47">
        <w:rPr>
          <w:b/>
          <w:lang w:val="es-MX"/>
        </w:rPr>
        <w:t>Situación Financiera</w:t>
      </w:r>
    </w:p>
    <w:p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w:t>
      </w:r>
      <w:r w:rsidR="00783C69">
        <w:rPr>
          <w:b/>
          <w:lang w:val="es-MX"/>
        </w:rPr>
        <w:t>1</w:t>
      </w:r>
    </w:p>
    <w:p w:rsidR="00A74391" w:rsidRDefault="00A74391" w:rsidP="004E7459">
      <w:pPr>
        <w:pStyle w:val="Prrafodelista"/>
        <w:ind w:left="0"/>
        <w:jc w:val="center"/>
        <w:rPr>
          <w:b/>
          <w:lang w:val="es-MX"/>
        </w:rPr>
      </w:pPr>
      <w:r w:rsidRPr="00A27A47">
        <w:rPr>
          <w:b/>
          <w:lang w:val="es-MX"/>
        </w:rPr>
        <w:t>(Cifras en Millones de Quetzales)</w:t>
      </w:r>
    </w:p>
    <w:tbl>
      <w:tblPr>
        <w:tblW w:w="9371" w:type="dxa"/>
        <w:tblInd w:w="55" w:type="dxa"/>
        <w:tblCellMar>
          <w:left w:w="70" w:type="dxa"/>
          <w:right w:w="70" w:type="dxa"/>
        </w:tblCellMar>
        <w:tblLook w:val="04A0" w:firstRow="1" w:lastRow="0" w:firstColumn="1" w:lastColumn="0" w:noHBand="0" w:noVBand="1"/>
      </w:tblPr>
      <w:tblGrid>
        <w:gridCol w:w="4835"/>
        <w:gridCol w:w="2410"/>
        <w:gridCol w:w="2126"/>
      </w:tblGrid>
      <w:tr w:rsidR="00783C69" w:rsidRPr="00783C69" w:rsidTr="00783C69">
        <w:trPr>
          <w:trHeight w:val="315"/>
        </w:trPr>
        <w:tc>
          <w:tcPr>
            <w:tcW w:w="4835" w:type="dxa"/>
            <w:vMerge w:val="restart"/>
            <w:tcBorders>
              <w:top w:val="single" w:sz="8" w:space="0" w:color="auto"/>
              <w:left w:val="single" w:sz="8" w:space="0" w:color="auto"/>
              <w:bottom w:val="single" w:sz="8" w:space="0" w:color="000000"/>
              <w:right w:val="single" w:sz="8" w:space="0" w:color="auto"/>
            </w:tcBorders>
            <w:shd w:val="clear" w:color="000000" w:fill="366092"/>
            <w:noWrap/>
            <w:vAlign w:val="center"/>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Descripción </w:t>
            </w:r>
          </w:p>
        </w:tc>
        <w:tc>
          <w:tcPr>
            <w:tcW w:w="4536" w:type="dxa"/>
            <w:gridSpan w:val="2"/>
            <w:tcBorders>
              <w:top w:val="single" w:sz="8" w:space="0" w:color="auto"/>
              <w:left w:val="nil"/>
              <w:bottom w:val="single" w:sz="8" w:space="0" w:color="auto"/>
              <w:right w:val="single" w:sz="8" w:space="0" w:color="000000"/>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2021</w:t>
            </w:r>
          </w:p>
        </w:tc>
      </w:tr>
      <w:tr w:rsidR="00783C69" w:rsidRPr="00783C69" w:rsidTr="00783C69">
        <w:trPr>
          <w:trHeight w:val="315"/>
        </w:trPr>
        <w:tc>
          <w:tcPr>
            <w:tcW w:w="4835" w:type="dxa"/>
            <w:vMerge/>
            <w:tcBorders>
              <w:top w:val="single" w:sz="8" w:space="0" w:color="auto"/>
              <w:left w:val="single" w:sz="8" w:space="0" w:color="auto"/>
              <w:bottom w:val="single" w:sz="8" w:space="0" w:color="000000"/>
              <w:right w:val="single" w:sz="8" w:space="0" w:color="auto"/>
            </w:tcBorders>
            <w:vAlign w:val="center"/>
            <w:hideMark/>
          </w:tcPr>
          <w:p w:rsidR="00783C69" w:rsidRPr="00783C69" w:rsidRDefault="00783C69" w:rsidP="00783C69">
            <w:pPr>
              <w:rPr>
                <w:b/>
                <w:bCs/>
                <w:color w:val="FFFFFF"/>
                <w:sz w:val="22"/>
                <w:szCs w:val="22"/>
                <w:lang w:val="es-GT" w:eastAsia="es-GT"/>
              </w:rPr>
            </w:pPr>
          </w:p>
        </w:tc>
        <w:tc>
          <w:tcPr>
            <w:tcW w:w="2410" w:type="dxa"/>
            <w:tcBorders>
              <w:top w:val="nil"/>
              <w:left w:val="single" w:sz="8" w:space="0" w:color="auto"/>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Presupuesto </w:t>
            </w:r>
          </w:p>
        </w:tc>
        <w:tc>
          <w:tcPr>
            <w:tcW w:w="2126" w:type="dxa"/>
            <w:tcBorders>
              <w:top w:val="nil"/>
              <w:left w:val="nil"/>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Estimación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Gastos Totales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103,661.4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89,476.9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Gastos Corrientes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82,327.0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72,544.9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Remuneraciones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27,640.3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29,260.8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Bienes y Servicios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17,022.1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11,259.1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Impuestos pagados por dependencias del Estado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11.4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Descuentos y Bonificaciones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80.6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82.7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Prestaciones a la Seguridad Social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5,262.5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5,426.2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Intereses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10,751.0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11,966.0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 xml:space="preserve">Deuda  interna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6,659.2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8,210.0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Deuda externa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4,091.8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3,756.0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Préstamos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1,466.6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1,477.7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2,625.2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2,278.3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Arrendamiento de Tierra y Terrenos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Derechos Sobre Bienes Intangibles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61.0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48.0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Transferencias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21,497.7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14,493.1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Gastos de Capital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21,334.4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16,932.1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Inversión Real Directa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5,156.4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4,446.4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 xml:space="preserve">Inversión Financiera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3,430.4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17.7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Transferencias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12,747.6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12,468.0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 xml:space="preserve">Balance en Cuenta Corriente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-13,783.0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2,156.5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Balance Primario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-45,865.0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-2,791.4</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Balance Presupuestal</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-35,114.0</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-14,757.4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sz w:val="20"/>
                <w:szCs w:val="20"/>
                <w:lang w:val="es-GT" w:eastAsia="es-GT"/>
              </w:rPr>
            </w:pPr>
            <w:r w:rsidRPr="00783C69">
              <w:rPr>
                <w:sz w:val="20"/>
                <w:szCs w:val="20"/>
                <w:lang w:val="es-GT" w:eastAsia="es-GT"/>
              </w:rPr>
              <w:t>Financiamiento Total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35,114.0</w:t>
            </w:r>
          </w:p>
        </w:tc>
        <w:tc>
          <w:tcPr>
            <w:tcW w:w="2126" w:type="dxa"/>
            <w:tcBorders>
              <w:top w:val="single" w:sz="8" w:space="0" w:color="auto"/>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14,757.4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0"/>
              <w:rPr>
                <w:sz w:val="20"/>
                <w:szCs w:val="20"/>
                <w:lang w:val="es-GT" w:eastAsia="es-GT"/>
              </w:rPr>
            </w:pPr>
            <w:r w:rsidRPr="00783C69">
              <w:rPr>
                <w:sz w:val="20"/>
                <w:szCs w:val="20"/>
                <w:lang w:val="es-GT" w:eastAsia="es-GT"/>
              </w:rPr>
              <w:t>Financiamiento Externo Neto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2,477.0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-2,376.7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Préstamos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2,477.0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-2,376.7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Desembolsos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5,558.7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579.8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Amortizaciones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3,081.7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2,956.5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Negociación Neta de Eurobonos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0"/>
              <w:rPr>
                <w:sz w:val="20"/>
                <w:szCs w:val="20"/>
                <w:lang w:val="es-GT" w:eastAsia="es-GT"/>
              </w:rPr>
            </w:pPr>
            <w:r w:rsidRPr="00783C69">
              <w:rPr>
                <w:sz w:val="20"/>
                <w:szCs w:val="20"/>
                <w:lang w:val="es-GT" w:eastAsia="es-GT"/>
              </w:rPr>
              <w:t>Financiamiento Interno Neto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32,637.0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17,134.1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Negociación Neta  de 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30,047.9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19,080.5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Colocaciones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35,445.9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24,478.5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Pago de Vencimientos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5,398.0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5,398.0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Prima por colocación de Bonos del Tesoro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2,609.6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Amortización primas de 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78.8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Amortización (costo de la política monetaria)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699.5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Variación de Caja (+) disminución (-) aumento</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3,367.4</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-4,556.0</w:t>
            </w:r>
          </w:p>
        </w:tc>
      </w:tr>
    </w:tbl>
    <w:p w:rsidR="0067083C" w:rsidRDefault="00416F2B" w:rsidP="00416F2B">
      <w:pPr>
        <w:autoSpaceDE w:val="0"/>
        <w:autoSpaceDN w:val="0"/>
        <w:adjustRightInd w:val="0"/>
        <w:rPr>
          <w:sz w:val="18"/>
        </w:rPr>
      </w:pPr>
      <w:r>
        <w:rPr>
          <w:sz w:val="18"/>
        </w:rPr>
        <w:t>Fuente: Ministerio de Finanzas Públicas.</w:t>
      </w:r>
    </w:p>
    <w:p w:rsidR="00783C69" w:rsidRPr="00416F2B" w:rsidRDefault="00783C69" w:rsidP="00416F2B">
      <w:pPr>
        <w:autoSpaceDE w:val="0"/>
        <w:autoSpaceDN w:val="0"/>
        <w:adjustRightInd w:val="0"/>
        <w:rPr>
          <w:sz w:val="18"/>
        </w:rPr>
      </w:pPr>
    </w:p>
    <w:p w:rsidR="006E3EBC" w:rsidRPr="00A27A47" w:rsidRDefault="006E3EBC" w:rsidP="004E7459">
      <w:pPr>
        <w:jc w:val="center"/>
        <w:rPr>
          <w:b/>
          <w:lang w:val="es-MX"/>
        </w:rPr>
      </w:pPr>
      <w:r w:rsidRPr="00A27A47">
        <w:rPr>
          <w:b/>
          <w:lang w:val="es-MX"/>
        </w:rPr>
        <w:t xml:space="preserve">Cuadro </w:t>
      </w:r>
      <w:r w:rsidR="000104A2">
        <w:rPr>
          <w:b/>
          <w:lang w:val="es-MX"/>
        </w:rPr>
        <w:t>2</w:t>
      </w:r>
      <w:r w:rsidR="00E47124">
        <w:rPr>
          <w:b/>
          <w:lang w:val="es-MX"/>
        </w:rPr>
        <w:t>8</w:t>
      </w:r>
      <w:r w:rsidR="00C120D1">
        <w:rPr>
          <w:b/>
          <w:lang w:val="es-MX"/>
        </w:rPr>
        <w:t xml:space="preserve"> (1/2)</w:t>
      </w:r>
    </w:p>
    <w:p w:rsidR="006E3EBC" w:rsidRPr="00A27A47" w:rsidRDefault="006E3EBC" w:rsidP="004E7459">
      <w:pPr>
        <w:jc w:val="center"/>
        <w:rPr>
          <w:b/>
          <w:lang w:val="es-MX"/>
        </w:rPr>
      </w:pPr>
      <w:r w:rsidRPr="00A27A47">
        <w:rPr>
          <w:b/>
          <w:lang w:val="es-MX"/>
        </w:rPr>
        <w:t>Situación Financiera</w:t>
      </w:r>
    </w:p>
    <w:p w:rsidR="006E3EBC" w:rsidRPr="00A27A47" w:rsidRDefault="006E3EBC" w:rsidP="004E7459">
      <w:pPr>
        <w:jc w:val="center"/>
        <w:rPr>
          <w:b/>
          <w:lang w:val="es-MX"/>
        </w:rPr>
      </w:pPr>
      <w:r w:rsidRPr="00A27A47">
        <w:rPr>
          <w:b/>
          <w:lang w:val="es-MX"/>
        </w:rPr>
        <w:t>Presupuesto Aprobado y Estimación de Cierre 20</w:t>
      </w:r>
      <w:r w:rsidR="002339F0" w:rsidRPr="00A27A47">
        <w:rPr>
          <w:b/>
          <w:lang w:val="es-MX"/>
        </w:rPr>
        <w:t>2</w:t>
      </w:r>
      <w:r w:rsidR="00917928">
        <w:rPr>
          <w:b/>
          <w:lang w:val="es-MX"/>
        </w:rPr>
        <w:t>1</w:t>
      </w:r>
    </w:p>
    <w:p w:rsidR="006E3EBC" w:rsidRDefault="006E3EBC" w:rsidP="004E7459">
      <w:pPr>
        <w:pStyle w:val="Prrafodelista"/>
        <w:ind w:left="0"/>
        <w:jc w:val="center"/>
        <w:rPr>
          <w:b/>
          <w:lang w:val="es-MX"/>
        </w:rPr>
      </w:pPr>
      <w:r w:rsidRPr="00A27A47">
        <w:rPr>
          <w:b/>
          <w:lang w:val="es-MX"/>
        </w:rPr>
        <w:t xml:space="preserve">(En </w:t>
      </w:r>
      <w:r w:rsidR="00A36762" w:rsidRPr="00A27A47">
        <w:rPr>
          <w:b/>
          <w:lang w:val="es-MX"/>
        </w:rPr>
        <w:t>P</w:t>
      </w:r>
      <w:r w:rsidRPr="00A27A47">
        <w:rPr>
          <w:b/>
          <w:lang w:val="es-MX"/>
        </w:rPr>
        <w:t>orcentajes del PIB)</w:t>
      </w:r>
    </w:p>
    <w:tbl>
      <w:tblPr>
        <w:tblW w:w="9371" w:type="dxa"/>
        <w:tblInd w:w="55" w:type="dxa"/>
        <w:tblCellMar>
          <w:left w:w="70" w:type="dxa"/>
          <w:right w:w="70" w:type="dxa"/>
        </w:tblCellMar>
        <w:tblLook w:val="04A0" w:firstRow="1" w:lastRow="0" w:firstColumn="1" w:lastColumn="0" w:noHBand="0" w:noVBand="1"/>
      </w:tblPr>
      <w:tblGrid>
        <w:gridCol w:w="4835"/>
        <w:gridCol w:w="2410"/>
        <w:gridCol w:w="2126"/>
      </w:tblGrid>
      <w:tr w:rsidR="00783C69" w:rsidRPr="00783C69" w:rsidTr="00783C69">
        <w:trPr>
          <w:trHeight w:val="315"/>
        </w:trPr>
        <w:tc>
          <w:tcPr>
            <w:tcW w:w="4835" w:type="dxa"/>
            <w:vMerge w:val="restart"/>
            <w:tcBorders>
              <w:top w:val="single" w:sz="8" w:space="0" w:color="auto"/>
              <w:left w:val="single" w:sz="8" w:space="0" w:color="auto"/>
              <w:bottom w:val="single" w:sz="8" w:space="0" w:color="000000"/>
              <w:right w:val="single" w:sz="8" w:space="0" w:color="auto"/>
            </w:tcBorders>
            <w:shd w:val="clear" w:color="000000" w:fill="366092"/>
            <w:noWrap/>
            <w:vAlign w:val="center"/>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Descripción </w:t>
            </w:r>
          </w:p>
        </w:tc>
        <w:tc>
          <w:tcPr>
            <w:tcW w:w="4536" w:type="dxa"/>
            <w:gridSpan w:val="2"/>
            <w:tcBorders>
              <w:top w:val="single" w:sz="8" w:space="0" w:color="auto"/>
              <w:left w:val="nil"/>
              <w:bottom w:val="single" w:sz="8" w:space="0" w:color="auto"/>
              <w:right w:val="single" w:sz="8" w:space="0" w:color="000000"/>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2021</w:t>
            </w:r>
          </w:p>
        </w:tc>
      </w:tr>
      <w:tr w:rsidR="00783C69" w:rsidRPr="00783C69" w:rsidTr="00783C69">
        <w:trPr>
          <w:trHeight w:val="315"/>
        </w:trPr>
        <w:tc>
          <w:tcPr>
            <w:tcW w:w="4835" w:type="dxa"/>
            <w:vMerge/>
            <w:tcBorders>
              <w:top w:val="single" w:sz="8" w:space="0" w:color="auto"/>
              <w:left w:val="single" w:sz="8" w:space="0" w:color="auto"/>
              <w:bottom w:val="single" w:sz="8" w:space="0" w:color="000000"/>
              <w:right w:val="single" w:sz="8" w:space="0" w:color="auto"/>
            </w:tcBorders>
            <w:vAlign w:val="center"/>
            <w:hideMark/>
          </w:tcPr>
          <w:p w:rsidR="00783C69" w:rsidRPr="00783C69" w:rsidRDefault="00783C69" w:rsidP="00783C69">
            <w:pPr>
              <w:rPr>
                <w:b/>
                <w:bCs/>
                <w:color w:val="FFFFFF"/>
                <w:sz w:val="22"/>
                <w:szCs w:val="22"/>
                <w:lang w:val="es-GT" w:eastAsia="es-GT"/>
              </w:rPr>
            </w:pPr>
          </w:p>
        </w:tc>
        <w:tc>
          <w:tcPr>
            <w:tcW w:w="2410" w:type="dxa"/>
            <w:tcBorders>
              <w:top w:val="nil"/>
              <w:left w:val="single" w:sz="8" w:space="0" w:color="auto"/>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Presupuesto </w:t>
            </w:r>
          </w:p>
        </w:tc>
        <w:tc>
          <w:tcPr>
            <w:tcW w:w="2126" w:type="dxa"/>
            <w:tcBorders>
              <w:top w:val="nil"/>
              <w:left w:val="nil"/>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Estimación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 xml:space="preserve">Ingresos Totales </w:t>
            </w:r>
          </w:p>
        </w:tc>
        <w:tc>
          <w:tcPr>
            <w:tcW w:w="2410" w:type="dxa"/>
            <w:tcBorders>
              <w:top w:val="single" w:sz="8" w:space="0" w:color="auto"/>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10.6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11.6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Ingresos Corrientes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10.6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11.6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2"/>
              <w:rPr>
                <w:b/>
                <w:bCs/>
                <w:sz w:val="20"/>
                <w:szCs w:val="20"/>
                <w:lang w:val="es-GT" w:eastAsia="es-GT"/>
              </w:rPr>
            </w:pPr>
            <w:r w:rsidRPr="00783C69">
              <w:rPr>
                <w:b/>
                <w:bCs/>
                <w:sz w:val="20"/>
                <w:szCs w:val="20"/>
                <w:lang w:val="es-GT" w:eastAsia="es-GT"/>
              </w:rPr>
              <w:t xml:space="preserve">Ingresos Tributarios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9.9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11.0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2"/>
              <w:rPr>
                <w:b/>
                <w:bCs/>
                <w:sz w:val="20"/>
                <w:szCs w:val="20"/>
                <w:lang w:val="es-GT" w:eastAsia="es-GT"/>
              </w:rPr>
            </w:pPr>
            <w:r w:rsidRPr="00783C69">
              <w:rPr>
                <w:b/>
                <w:bCs/>
                <w:sz w:val="20"/>
                <w:szCs w:val="20"/>
                <w:lang w:val="es-GT" w:eastAsia="es-GT"/>
              </w:rPr>
              <w:t>Impuestos 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sobre la Renta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sobre la propiedad y otros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A las Empresas Mercantiles y Agropecuarias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IETAAP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center"/>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  Impuesto de Solidaridad</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center"/>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Otros 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2"/>
              <w:rPr>
                <w:b/>
                <w:bCs/>
                <w:sz w:val="20"/>
                <w:szCs w:val="20"/>
                <w:lang w:val="es-GT" w:eastAsia="es-GT"/>
              </w:rPr>
            </w:pPr>
            <w:r w:rsidRPr="00783C69">
              <w:rPr>
                <w:b/>
                <w:bCs/>
                <w:sz w:val="20"/>
                <w:szCs w:val="20"/>
                <w:lang w:val="es-GT" w:eastAsia="es-GT"/>
              </w:rPr>
              <w:t>Impuestos Indirectos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6.6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Impuesto al Valor Agregado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Doméstico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Importaciones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Derechos Arancelarios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Petróleo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Timbres Fiscales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Vehículos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IPRIMA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Regalías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Salida del País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Impuestos Específicos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Alcoholes y bebidas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500" w:firstLine="1000"/>
              <w:rPr>
                <w:sz w:val="20"/>
                <w:szCs w:val="20"/>
                <w:lang w:val="es-GT" w:eastAsia="es-GT"/>
              </w:rPr>
            </w:pPr>
            <w:r w:rsidRPr="00783C69">
              <w:rPr>
                <w:sz w:val="20"/>
                <w:szCs w:val="20"/>
                <w:lang w:val="es-GT" w:eastAsia="es-GT"/>
              </w:rPr>
              <w:t>Tabaco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Distribución de Cemento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 xml:space="preserve">Otros indirectos y medidas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2"/>
              <w:rPr>
                <w:b/>
                <w:bCs/>
                <w:sz w:val="20"/>
                <w:szCs w:val="20"/>
                <w:lang w:val="es-GT" w:eastAsia="es-GT"/>
              </w:rPr>
            </w:pPr>
            <w:r w:rsidRPr="00783C69">
              <w:rPr>
                <w:b/>
                <w:bCs/>
                <w:sz w:val="20"/>
                <w:szCs w:val="20"/>
                <w:lang w:val="es-GT" w:eastAsia="es-GT"/>
              </w:rPr>
              <w:t xml:space="preserve">No Tributarios y Transferencias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Contribuciones a la Seguridad Social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Donaciones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 xml:space="preserve">Otros </w:t>
            </w:r>
          </w:p>
        </w:tc>
        <w:tc>
          <w:tcPr>
            <w:tcW w:w="2410" w:type="dxa"/>
            <w:tcBorders>
              <w:top w:val="nil"/>
              <w:left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0.3</w:t>
            </w:r>
          </w:p>
        </w:tc>
        <w:tc>
          <w:tcPr>
            <w:tcW w:w="2126" w:type="dxa"/>
            <w:tcBorders>
              <w:top w:val="nil"/>
              <w:left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Ingresos de Capital</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0.0</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0.0</w:t>
            </w:r>
          </w:p>
        </w:tc>
      </w:tr>
    </w:tbl>
    <w:p w:rsidR="00783C69" w:rsidRDefault="00783C69" w:rsidP="004E7459">
      <w:pPr>
        <w:pStyle w:val="Prrafodelista"/>
        <w:ind w:left="0"/>
        <w:jc w:val="center"/>
        <w:rPr>
          <w:b/>
          <w:lang w:val="es-MX"/>
        </w:rPr>
      </w:pPr>
    </w:p>
    <w:p w:rsidR="00783C69" w:rsidRDefault="00783C69" w:rsidP="004E7459">
      <w:pPr>
        <w:pStyle w:val="Prrafodelista"/>
        <w:ind w:left="0"/>
        <w:jc w:val="center"/>
        <w:rPr>
          <w:b/>
          <w:lang w:val="es-MX"/>
        </w:rPr>
      </w:pPr>
    </w:p>
    <w:p w:rsidR="00783C69" w:rsidRDefault="00783C69" w:rsidP="004E7459">
      <w:pPr>
        <w:pStyle w:val="Prrafodelista"/>
        <w:ind w:left="0"/>
        <w:jc w:val="center"/>
        <w:rPr>
          <w:b/>
          <w:lang w:val="es-MX"/>
        </w:rPr>
      </w:pPr>
    </w:p>
    <w:p w:rsidR="00783C69" w:rsidRPr="00A27A47" w:rsidRDefault="00783C69" w:rsidP="004E7459">
      <w:pPr>
        <w:pStyle w:val="Prrafodelista"/>
        <w:ind w:left="0"/>
        <w:jc w:val="center"/>
        <w:rPr>
          <w:b/>
          <w:lang w:val="es-MX"/>
        </w:rPr>
      </w:pPr>
    </w:p>
    <w:p w:rsidR="002339F0" w:rsidRDefault="002339F0" w:rsidP="004E7459">
      <w:pPr>
        <w:pStyle w:val="Prrafodelista"/>
        <w:ind w:left="0"/>
        <w:jc w:val="center"/>
        <w:rPr>
          <w:b/>
          <w:sz w:val="22"/>
          <w:lang w:val="es-MX"/>
        </w:rPr>
      </w:pPr>
    </w:p>
    <w:p w:rsidR="00EF2018" w:rsidRDefault="00EF2018" w:rsidP="00EF2018">
      <w:pPr>
        <w:pStyle w:val="Prrafodelista"/>
        <w:ind w:left="0"/>
        <w:jc w:val="center"/>
        <w:rPr>
          <w:b/>
          <w:sz w:val="22"/>
          <w:lang w:val="es-MX"/>
        </w:rPr>
      </w:pPr>
    </w:p>
    <w:p w:rsidR="006E3EBC" w:rsidRPr="00A27A47" w:rsidRDefault="006E3EBC" w:rsidP="004E7459">
      <w:pPr>
        <w:jc w:val="center"/>
        <w:rPr>
          <w:b/>
          <w:lang w:val="es-MX"/>
        </w:rPr>
      </w:pPr>
      <w:r w:rsidRPr="00A27A47">
        <w:rPr>
          <w:b/>
          <w:lang w:val="es-MX"/>
        </w:rPr>
        <w:lastRenderedPageBreak/>
        <w:t xml:space="preserve">Cuadro </w:t>
      </w:r>
      <w:r w:rsidR="000104A2">
        <w:rPr>
          <w:b/>
          <w:lang w:val="es-MX"/>
        </w:rPr>
        <w:t>2</w:t>
      </w:r>
      <w:r w:rsidR="00E47124">
        <w:rPr>
          <w:b/>
          <w:lang w:val="es-MX"/>
        </w:rPr>
        <w:t>8</w:t>
      </w:r>
      <w:r w:rsidRPr="00A27A47">
        <w:rPr>
          <w:b/>
          <w:lang w:val="es-MX"/>
        </w:rPr>
        <w:t xml:space="preserve"> (</w:t>
      </w:r>
      <w:r w:rsidR="00C120D1">
        <w:rPr>
          <w:b/>
          <w:lang w:val="es-MX"/>
        </w:rPr>
        <w:t>2/2</w:t>
      </w:r>
      <w:r w:rsidRPr="00A27A47">
        <w:rPr>
          <w:b/>
          <w:lang w:val="es-MX"/>
        </w:rPr>
        <w:t>)</w:t>
      </w:r>
    </w:p>
    <w:p w:rsidR="006E3EBC" w:rsidRPr="00A27A47" w:rsidRDefault="006E3EBC" w:rsidP="004E7459">
      <w:pPr>
        <w:jc w:val="center"/>
        <w:rPr>
          <w:b/>
          <w:lang w:val="es-MX"/>
        </w:rPr>
      </w:pPr>
      <w:r w:rsidRPr="00A27A47">
        <w:rPr>
          <w:b/>
          <w:lang w:val="es-MX"/>
        </w:rPr>
        <w:t>Situación Financiera</w:t>
      </w:r>
    </w:p>
    <w:p w:rsidR="006E3EBC" w:rsidRPr="00A27A47" w:rsidRDefault="006E3EBC" w:rsidP="004E7459">
      <w:pPr>
        <w:jc w:val="center"/>
        <w:rPr>
          <w:b/>
          <w:lang w:val="es-MX"/>
        </w:rPr>
      </w:pPr>
      <w:r w:rsidRPr="00A27A47">
        <w:rPr>
          <w:b/>
          <w:lang w:val="es-MX"/>
        </w:rPr>
        <w:t>Presupuesto Aprobado y Estimación de Cierre 20</w:t>
      </w:r>
      <w:r w:rsidR="002339F0" w:rsidRPr="00A27A47">
        <w:rPr>
          <w:b/>
          <w:lang w:val="es-MX"/>
        </w:rPr>
        <w:t>2</w:t>
      </w:r>
      <w:r w:rsidR="00917928">
        <w:rPr>
          <w:b/>
          <w:lang w:val="es-MX"/>
        </w:rPr>
        <w:t>1</w:t>
      </w:r>
    </w:p>
    <w:p w:rsidR="006E3EBC" w:rsidRDefault="006E3EBC" w:rsidP="004E7459">
      <w:pPr>
        <w:pStyle w:val="Prrafodelista"/>
        <w:ind w:left="0"/>
        <w:jc w:val="center"/>
        <w:rPr>
          <w:b/>
          <w:lang w:val="es-MX"/>
        </w:rPr>
      </w:pPr>
      <w:r w:rsidRPr="00A27A47">
        <w:rPr>
          <w:b/>
          <w:lang w:val="es-MX"/>
        </w:rPr>
        <w:t>(</w:t>
      </w:r>
      <w:r w:rsidR="00416F2B" w:rsidRPr="00A27A47">
        <w:rPr>
          <w:b/>
          <w:lang w:val="es-MX"/>
        </w:rPr>
        <w:t>En Porcentajes del PIB</w:t>
      </w:r>
      <w:r w:rsidRPr="00A27A47">
        <w:rPr>
          <w:b/>
          <w:lang w:val="es-MX"/>
        </w:rPr>
        <w:t>)</w:t>
      </w:r>
    </w:p>
    <w:tbl>
      <w:tblPr>
        <w:tblW w:w="9371" w:type="dxa"/>
        <w:tblInd w:w="55" w:type="dxa"/>
        <w:tblCellMar>
          <w:left w:w="70" w:type="dxa"/>
          <w:right w:w="70" w:type="dxa"/>
        </w:tblCellMar>
        <w:tblLook w:val="04A0" w:firstRow="1" w:lastRow="0" w:firstColumn="1" w:lastColumn="0" w:noHBand="0" w:noVBand="1"/>
      </w:tblPr>
      <w:tblGrid>
        <w:gridCol w:w="4835"/>
        <w:gridCol w:w="2410"/>
        <w:gridCol w:w="2126"/>
      </w:tblGrid>
      <w:tr w:rsidR="00783C69" w:rsidRPr="00783C69" w:rsidTr="00783C69">
        <w:trPr>
          <w:trHeight w:val="315"/>
        </w:trPr>
        <w:tc>
          <w:tcPr>
            <w:tcW w:w="4835" w:type="dxa"/>
            <w:vMerge w:val="restart"/>
            <w:tcBorders>
              <w:top w:val="single" w:sz="8" w:space="0" w:color="auto"/>
              <w:left w:val="single" w:sz="8" w:space="0" w:color="auto"/>
              <w:bottom w:val="single" w:sz="8" w:space="0" w:color="000000"/>
              <w:right w:val="single" w:sz="8" w:space="0" w:color="auto"/>
            </w:tcBorders>
            <w:shd w:val="clear" w:color="000000" w:fill="366092"/>
            <w:noWrap/>
            <w:vAlign w:val="center"/>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Descripción </w:t>
            </w:r>
          </w:p>
        </w:tc>
        <w:tc>
          <w:tcPr>
            <w:tcW w:w="4536" w:type="dxa"/>
            <w:gridSpan w:val="2"/>
            <w:tcBorders>
              <w:top w:val="single" w:sz="8" w:space="0" w:color="auto"/>
              <w:left w:val="nil"/>
              <w:bottom w:val="single" w:sz="8" w:space="0" w:color="auto"/>
              <w:right w:val="single" w:sz="8" w:space="0" w:color="000000"/>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2021</w:t>
            </w:r>
          </w:p>
        </w:tc>
      </w:tr>
      <w:tr w:rsidR="00783C69" w:rsidRPr="00783C69" w:rsidTr="00783C69">
        <w:trPr>
          <w:trHeight w:val="315"/>
        </w:trPr>
        <w:tc>
          <w:tcPr>
            <w:tcW w:w="4835" w:type="dxa"/>
            <w:vMerge/>
            <w:tcBorders>
              <w:top w:val="single" w:sz="8" w:space="0" w:color="auto"/>
              <w:left w:val="single" w:sz="8" w:space="0" w:color="auto"/>
              <w:bottom w:val="single" w:sz="8" w:space="0" w:color="000000"/>
              <w:right w:val="single" w:sz="8" w:space="0" w:color="auto"/>
            </w:tcBorders>
            <w:vAlign w:val="center"/>
            <w:hideMark/>
          </w:tcPr>
          <w:p w:rsidR="00783C69" w:rsidRPr="00783C69" w:rsidRDefault="00783C69" w:rsidP="00783C69">
            <w:pPr>
              <w:rPr>
                <w:b/>
                <w:bCs/>
                <w:color w:val="FFFFFF"/>
                <w:sz w:val="22"/>
                <w:szCs w:val="22"/>
                <w:lang w:val="es-GT" w:eastAsia="es-GT"/>
              </w:rPr>
            </w:pPr>
          </w:p>
        </w:tc>
        <w:tc>
          <w:tcPr>
            <w:tcW w:w="2410" w:type="dxa"/>
            <w:tcBorders>
              <w:top w:val="nil"/>
              <w:left w:val="single" w:sz="8" w:space="0" w:color="auto"/>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Presupuesto </w:t>
            </w:r>
          </w:p>
        </w:tc>
        <w:tc>
          <w:tcPr>
            <w:tcW w:w="2126" w:type="dxa"/>
            <w:tcBorders>
              <w:top w:val="nil"/>
              <w:left w:val="nil"/>
              <w:bottom w:val="single" w:sz="8" w:space="0" w:color="auto"/>
              <w:right w:val="single" w:sz="8" w:space="0" w:color="auto"/>
            </w:tcBorders>
            <w:shd w:val="clear" w:color="000000" w:fill="366092"/>
            <w:noWrap/>
            <w:vAlign w:val="bottom"/>
            <w:hideMark/>
          </w:tcPr>
          <w:p w:rsidR="00783C69" w:rsidRPr="00783C69" w:rsidRDefault="00783C69" w:rsidP="00783C69">
            <w:pPr>
              <w:jc w:val="center"/>
              <w:rPr>
                <w:b/>
                <w:bCs/>
                <w:color w:val="FFFFFF"/>
                <w:sz w:val="22"/>
                <w:szCs w:val="22"/>
                <w:lang w:val="es-GT" w:eastAsia="es-GT"/>
              </w:rPr>
            </w:pPr>
            <w:r w:rsidRPr="00783C69">
              <w:rPr>
                <w:b/>
                <w:bCs/>
                <w:color w:val="FFFFFF"/>
                <w:sz w:val="22"/>
                <w:szCs w:val="22"/>
                <w:lang w:val="es-GT" w:eastAsia="es-GT"/>
              </w:rPr>
              <w:t xml:space="preserve">Estimación </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Gastos Totales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16.1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13.9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Gastos Corrientes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12.7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11.2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Remuneraciones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Bienes y Servicios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Impuestos pagados por dependencias del Estado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Descuentos y Bonificaciones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Prestaciones a la Seguridad Social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Intereses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 xml:space="preserve">Deuda  interna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Deuda externa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0.6</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Préstamos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400" w:firstLine="800"/>
              <w:rPr>
                <w:sz w:val="20"/>
                <w:szCs w:val="20"/>
                <w:lang w:val="es-GT" w:eastAsia="es-GT"/>
              </w:rPr>
            </w:pPr>
            <w:r w:rsidRPr="00783C69">
              <w:rPr>
                <w:sz w:val="20"/>
                <w:szCs w:val="20"/>
                <w:lang w:val="es-GT" w:eastAsia="es-GT"/>
              </w:rPr>
              <w:t>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Arrendamiento de Tierra y Terrenos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Derechos Sobre Bienes Intangibles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Transferencias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2.2</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1"/>
              <w:rPr>
                <w:b/>
                <w:bCs/>
                <w:sz w:val="20"/>
                <w:szCs w:val="20"/>
                <w:lang w:val="es-GT" w:eastAsia="es-GT"/>
              </w:rPr>
            </w:pPr>
            <w:r w:rsidRPr="00783C69">
              <w:rPr>
                <w:b/>
                <w:bCs/>
                <w:sz w:val="20"/>
                <w:szCs w:val="20"/>
                <w:lang w:val="es-GT" w:eastAsia="es-GT"/>
              </w:rPr>
              <w:t>Gastos de Capital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3.3</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2.6</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Inversión Real Directa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 xml:space="preserve">Inversión Financiera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Transferencias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1.9</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 xml:space="preserve">Balance en Cuenta Corriente </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Balance Primario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-7.1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-0.4</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rPr>
                <w:b/>
                <w:bCs/>
                <w:sz w:val="20"/>
                <w:szCs w:val="20"/>
                <w:lang w:val="es-GT" w:eastAsia="es-GT"/>
              </w:rPr>
            </w:pPr>
            <w:r w:rsidRPr="00783C69">
              <w:rPr>
                <w:b/>
                <w:bCs/>
                <w:sz w:val="20"/>
                <w:szCs w:val="20"/>
                <w:lang w:val="es-GT" w:eastAsia="es-GT"/>
              </w:rPr>
              <w:t>Balance Presupuestal</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-5.4</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b/>
                <w:bCs/>
                <w:sz w:val="20"/>
                <w:szCs w:val="20"/>
                <w:lang w:val="es-GT" w:eastAsia="es-GT"/>
              </w:rPr>
            </w:pPr>
            <w:r w:rsidRPr="00783C69">
              <w:rPr>
                <w:b/>
                <w:bCs/>
                <w:sz w:val="20"/>
                <w:szCs w:val="20"/>
                <w:lang w:val="es-GT" w:eastAsia="es-GT"/>
              </w:rPr>
              <w:t>-2.3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rPr>
                <w:sz w:val="20"/>
                <w:szCs w:val="20"/>
                <w:lang w:val="es-GT" w:eastAsia="es-GT"/>
              </w:rPr>
            </w:pPr>
            <w:r w:rsidRPr="00783C69">
              <w:rPr>
                <w:sz w:val="20"/>
                <w:szCs w:val="20"/>
                <w:lang w:val="es-GT" w:eastAsia="es-GT"/>
              </w:rPr>
              <w:t>Financiamiento Total</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5.4</w:t>
            </w:r>
          </w:p>
        </w:tc>
        <w:tc>
          <w:tcPr>
            <w:tcW w:w="2126" w:type="dxa"/>
            <w:tcBorders>
              <w:top w:val="single" w:sz="8" w:space="0" w:color="auto"/>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2.3</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0"/>
              <w:rPr>
                <w:sz w:val="20"/>
                <w:szCs w:val="20"/>
                <w:lang w:val="es-GT" w:eastAsia="es-GT"/>
              </w:rPr>
            </w:pPr>
            <w:r w:rsidRPr="00783C69">
              <w:rPr>
                <w:sz w:val="20"/>
                <w:szCs w:val="20"/>
                <w:lang w:val="es-GT" w:eastAsia="es-GT"/>
              </w:rPr>
              <w:t>Financiamiento Externo Neto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Préstamos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Desembolsos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0.9</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Amortizaciones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Negociación Neta de Eurobonos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100" w:firstLine="200"/>
              <w:rPr>
                <w:sz w:val="20"/>
                <w:szCs w:val="20"/>
                <w:lang w:val="es-GT" w:eastAsia="es-GT"/>
              </w:rPr>
            </w:pPr>
            <w:r w:rsidRPr="00783C69">
              <w:rPr>
                <w:sz w:val="20"/>
                <w:szCs w:val="20"/>
                <w:lang w:val="es-GT" w:eastAsia="es-GT"/>
              </w:rPr>
              <w:t>Financiamiento Interno Neto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2.7</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Negociación Neta  de 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4.7</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Colocaciones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5.5</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3.8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300" w:firstLine="600"/>
              <w:rPr>
                <w:sz w:val="20"/>
                <w:szCs w:val="20"/>
                <w:lang w:val="es-GT" w:eastAsia="es-GT"/>
              </w:rPr>
            </w:pPr>
            <w:r w:rsidRPr="00783C69">
              <w:rPr>
                <w:sz w:val="20"/>
                <w:szCs w:val="20"/>
                <w:lang w:val="es-GT" w:eastAsia="es-GT"/>
              </w:rPr>
              <w:t>Pago de Vencimientos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0.8</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Prima por colocación de Bonos del Tesoro</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0.4</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Amortización primas de Bonos</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00"/>
        </w:trPr>
        <w:tc>
          <w:tcPr>
            <w:tcW w:w="4835" w:type="dxa"/>
            <w:tcBorders>
              <w:top w:val="nil"/>
              <w:left w:val="single" w:sz="8" w:space="0" w:color="auto"/>
              <w:bottom w:val="nil"/>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Amortización (costo de la política monetaria)</w:t>
            </w:r>
          </w:p>
        </w:tc>
        <w:tc>
          <w:tcPr>
            <w:tcW w:w="2410"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0.1</w:t>
            </w:r>
          </w:p>
        </w:tc>
        <w:tc>
          <w:tcPr>
            <w:tcW w:w="2126" w:type="dxa"/>
            <w:tcBorders>
              <w:top w:val="nil"/>
              <w:left w:val="nil"/>
              <w:bottom w:val="nil"/>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0.0</w:t>
            </w:r>
          </w:p>
        </w:tc>
      </w:tr>
      <w:tr w:rsidR="00783C69" w:rsidRPr="00783C69" w:rsidTr="00783C69">
        <w:trPr>
          <w:trHeight w:val="315"/>
        </w:trPr>
        <w:tc>
          <w:tcPr>
            <w:tcW w:w="4835" w:type="dxa"/>
            <w:tcBorders>
              <w:top w:val="nil"/>
              <w:left w:val="single" w:sz="8" w:space="0" w:color="auto"/>
              <w:bottom w:val="single" w:sz="8" w:space="0" w:color="auto"/>
              <w:right w:val="single" w:sz="8" w:space="0" w:color="auto"/>
            </w:tcBorders>
            <w:shd w:val="clear" w:color="auto" w:fill="auto"/>
            <w:noWrap/>
            <w:vAlign w:val="bottom"/>
            <w:hideMark/>
          </w:tcPr>
          <w:p w:rsidR="00783C69" w:rsidRPr="00783C69" w:rsidRDefault="00783C69" w:rsidP="00783C69">
            <w:pPr>
              <w:ind w:firstLineChars="200" w:firstLine="400"/>
              <w:rPr>
                <w:sz w:val="20"/>
                <w:szCs w:val="20"/>
                <w:lang w:val="es-GT" w:eastAsia="es-GT"/>
              </w:rPr>
            </w:pPr>
            <w:r w:rsidRPr="00783C69">
              <w:rPr>
                <w:sz w:val="20"/>
                <w:szCs w:val="20"/>
                <w:lang w:val="es-GT" w:eastAsia="es-GT"/>
              </w:rPr>
              <w:t>Variación de Caja (+) disminución (-) aumento</w:t>
            </w:r>
          </w:p>
        </w:tc>
        <w:tc>
          <w:tcPr>
            <w:tcW w:w="2410"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0.5</w:t>
            </w:r>
          </w:p>
        </w:tc>
        <w:tc>
          <w:tcPr>
            <w:tcW w:w="2126" w:type="dxa"/>
            <w:tcBorders>
              <w:top w:val="nil"/>
              <w:left w:val="nil"/>
              <w:bottom w:val="single" w:sz="8" w:space="0" w:color="auto"/>
              <w:right w:val="single" w:sz="8" w:space="0" w:color="auto"/>
            </w:tcBorders>
            <w:shd w:val="clear" w:color="auto" w:fill="auto"/>
            <w:noWrap/>
            <w:vAlign w:val="bottom"/>
            <w:hideMark/>
          </w:tcPr>
          <w:p w:rsidR="00783C69" w:rsidRPr="00783C69" w:rsidRDefault="00783C69" w:rsidP="00783C69">
            <w:pPr>
              <w:jc w:val="center"/>
              <w:rPr>
                <w:sz w:val="20"/>
                <w:szCs w:val="20"/>
                <w:lang w:val="es-GT" w:eastAsia="es-GT"/>
              </w:rPr>
            </w:pPr>
            <w:r w:rsidRPr="00783C69">
              <w:rPr>
                <w:sz w:val="20"/>
                <w:szCs w:val="20"/>
                <w:lang w:val="es-GT" w:eastAsia="es-GT"/>
              </w:rPr>
              <w:t>-0.7</w:t>
            </w:r>
          </w:p>
        </w:tc>
      </w:tr>
    </w:tbl>
    <w:p w:rsidR="00716926" w:rsidRPr="004B5DF5" w:rsidRDefault="00716926" w:rsidP="00CC1383">
      <w:pPr>
        <w:jc w:val="both"/>
        <w:rPr>
          <w:noProof/>
          <w:sz w:val="18"/>
          <w:lang w:val="es-ES_tradnl"/>
        </w:rPr>
      </w:pPr>
      <w:r>
        <w:rPr>
          <w:noProof/>
          <w:sz w:val="18"/>
          <w:lang w:val="es-ES_tradnl"/>
        </w:rPr>
        <w:t>Fuente: Ministerio de Finanzas Públicas.</w:t>
      </w:r>
    </w:p>
    <w:sectPr w:rsidR="00716926" w:rsidRPr="004B5DF5" w:rsidSect="000D110E">
      <w:headerReference w:type="even" r:id="rId56"/>
      <w:headerReference w:type="default" r:id="rId57"/>
      <w:footerReference w:type="even" r:id="rId58"/>
      <w:footerReference w:type="default" r:id="rId59"/>
      <w:footerReference w:type="first" r:id="rId6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4961" w:rsidRDefault="005E4961" w:rsidP="00BF318F">
      <w:r>
        <w:separator/>
      </w:r>
    </w:p>
  </w:endnote>
  <w:endnote w:type="continuationSeparator" w:id="0">
    <w:p w:rsidR="005E4961" w:rsidRDefault="005E4961" w:rsidP="00BF3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Garamond">
    <w:panose1 w:val="02020404030301010803"/>
    <w:charset w:val="00"/>
    <w:family w:val="roman"/>
    <w:pitch w:val="variable"/>
    <w:sig w:usb0="00000287" w:usb1="00000000" w:usb2="00000000" w:usb3="00000000" w:csb0="0000009F" w:csb1="00000000"/>
  </w:font>
  <w:font w:name="Atlas Grotesk Regular">
    <w:altName w:val="Calibri"/>
    <w:panose1 w:val="00000000000000000000"/>
    <w:charset w:val="00"/>
    <w:family w:val="swiss"/>
    <w:notTrueType/>
    <w:pitch w:val="default"/>
    <w:sig w:usb0="00000003" w:usb1="00000000" w:usb2="00000000" w:usb3="00000000" w:csb0="00000001" w:csb1="00000000"/>
  </w:font>
  <w:font w:name="OptimaLTStd">
    <w:altName w:val="Yu Gothic"/>
    <w:panose1 w:val="00000000000000000000"/>
    <w:charset w:val="80"/>
    <w:family w:val="swiss"/>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78" w:rsidRDefault="00250478">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78" w:rsidRDefault="00250478">
    <w:pPr>
      <w:pStyle w:val="Piedepgina"/>
      <w:jc w:val="right"/>
    </w:pPr>
    <w:r>
      <w:fldChar w:fldCharType="begin"/>
    </w:r>
    <w:r>
      <w:instrText>PAGE   \* MERGEFORMAT</w:instrText>
    </w:r>
    <w:r>
      <w:fldChar w:fldCharType="separate"/>
    </w:r>
    <w:r>
      <w:rPr>
        <w:noProof/>
      </w:rPr>
      <w:t>79</w:t>
    </w:r>
    <w:r>
      <w:fldChar w:fldCharType="end"/>
    </w:r>
  </w:p>
  <w:p w:rsidR="00250478" w:rsidRDefault="0025047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78" w:rsidRDefault="00250478" w:rsidP="00EB2FBA">
    <w:pPr>
      <w:pStyle w:val="Piedepgina"/>
    </w:pPr>
  </w:p>
  <w:p w:rsidR="00250478" w:rsidRDefault="00250478" w:rsidP="00EB2FB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4961" w:rsidRDefault="005E4961" w:rsidP="00BF318F">
      <w:r>
        <w:separator/>
      </w:r>
    </w:p>
  </w:footnote>
  <w:footnote w:type="continuationSeparator" w:id="0">
    <w:p w:rsidR="005E4961" w:rsidRDefault="005E4961" w:rsidP="00BF318F">
      <w:r>
        <w:continuationSeparator/>
      </w:r>
    </w:p>
  </w:footnote>
  <w:footnote w:id="1">
    <w:p w:rsidR="00250478" w:rsidRDefault="00250478" w:rsidP="0050393B">
      <w:pPr>
        <w:pStyle w:val="Textonotapie"/>
        <w:rPr>
          <w:sz w:val="18"/>
        </w:rPr>
      </w:pPr>
      <w:r>
        <w:rPr>
          <w:rStyle w:val="Refdenotaalpie"/>
        </w:rPr>
        <w:footnoteRef/>
      </w:r>
      <w:r>
        <w:t xml:space="preserve"> </w:t>
      </w:r>
      <w:r w:rsidRPr="00343FF3">
        <w:rPr>
          <w:sz w:val="18"/>
        </w:rPr>
        <w:t>El gasto social está destinado a mejorar las condiciones de vida de las familias guatemaltecas, en el mediano y largo plazo, siendo importante resaltar que los montos detallados en el cuadro siguiente incluyen la función “Edad Avanzada”, dentro de la ejecución del sector Salud y Asistencia Social de cada año</w:t>
      </w:r>
      <w:r>
        <w:rPr>
          <w:sz w:val="18"/>
        </w:rPr>
        <w:t>.</w:t>
      </w:r>
    </w:p>
    <w:p w:rsidR="00250478" w:rsidRPr="00343FF3" w:rsidRDefault="00250478" w:rsidP="0050393B">
      <w:pPr>
        <w:pStyle w:val="Textonotapie"/>
      </w:pPr>
    </w:p>
  </w:footnote>
  <w:footnote w:id="2">
    <w:p w:rsidR="00250478" w:rsidRDefault="00250478" w:rsidP="0050393B">
      <w:pPr>
        <w:pStyle w:val="Textonotapie"/>
        <w:jc w:val="both"/>
        <w:rPr>
          <w:sz w:val="18"/>
          <w:szCs w:val="18"/>
          <w:lang w:val="es-MX"/>
        </w:rPr>
      </w:pPr>
      <w:r>
        <w:rPr>
          <w:rStyle w:val="Refdenotaalpie"/>
        </w:rPr>
        <w:footnoteRef/>
      </w:r>
      <w:r>
        <w:t xml:space="preserve"> </w:t>
      </w:r>
      <w:r w:rsidRPr="00CF15B3">
        <w:rPr>
          <w:sz w:val="18"/>
          <w:szCs w:val="18"/>
          <w:lang w:val="es-MX"/>
        </w:rPr>
        <w:t xml:space="preserve">La iniciativa 4462, proyecto de Ley de Fideicomisos Públicos, </w:t>
      </w:r>
      <w:r>
        <w:rPr>
          <w:sz w:val="18"/>
          <w:szCs w:val="18"/>
          <w:lang w:val="es-MX"/>
        </w:rPr>
        <w:t xml:space="preserve">persigue </w:t>
      </w:r>
      <w:r w:rsidRPr="00CF15B3">
        <w:rPr>
          <w:sz w:val="18"/>
          <w:szCs w:val="18"/>
          <w:lang w:val="es-MX"/>
        </w:rPr>
        <w:t>regula</w:t>
      </w:r>
      <w:r>
        <w:rPr>
          <w:sz w:val="18"/>
          <w:szCs w:val="18"/>
          <w:lang w:val="es-MX"/>
        </w:rPr>
        <w:t>r</w:t>
      </w:r>
      <w:r w:rsidRPr="00CF15B3">
        <w:rPr>
          <w:sz w:val="18"/>
          <w:szCs w:val="18"/>
          <w:lang w:val="es-MX"/>
        </w:rPr>
        <w:t xml:space="preserve"> y dispone</w:t>
      </w:r>
      <w:r>
        <w:rPr>
          <w:sz w:val="18"/>
          <w:szCs w:val="18"/>
          <w:lang w:val="es-MX"/>
        </w:rPr>
        <w:t>r</w:t>
      </w:r>
      <w:r w:rsidRPr="00CF15B3">
        <w:rPr>
          <w:sz w:val="18"/>
          <w:szCs w:val="18"/>
          <w:lang w:val="es-MX"/>
        </w:rPr>
        <w:t xml:space="preserve"> las normas y principios que rigen los contratos de fideicomisos públicos, aplicables en la celebración, administración, ejecución, extinción y liquidación de los contratos.  Los recursos que se afecten en dichos contratos preservarán su carácter público y fiscalizable y se observarán los principios de legalidad, economía, eficiencia, eficacia, máxima publicidad, probidad y transparencia en el manejo y ejecución de los recursos públicos, así como los que garanticen que toda actuación pública esté orientada a la consecución del bien común y la debida rendición de cuentas</w:t>
      </w:r>
      <w:r>
        <w:rPr>
          <w:sz w:val="18"/>
          <w:szCs w:val="18"/>
          <w:lang w:val="es-MX"/>
        </w:rPr>
        <w:t>.</w:t>
      </w:r>
    </w:p>
    <w:p w:rsidR="00250478" w:rsidRPr="00401389" w:rsidRDefault="00250478" w:rsidP="0050393B">
      <w:pPr>
        <w:pStyle w:val="Textonotapie"/>
        <w:jc w:val="both"/>
        <w:rPr>
          <w:sz w:val="18"/>
        </w:rPr>
      </w:pPr>
      <w:r>
        <w:rPr>
          <w:sz w:val="18"/>
          <w:lang w:val="es-MX"/>
        </w:rPr>
        <w:t>Asimismo, e</w:t>
      </w:r>
      <w:r w:rsidRPr="00401389">
        <w:rPr>
          <w:sz w:val="18"/>
          <w:lang w:val="es-MX"/>
        </w:rPr>
        <w:t>l detalle de los fideicomisos se encuentra en el portal del Ministerio de Finanzas Públicas y contiene una amplia gama de información sobre fideicomisos vigentes, en liquidación y vencidos, tanto de la Administración Central como de las Entidades Descentralizadas y Autónomas. El uso de fideicomisos actualmente está regulado en el Capítulo VI</w:t>
      </w:r>
      <w:r>
        <w:rPr>
          <w:sz w:val="18"/>
          <w:lang w:val="es-MX"/>
        </w:rPr>
        <w:t>II</w:t>
      </w:r>
      <w:r w:rsidRPr="00401389">
        <w:rPr>
          <w:sz w:val="18"/>
          <w:lang w:val="es-MX"/>
        </w:rPr>
        <w:t xml:space="preserve">, artículos del </w:t>
      </w:r>
      <w:r>
        <w:rPr>
          <w:sz w:val="18"/>
          <w:lang w:val="es-MX"/>
        </w:rPr>
        <w:t>84</w:t>
      </w:r>
      <w:r w:rsidRPr="00401389">
        <w:rPr>
          <w:sz w:val="18"/>
          <w:lang w:val="es-MX"/>
        </w:rPr>
        <w:t xml:space="preserve"> al </w:t>
      </w:r>
      <w:r>
        <w:rPr>
          <w:sz w:val="18"/>
          <w:lang w:val="es-MX"/>
        </w:rPr>
        <w:t>90</w:t>
      </w:r>
      <w:r w:rsidRPr="00401389">
        <w:rPr>
          <w:sz w:val="18"/>
          <w:lang w:val="es-MX"/>
        </w:rPr>
        <w:t xml:space="preserve"> de la Ley del Presupuesto General de Ingresos y Egresos del Estado para el Ejercicio Fiscal 201</w:t>
      </w:r>
      <w:r>
        <w:rPr>
          <w:sz w:val="18"/>
          <w:lang w:val="es-MX"/>
        </w:rPr>
        <w:t>9</w:t>
      </w:r>
      <w:r w:rsidRPr="00401389">
        <w:rPr>
          <w:sz w:val="18"/>
          <w:lang w:val="es-MX"/>
        </w:rPr>
        <w:t xml:space="preserve">, Decreto No. </w:t>
      </w:r>
      <w:r>
        <w:rPr>
          <w:sz w:val="18"/>
          <w:lang w:val="es-MX"/>
        </w:rPr>
        <w:t>25-2018</w:t>
      </w:r>
      <w:r w:rsidRPr="00401389">
        <w:rPr>
          <w:sz w:val="18"/>
          <w:lang w:val="es-MX"/>
        </w:rPr>
        <w:t xml:space="preserve"> del Congre</w:t>
      </w:r>
      <w:r>
        <w:rPr>
          <w:sz w:val="18"/>
          <w:lang w:val="es-MX"/>
        </w:rPr>
        <w:t>so de la República de Guatemala, vigente para el 2020 y 2021.</w:t>
      </w:r>
    </w:p>
  </w:footnote>
  <w:footnote w:id="3">
    <w:p w:rsidR="00250478" w:rsidRPr="00AE4E5C" w:rsidRDefault="00250478" w:rsidP="0050393B">
      <w:pPr>
        <w:pStyle w:val="Textonotapie"/>
        <w:jc w:val="both"/>
      </w:pPr>
      <w:r>
        <w:rPr>
          <w:rStyle w:val="Refdenotaalpie"/>
        </w:rPr>
        <w:footnoteRef/>
      </w:r>
      <w:r>
        <w:t xml:space="preserve"> </w:t>
      </w:r>
      <w:r w:rsidRPr="00AE4E5C">
        <w:rPr>
          <w:sz w:val="18"/>
          <w:lang w:val="es-MX"/>
        </w:rPr>
        <w:t xml:space="preserve">No obstante el artículo 33 Bis del </w:t>
      </w:r>
      <w:r w:rsidRPr="00AE4E5C">
        <w:rPr>
          <w:sz w:val="18"/>
        </w:rPr>
        <w:t>Decreto</w:t>
      </w:r>
      <w:r w:rsidRPr="00AE4E5C">
        <w:rPr>
          <w:sz w:val="18"/>
          <w:lang w:val="es-MX"/>
        </w:rPr>
        <w:t xml:space="preserve"> No. 101-97 del Congreso de la República de Guatemala, Ley Orgánica del Presupuesto, prohíbe suscribir convenios para ejecutar recursos de programas y proyectos a través de Organizaciones No Gubernamentales, Organismos Internacionales o Asociaciones, exceptuando al Ministerio de Salud Pública y Asistencia Social, algunas entidades trasladan recursos a estas instituciones bajo la modalidad de “</w:t>
      </w:r>
      <w:r>
        <w:rPr>
          <w:sz w:val="18"/>
          <w:lang w:val="es-MX"/>
        </w:rPr>
        <w:t>E</w:t>
      </w:r>
      <w:r w:rsidRPr="00AE4E5C">
        <w:rPr>
          <w:sz w:val="18"/>
          <w:lang w:val="es-MX"/>
        </w:rPr>
        <w:t xml:space="preserve">ntes </w:t>
      </w:r>
      <w:r>
        <w:rPr>
          <w:sz w:val="18"/>
          <w:lang w:val="es-MX"/>
        </w:rPr>
        <w:t>R</w:t>
      </w:r>
      <w:r w:rsidRPr="00AE4E5C">
        <w:rPr>
          <w:sz w:val="18"/>
          <w:lang w:val="es-MX"/>
        </w:rPr>
        <w:t xml:space="preserve">eceptores de </w:t>
      </w:r>
      <w:r>
        <w:rPr>
          <w:sz w:val="18"/>
          <w:lang w:val="es-MX"/>
        </w:rPr>
        <w:t>T</w:t>
      </w:r>
      <w:r w:rsidRPr="00AE4E5C">
        <w:rPr>
          <w:sz w:val="18"/>
          <w:lang w:val="es-MX"/>
        </w:rPr>
        <w:t>ransferencias”, sin contraprestación de servicios, porque el país es miembro de alguna organización y según el convenio de adhesión, es necesario cancelar una membresía anual. Además, varias instituciones trasladan aportes a estas organizaciones por concepto de subsidios y subvenciones cuya ejecución se encuentra normada en el Acuerdo Gubernativo No. 55-2016, “Reglamento de Manejo de Subsidios y Subvenciones”</w:t>
      </w:r>
      <w:r>
        <w:rPr>
          <w:sz w:val="18"/>
          <w:lang w:val="es-MX"/>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78" w:rsidRDefault="00250478" w:rsidP="00CE683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50478" w:rsidRDefault="00250478" w:rsidP="00CE6835">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78" w:rsidRPr="00801582" w:rsidRDefault="00250478" w:rsidP="00801582">
    <w:pPr>
      <w:pStyle w:val="Encabezado"/>
      <w:tabs>
        <w:tab w:val="clear" w:pos="8504"/>
      </w:tabs>
      <w:jc w:val="center"/>
      <w:rPr>
        <w:rFonts w:ascii="Arial" w:hAnsi="Arial" w:cs="Arial"/>
        <w:b/>
        <w:sz w:val="22"/>
        <w:szCs w:val="22"/>
        <w:lang w:val="es-GT"/>
      </w:rPr>
    </w:pPr>
    <w:r w:rsidRPr="00801582">
      <w:rPr>
        <w:rFonts w:ascii="Arial" w:hAnsi="Arial" w:cs="Arial"/>
        <w:b/>
        <w:sz w:val="22"/>
        <w:szCs w:val="22"/>
        <w:lang w:val="es-GT"/>
      </w:rPr>
      <w:t>Informe del Des</w:t>
    </w:r>
    <w:r>
      <w:rPr>
        <w:rFonts w:ascii="Arial" w:hAnsi="Arial" w:cs="Arial"/>
        <w:b/>
        <w:sz w:val="22"/>
        <w:szCs w:val="22"/>
        <w:lang w:val="es-GT"/>
      </w:rPr>
      <w:t xml:space="preserve">empeño de la Política Fiscal y </w:t>
    </w:r>
    <w:r w:rsidRPr="00801582">
      <w:rPr>
        <w:rFonts w:ascii="Arial" w:hAnsi="Arial" w:cs="Arial"/>
        <w:b/>
        <w:sz w:val="22"/>
        <w:szCs w:val="22"/>
        <w:lang w:val="es-GT"/>
      </w:rPr>
      <w:t>Actividades del Primer Semestre 20</w:t>
    </w:r>
    <w:r>
      <w:rPr>
        <w:rFonts w:ascii="Arial" w:hAnsi="Arial" w:cs="Arial"/>
        <w:b/>
        <w:sz w:val="22"/>
        <w:szCs w:val="22"/>
        <w:lang w:val="es-GT"/>
      </w:rPr>
      <w:t>21</w:t>
    </w:r>
  </w:p>
  <w:p w:rsidR="00250478" w:rsidRPr="000705AA" w:rsidRDefault="00250478" w:rsidP="00CE6835">
    <w:pPr>
      <w:pStyle w:val="Encabezado"/>
      <w:ind w:right="360"/>
      <w:jc w:val="center"/>
      <w:rPr>
        <w:rFonts w:ascii="Arial" w:hAnsi="Arial" w:cs="Arial"/>
        <w:b/>
        <w:color w:val="95B3D7"/>
        <w:u w:val="single"/>
        <w:lang w:val="es-GT"/>
      </w:rPr>
    </w:pPr>
    <w:r>
      <w:rPr>
        <w:noProof/>
        <w:lang w:val="es-GT" w:eastAsia="es-GT"/>
      </w:rPr>
      <mc:AlternateContent>
        <mc:Choice Requires="wps">
          <w:drawing>
            <wp:anchor distT="4294967290" distB="4294967290" distL="114300" distR="114300" simplePos="0" relativeHeight="251657216" behindDoc="0" locked="0" layoutInCell="1" allowOverlap="1" wp14:anchorId="49D5D34A" wp14:editId="2B178F42">
              <wp:simplePos x="0" y="0"/>
              <wp:positionH relativeFrom="column">
                <wp:posOffset>-118110</wp:posOffset>
              </wp:positionH>
              <wp:positionV relativeFrom="paragraph">
                <wp:posOffset>73659</wp:posOffset>
              </wp:positionV>
              <wp:extent cx="6066155" cy="0"/>
              <wp:effectExtent l="38100" t="95250" r="86995" b="76200"/>
              <wp:wrapNone/>
              <wp:docPr id="15" name="1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66155" cy="0"/>
                      </a:xfrm>
                      <a:prstGeom prst="line">
                        <a:avLst/>
                      </a:prstGeom>
                      <a:noFill/>
                      <a:ln w="31750" cap="rnd" cmpd="dbl" algn="ctr">
                        <a:solidFill>
                          <a:srgbClr val="4F81BD">
                            <a:shade val="95000"/>
                            <a:satMod val="105000"/>
                          </a:srgbClr>
                        </a:solidFill>
                        <a:prstDash val="solid"/>
                      </a:ln>
                      <a:effectLst>
                        <a:outerShdw blurRad="50800" dist="38100" algn="l" rotWithShape="0">
                          <a:prstClr val="black">
                            <a:alpha val="40000"/>
                          </a:prstClr>
                        </a:outerShdw>
                      </a:effectLst>
                      <a:scene3d>
                        <a:camera prst="orthographicFront"/>
                        <a:lightRig rig="soft" dir="t"/>
                      </a:scene3d>
                      <a:sp3d>
                        <a:bevelT/>
                      </a:sp3d>
                    </wps:spPr>
                    <wps:bodyPr/>
                  </wps:wsp>
                </a:graphicData>
              </a:graphic>
              <wp14:sizeRelH relativeFrom="page">
                <wp14:pctWidth>0</wp14:pctWidth>
              </wp14:sizeRelH>
              <wp14:sizeRelV relativeFrom="page">
                <wp14:pctHeight>0</wp14:pctHeight>
              </wp14:sizeRelV>
            </wp:anchor>
          </w:drawing>
        </mc:Choice>
        <mc:Fallback>
          <w:pict>
            <v:line w14:anchorId="55F718F6" id="15 Conector recto" o:spid="_x0000_s1026" style="position:absolute;z-index:25165721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9.3pt,5.8pt" to="468.3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" strokecolor="#4a7ebb" strokeweight="2.5pt">
              <v:stroke linestyle="thinThin" endcap="round"/>
              <v:shadow on="t" color="black" opacity="26214f" origin="-.5" offset="3pt,0"/>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1" w15:restartNumberingAfterBreak="0">
    <w:nsid w:val="26A716D7"/>
    <w:multiLevelType w:val="hybridMultilevel"/>
    <w:tmpl w:val="D79E76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2AB63197"/>
    <w:multiLevelType w:val="hybridMultilevel"/>
    <w:tmpl w:val="BF780C2E"/>
    <w:lvl w:ilvl="0" w:tplc="2F3A1276">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15:restartNumberingAfterBreak="0">
    <w:nsid w:val="40CC1B53"/>
    <w:multiLevelType w:val="hybridMultilevel"/>
    <w:tmpl w:val="59D6F74E"/>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40E42967"/>
    <w:multiLevelType w:val="multilevel"/>
    <w:tmpl w:val="78609604"/>
    <w:lvl w:ilvl="0">
      <w:start w:val="1"/>
      <w:numFmt w:val="decimal"/>
      <w:lvlText w:val="%1."/>
      <w:lvlJc w:val="left"/>
      <w:pPr>
        <w:ind w:left="785" w:hanging="360"/>
      </w:pPr>
      <w:rPr>
        <w:b/>
        <w:bCs/>
        <w:color w:val="6E6E6E" w:themeColor="accent1" w:themeShade="80"/>
      </w:rPr>
    </w:lvl>
    <w:lvl w:ilvl="1">
      <w:start w:val="1"/>
      <w:numFmt w:val="decimal"/>
      <w:lvlText w:val="%1.%2."/>
      <w:lvlJc w:val="left"/>
      <w:pPr>
        <w:ind w:left="1140" w:hanging="432"/>
      </w:pPr>
      <w:rPr>
        <w:b/>
        <w:bCs/>
        <w:color w:val="auto"/>
      </w:rPr>
    </w:lvl>
    <w:lvl w:ilvl="2">
      <w:start w:val="1"/>
      <w:numFmt w:val="decimal"/>
      <w:lvlText w:val="%1.%2.%3."/>
      <w:lvlJc w:val="left"/>
      <w:pPr>
        <w:ind w:left="1071" w:hanging="504"/>
      </w:pPr>
      <w:rPr>
        <w:color w:val="6E6E6E" w:themeColor="accent1" w:themeShade="80"/>
        <w:sz w:val="24"/>
        <w:szCs w:val="24"/>
      </w:rPr>
    </w:lvl>
    <w:lvl w:ilvl="3">
      <w:start w:val="1"/>
      <w:numFmt w:val="decimal"/>
      <w:lvlText w:val="%1.%2.%3.%4."/>
      <w:lvlJc w:val="left"/>
      <w:pPr>
        <w:ind w:left="1356" w:hanging="648"/>
      </w:pPr>
      <w:rPr>
        <w:b/>
        <w:b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D67270B"/>
    <w:multiLevelType w:val="hybridMultilevel"/>
    <w:tmpl w:val="A79EF2D8"/>
    <w:lvl w:ilvl="0" w:tplc="AE5232D8">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6077077D"/>
    <w:multiLevelType w:val="hybridMultilevel"/>
    <w:tmpl w:val="EC5ABA86"/>
    <w:lvl w:ilvl="0" w:tplc="3F2A815A">
      <w:start w:val="1"/>
      <w:numFmt w:val="upperLetter"/>
      <w:lvlText w:val="%1."/>
      <w:lvlJc w:val="left"/>
      <w:pPr>
        <w:ind w:left="936" w:hanging="360"/>
      </w:pPr>
      <w:rPr>
        <w:rFonts w:hint="default"/>
      </w:rPr>
    </w:lvl>
    <w:lvl w:ilvl="1" w:tplc="100A0019" w:tentative="1">
      <w:start w:val="1"/>
      <w:numFmt w:val="lowerLetter"/>
      <w:lvlText w:val="%2."/>
      <w:lvlJc w:val="left"/>
      <w:pPr>
        <w:ind w:left="1656" w:hanging="360"/>
      </w:pPr>
    </w:lvl>
    <w:lvl w:ilvl="2" w:tplc="100A001B" w:tentative="1">
      <w:start w:val="1"/>
      <w:numFmt w:val="lowerRoman"/>
      <w:lvlText w:val="%3."/>
      <w:lvlJc w:val="right"/>
      <w:pPr>
        <w:ind w:left="2376" w:hanging="180"/>
      </w:pPr>
    </w:lvl>
    <w:lvl w:ilvl="3" w:tplc="100A000F" w:tentative="1">
      <w:start w:val="1"/>
      <w:numFmt w:val="decimal"/>
      <w:lvlText w:val="%4."/>
      <w:lvlJc w:val="left"/>
      <w:pPr>
        <w:ind w:left="3096" w:hanging="360"/>
      </w:pPr>
    </w:lvl>
    <w:lvl w:ilvl="4" w:tplc="100A0019" w:tentative="1">
      <w:start w:val="1"/>
      <w:numFmt w:val="lowerLetter"/>
      <w:lvlText w:val="%5."/>
      <w:lvlJc w:val="left"/>
      <w:pPr>
        <w:ind w:left="3816" w:hanging="360"/>
      </w:pPr>
    </w:lvl>
    <w:lvl w:ilvl="5" w:tplc="100A001B" w:tentative="1">
      <w:start w:val="1"/>
      <w:numFmt w:val="lowerRoman"/>
      <w:lvlText w:val="%6."/>
      <w:lvlJc w:val="right"/>
      <w:pPr>
        <w:ind w:left="4536" w:hanging="180"/>
      </w:pPr>
    </w:lvl>
    <w:lvl w:ilvl="6" w:tplc="100A000F" w:tentative="1">
      <w:start w:val="1"/>
      <w:numFmt w:val="decimal"/>
      <w:lvlText w:val="%7."/>
      <w:lvlJc w:val="left"/>
      <w:pPr>
        <w:ind w:left="5256" w:hanging="360"/>
      </w:pPr>
    </w:lvl>
    <w:lvl w:ilvl="7" w:tplc="100A0019" w:tentative="1">
      <w:start w:val="1"/>
      <w:numFmt w:val="lowerLetter"/>
      <w:lvlText w:val="%8."/>
      <w:lvlJc w:val="left"/>
      <w:pPr>
        <w:ind w:left="5976" w:hanging="360"/>
      </w:pPr>
    </w:lvl>
    <w:lvl w:ilvl="8" w:tplc="100A001B" w:tentative="1">
      <w:start w:val="1"/>
      <w:numFmt w:val="lowerRoman"/>
      <w:lvlText w:val="%9."/>
      <w:lvlJc w:val="right"/>
      <w:pPr>
        <w:ind w:left="6696" w:hanging="180"/>
      </w:pPr>
    </w:lvl>
  </w:abstractNum>
  <w:abstractNum w:abstractNumId="7" w15:restartNumberingAfterBreak="0">
    <w:nsid w:val="63394AB9"/>
    <w:multiLevelType w:val="multilevel"/>
    <w:tmpl w:val="9A3093B6"/>
    <w:lvl w:ilvl="0">
      <w:start w:val="1"/>
      <w:numFmt w:val="upperRoman"/>
      <w:pStyle w:val="Ttulo1"/>
      <w:lvlText w:val="%1."/>
      <w:lvlJc w:val="left"/>
      <w:pPr>
        <w:tabs>
          <w:tab w:val="num" w:pos="142"/>
        </w:tabs>
        <w:ind w:left="574"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8" w15:restartNumberingAfterBreak="0">
    <w:nsid w:val="6D594AEC"/>
    <w:multiLevelType w:val="multilevel"/>
    <w:tmpl w:val="05EA2478"/>
    <w:lvl w:ilvl="0">
      <w:start w:val="1"/>
      <w:numFmt w:val="upperRoman"/>
      <w:lvlText w:val="%1."/>
      <w:lvlJc w:val="left"/>
      <w:pPr>
        <w:tabs>
          <w:tab w:val="num" w:pos="142"/>
        </w:tabs>
        <w:ind w:left="574" w:hanging="432"/>
      </w:pPr>
      <w:rPr>
        <w:rFonts w:hint="default"/>
      </w:rPr>
    </w:lvl>
    <w:lvl w:ilvl="1">
      <w:start w:val="1"/>
      <w:numFmt w:val="upperLetter"/>
      <w:lvlText w:val="%2."/>
      <w:lvlJc w:val="left"/>
      <w:pPr>
        <w:tabs>
          <w:tab w:val="num" w:pos="0"/>
        </w:tabs>
        <w:ind w:left="576" w:hanging="576"/>
      </w:pPr>
      <w:rPr>
        <w:rFonts w:hint="default"/>
        <w:b/>
        <w:i w:val="0"/>
        <w:color w:val="auto"/>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9" w15:restartNumberingAfterBreak="0">
    <w:nsid w:val="7F176EAF"/>
    <w:multiLevelType w:val="multilevel"/>
    <w:tmpl w:val="7E8080E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7"/>
  </w:num>
  <w:num w:numId="2">
    <w:abstractNumId w:val="5"/>
  </w:num>
  <w:num w:numId="3">
    <w:abstractNumId w:val="1"/>
  </w:num>
  <w:num w:numId="4">
    <w:abstractNumId w:val="8"/>
  </w:num>
  <w:num w:numId="5">
    <w:abstractNumId w:val="6"/>
  </w:num>
  <w:num w:numId="6">
    <w:abstractNumId w:val="4"/>
  </w:num>
  <w:num w:numId="7">
    <w:abstractNumId w:val="2"/>
  </w:num>
  <w:num w:numId="8">
    <w:abstractNumId w:val="3"/>
  </w:num>
  <w:num w:numId="9">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8F6"/>
    <w:rsid w:val="00000271"/>
    <w:rsid w:val="00001501"/>
    <w:rsid w:val="000017DD"/>
    <w:rsid w:val="00001941"/>
    <w:rsid w:val="00001CA7"/>
    <w:rsid w:val="00001D79"/>
    <w:rsid w:val="00001F68"/>
    <w:rsid w:val="000026A6"/>
    <w:rsid w:val="00002C71"/>
    <w:rsid w:val="00002F20"/>
    <w:rsid w:val="00005564"/>
    <w:rsid w:val="00006C7E"/>
    <w:rsid w:val="00007971"/>
    <w:rsid w:val="000104A2"/>
    <w:rsid w:val="00011436"/>
    <w:rsid w:val="00011C9C"/>
    <w:rsid w:val="000134B5"/>
    <w:rsid w:val="000157AE"/>
    <w:rsid w:val="000166C1"/>
    <w:rsid w:val="00017B3B"/>
    <w:rsid w:val="00021644"/>
    <w:rsid w:val="000216AB"/>
    <w:rsid w:val="000221D5"/>
    <w:rsid w:val="000242C7"/>
    <w:rsid w:val="000249ED"/>
    <w:rsid w:val="00025284"/>
    <w:rsid w:val="00025E2C"/>
    <w:rsid w:val="000270F6"/>
    <w:rsid w:val="0002790C"/>
    <w:rsid w:val="00030777"/>
    <w:rsid w:val="000335A6"/>
    <w:rsid w:val="000339BE"/>
    <w:rsid w:val="00034967"/>
    <w:rsid w:val="0003552B"/>
    <w:rsid w:val="000355C0"/>
    <w:rsid w:val="000357B1"/>
    <w:rsid w:val="00036623"/>
    <w:rsid w:val="00036E4C"/>
    <w:rsid w:val="0003764E"/>
    <w:rsid w:val="00041492"/>
    <w:rsid w:val="000417AF"/>
    <w:rsid w:val="000420E4"/>
    <w:rsid w:val="00042B41"/>
    <w:rsid w:val="0004318A"/>
    <w:rsid w:val="00046E3F"/>
    <w:rsid w:val="00047128"/>
    <w:rsid w:val="00047418"/>
    <w:rsid w:val="00050464"/>
    <w:rsid w:val="00050D2F"/>
    <w:rsid w:val="000510F7"/>
    <w:rsid w:val="000514DA"/>
    <w:rsid w:val="000515DC"/>
    <w:rsid w:val="000520A7"/>
    <w:rsid w:val="00052900"/>
    <w:rsid w:val="00053106"/>
    <w:rsid w:val="00053B04"/>
    <w:rsid w:val="0005403E"/>
    <w:rsid w:val="000541ED"/>
    <w:rsid w:val="000562A1"/>
    <w:rsid w:val="0005699A"/>
    <w:rsid w:val="00057F62"/>
    <w:rsid w:val="000621A0"/>
    <w:rsid w:val="00062367"/>
    <w:rsid w:val="00062ADB"/>
    <w:rsid w:val="0006319B"/>
    <w:rsid w:val="00065E12"/>
    <w:rsid w:val="00067496"/>
    <w:rsid w:val="00067EA3"/>
    <w:rsid w:val="000704E3"/>
    <w:rsid w:val="00071A03"/>
    <w:rsid w:val="00071D18"/>
    <w:rsid w:val="00073C9A"/>
    <w:rsid w:val="00073CB5"/>
    <w:rsid w:val="00074FC7"/>
    <w:rsid w:val="000753F2"/>
    <w:rsid w:val="000763E5"/>
    <w:rsid w:val="00076496"/>
    <w:rsid w:val="000775C1"/>
    <w:rsid w:val="00077FDD"/>
    <w:rsid w:val="00080461"/>
    <w:rsid w:val="00080C04"/>
    <w:rsid w:val="00080D50"/>
    <w:rsid w:val="000817BB"/>
    <w:rsid w:val="000836BE"/>
    <w:rsid w:val="00084505"/>
    <w:rsid w:val="000854CD"/>
    <w:rsid w:val="00085B6E"/>
    <w:rsid w:val="00085EBA"/>
    <w:rsid w:val="0008753F"/>
    <w:rsid w:val="00087544"/>
    <w:rsid w:val="00087634"/>
    <w:rsid w:val="00090253"/>
    <w:rsid w:val="0009394B"/>
    <w:rsid w:val="00093969"/>
    <w:rsid w:val="00093ABA"/>
    <w:rsid w:val="00094BD4"/>
    <w:rsid w:val="00095237"/>
    <w:rsid w:val="00095E08"/>
    <w:rsid w:val="000967ED"/>
    <w:rsid w:val="00096966"/>
    <w:rsid w:val="00096BA7"/>
    <w:rsid w:val="000975B9"/>
    <w:rsid w:val="000A0AA2"/>
    <w:rsid w:val="000A1423"/>
    <w:rsid w:val="000A2F7E"/>
    <w:rsid w:val="000A3371"/>
    <w:rsid w:val="000A36B5"/>
    <w:rsid w:val="000A3EE5"/>
    <w:rsid w:val="000A4396"/>
    <w:rsid w:val="000A54A7"/>
    <w:rsid w:val="000A698B"/>
    <w:rsid w:val="000A6D5E"/>
    <w:rsid w:val="000B006C"/>
    <w:rsid w:val="000B0E01"/>
    <w:rsid w:val="000B3701"/>
    <w:rsid w:val="000B4F22"/>
    <w:rsid w:val="000B550C"/>
    <w:rsid w:val="000B60B9"/>
    <w:rsid w:val="000B6691"/>
    <w:rsid w:val="000B7AA2"/>
    <w:rsid w:val="000C0344"/>
    <w:rsid w:val="000C0F1D"/>
    <w:rsid w:val="000C1014"/>
    <w:rsid w:val="000C10F8"/>
    <w:rsid w:val="000C1A25"/>
    <w:rsid w:val="000C1A68"/>
    <w:rsid w:val="000C1D4D"/>
    <w:rsid w:val="000C279B"/>
    <w:rsid w:val="000C29D6"/>
    <w:rsid w:val="000C2A92"/>
    <w:rsid w:val="000C37EA"/>
    <w:rsid w:val="000C3FEC"/>
    <w:rsid w:val="000C40AC"/>
    <w:rsid w:val="000C4AD7"/>
    <w:rsid w:val="000C4D67"/>
    <w:rsid w:val="000C53BE"/>
    <w:rsid w:val="000C6E8D"/>
    <w:rsid w:val="000C75FE"/>
    <w:rsid w:val="000D0A1C"/>
    <w:rsid w:val="000D10F4"/>
    <w:rsid w:val="000D110E"/>
    <w:rsid w:val="000D1BCB"/>
    <w:rsid w:val="000D2458"/>
    <w:rsid w:val="000D281B"/>
    <w:rsid w:val="000D2F14"/>
    <w:rsid w:val="000D3BEF"/>
    <w:rsid w:val="000D4A27"/>
    <w:rsid w:val="000D54D4"/>
    <w:rsid w:val="000D55A3"/>
    <w:rsid w:val="000D5D6E"/>
    <w:rsid w:val="000D65AA"/>
    <w:rsid w:val="000D66BE"/>
    <w:rsid w:val="000D6F31"/>
    <w:rsid w:val="000D7E66"/>
    <w:rsid w:val="000E0470"/>
    <w:rsid w:val="000E09CA"/>
    <w:rsid w:val="000E1F0E"/>
    <w:rsid w:val="000E2190"/>
    <w:rsid w:val="000E296B"/>
    <w:rsid w:val="000E340D"/>
    <w:rsid w:val="000E34DD"/>
    <w:rsid w:val="000E3B67"/>
    <w:rsid w:val="000E3F15"/>
    <w:rsid w:val="000E43D0"/>
    <w:rsid w:val="000E448D"/>
    <w:rsid w:val="000E4B70"/>
    <w:rsid w:val="000E4F2D"/>
    <w:rsid w:val="000E5EFC"/>
    <w:rsid w:val="000E6666"/>
    <w:rsid w:val="000E67E2"/>
    <w:rsid w:val="000E695D"/>
    <w:rsid w:val="000E7D80"/>
    <w:rsid w:val="000F0CC7"/>
    <w:rsid w:val="000F1729"/>
    <w:rsid w:val="000F274D"/>
    <w:rsid w:val="000F304B"/>
    <w:rsid w:val="000F31D3"/>
    <w:rsid w:val="000F3888"/>
    <w:rsid w:val="000F476E"/>
    <w:rsid w:val="000F61DA"/>
    <w:rsid w:val="000F6870"/>
    <w:rsid w:val="000F7C84"/>
    <w:rsid w:val="00100FA2"/>
    <w:rsid w:val="00102469"/>
    <w:rsid w:val="001038B1"/>
    <w:rsid w:val="00104954"/>
    <w:rsid w:val="001050B3"/>
    <w:rsid w:val="00105181"/>
    <w:rsid w:val="00105EE8"/>
    <w:rsid w:val="00106CF0"/>
    <w:rsid w:val="0011418E"/>
    <w:rsid w:val="001156FE"/>
    <w:rsid w:val="0011619F"/>
    <w:rsid w:val="0011651D"/>
    <w:rsid w:val="00116FE3"/>
    <w:rsid w:val="001171D9"/>
    <w:rsid w:val="00117227"/>
    <w:rsid w:val="00117403"/>
    <w:rsid w:val="00120B63"/>
    <w:rsid w:val="001227FE"/>
    <w:rsid w:val="00123324"/>
    <w:rsid w:val="0012373F"/>
    <w:rsid w:val="00124E70"/>
    <w:rsid w:val="00125647"/>
    <w:rsid w:val="001261B0"/>
    <w:rsid w:val="00126FA0"/>
    <w:rsid w:val="00126FB8"/>
    <w:rsid w:val="00130067"/>
    <w:rsid w:val="00130D51"/>
    <w:rsid w:val="00131277"/>
    <w:rsid w:val="00131323"/>
    <w:rsid w:val="00131BC0"/>
    <w:rsid w:val="00133286"/>
    <w:rsid w:val="001335CF"/>
    <w:rsid w:val="001339AA"/>
    <w:rsid w:val="0013481E"/>
    <w:rsid w:val="00135CD5"/>
    <w:rsid w:val="00136B62"/>
    <w:rsid w:val="00136F4B"/>
    <w:rsid w:val="00137200"/>
    <w:rsid w:val="00137A9C"/>
    <w:rsid w:val="0014061E"/>
    <w:rsid w:val="00141635"/>
    <w:rsid w:val="00142A1E"/>
    <w:rsid w:val="001432F1"/>
    <w:rsid w:val="0014364E"/>
    <w:rsid w:val="0014365E"/>
    <w:rsid w:val="001442F5"/>
    <w:rsid w:val="00146284"/>
    <w:rsid w:val="00147391"/>
    <w:rsid w:val="001473BD"/>
    <w:rsid w:val="00150099"/>
    <w:rsid w:val="001511EB"/>
    <w:rsid w:val="001513BF"/>
    <w:rsid w:val="00152A09"/>
    <w:rsid w:val="00153337"/>
    <w:rsid w:val="00153867"/>
    <w:rsid w:val="00153C4F"/>
    <w:rsid w:val="001541E0"/>
    <w:rsid w:val="00155D0D"/>
    <w:rsid w:val="00157E8E"/>
    <w:rsid w:val="00157F62"/>
    <w:rsid w:val="00160059"/>
    <w:rsid w:val="001601B9"/>
    <w:rsid w:val="00160835"/>
    <w:rsid w:val="00160A89"/>
    <w:rsid w:val="001611FC"/>
    <w:rsid w:val="00163055"/>
    <w:rsid w:val="00163A5E"/>
    <w:rsid w:val="00164BE7"/>
    <w:rsid w:val="00164C3E"/>
    <w:rsid w:val="0016516D"/>
    <w:rsid w:val="001667EB"/>
    <w:rsid w:val="001674D6"/>
    <w:rsid w:val="00167975"/>
    <w:rsid w:val="00170963"/>
    <w:rsid w:val="00170E9E"/>
    <w:rsid w:val="00171991"/>
    <w:rsid w:val="00171BA9"/>
    <w:rsid w:val="001721E2"/>
    <w:rsid w:val="00172283"/>
    <w:rsid w:val="00173EAE"/>
    <w:rsid w:val="001749CE"/>
    <w:rsid w:val="0017533C"/>
    <w:rsid w:val="0017542C"/>
    <w:rsid w:val="00175453"/>
    <w:rsid w:val="001756B5"/>
    <w:rsid w:val="00175C23"/>
    <w:rsid w:val="0018006E"/>
    <w:rsid w:val="00180854"/>
    <w:rsid w:val="00180A0E"/>
    <w:rsid w:val="00181958"/>
    <w:rsid w:val="00181FA1"/>
    <w:rsid w:val="00182317"/>
    <w:rsid w:val="001829A5"/>
    <w:rsid w:val="00182E50"/>
    <w:rsid w:val="001843DB"/>
    <w:rsid w:val="001879A9"/>
    <w:rsid w:val="00187E1E"/>
    <w:rsid w:val="0019039C"/>
    <w:rsid w:val="00190E02"/>
    <w:rsid w:val="00191216"/>
    <w:rsid w:val="0019180E"/>
    <w:rsid w:val="00191AE8"/>
    <w:rsid w:val="0019245D"/>
    <w:rsid w:val="001924AD"/>
    <w:rsid w:val="00193D2C"/>
    <w:rsid w:val="00193E06"/>
    <w:rsid w:val="00194D4C"/>
    <w:rsid w:val="00195D8B"/>
    <w:rsid w:val="001966ED"/>
    <w:rsid w:val="001A137C"/>
    <w:rsid w:val="001A2E58"/>
    <w:rsid w:val="001A50D4"/>
    <w:rsid w:val="001A5C6B"/>
    <w:rsid w:val="001A613A"/>
    <w:rsid w:val="001A6D78"/>
    <w:rsid w:val="001B07B2"/>
    <w:rsid w:val="001B2234"/>
    <w:rsid w:val="001B29D7"/>
    <w:rsid w:val="001B39E9"/>
    <w:rsid w:val="001B3ED0"/>
    <w:rsid w:val="001B4259"/>
    <w:rsid w:val="001B4C14"/>
    <w:rsid w:val="001B4D3D"/>
    <w:rsid w:val="001B5A69"/>
    <w:rsid w:val="001B656E"/>
    <w:rsid w:val="001B69BD"/>
    <w:rsid w:val="001B713E"/>
    <w:rsid w:val="001B7DD0"/>
    <w:rsid w:val="001C02EF"/>
    <w:rsid w:val="001C1168"/>
    <w:rsid w:val="001C2713"/>
    <w:rsid w:val="001C2DAF"/>
    <w:rsid w:val="001C4C02"/>
    <w:rsid w:val="001C5216"/>
    <w:rsid w:val="001C56FE"/>
    <w:rsid w:val="001C6241"/>
    <w:rsid w:val="001C78D8"/>
    <w:rsid w:val="001C795D"/>
    <w:rsid w:val="001C7CA7"/>
    <w:rsid w:val="001C7CDF"/>
    <w:rsid w:val="001D0B47"/>
    <w:rsid w:val="001D0B5B"/>
    <w:rsid w:val="001D2E72"/>
    <w:rsid w:val="001D360A"/>
    <w:rsid w:val="001D4677"/>
    <w:rsid w:val="001D5C00"/>
    <w:rsid w:val="001D5D2B"/>
    <w:rsid w:val="001D7324"/>
    <w:rsid w:val="001D7DFC"/>
    <w:rsid w:val="001E02BB"/>
    <w:rsid w:val="001E1597"/>
    <w:rsid w:val="001E1723"/>
    <w:rsid w:val="001E1E63"/>
    <w:rsid w:val="001E22DF"/>
    <w:rsid w:val="001E2790"/>
    <w:rsid w:val="001E28A0"/>
    <w:rsid w:val="001E2EE5"/>
    <w:rsid w:val="001E2F96"/>
    <w:rsid w:val="001E34D3"/>
    <w:rsid w:val="001E3DB7"/>
    <w:rsid w:val="001E579E"/>
    <w:rsid w:val="001E5ABB"/>
    <w:rsid w:val="001E6DEE"/>
    <w:rsid w:val="001E77E9"/>
    <w:rsid w:val="001F0BC8"/>
    <w:rsid w:val="001F107D"/>
    <w:rsid w:val="001F13DC"/>
    <w:rsid w:val="001F1513"/>
    <w:rsid w:val="001F22BB"/>
    <w:rsid w:val="001F2900"/>
    <w:rsid w:val="001F2A2B"/>
    <w:rsid w:val="001F3E92"/>
    <w:rsid w:val="001F5849"/>
    <w:rsid w:val="001F58C5"/>
    <w:rsid w:val="001F5C25"/>
    <w:rsid w:val="001F73C3"/>
    <w:rsid w:val="001F74FB"/>
    <w:rsid w:val="002029C9"/>
    <w:rsid w:val="00203B17"/>
    <w:rsid w:val="002041A8"/>
    <w:rsid w:val="00204263"/>
    <w:rsid w:val="00204CE1"/>
    <w:rsid w:val="00205BBD"/>
    <w:rsid w:val="002068CC"/>
    <w:rsid w:val="00206BE7"/>
    <w:rsid w:val="00207A28"/>
    <w:rsid w:val="002108E0"/>
    <w:rsid w:val="00212835"/>
    <w:rsid w:val="002139A8"/>
    <w:rsid w:val="00214988"/>
    <w:rsid w:val="00215592"/>
    <w:rsid w:val="002155B8"/>
    <w:rsid w:val="0021580A"/>
    <w:rsid w:val="0021669B"/>
    <w:rsid w:val="00216895"/>
    <w:rsid w:val="00216E8D"/>
    <w:rsid w:val="00216EFF"/>
    <w:rsid w:val="002207EF"/>
    <w:rsid w:val="002213F6"/>
    <w:rsid w:val="002215DA"/>
    <w:rsid w:val="00221D8E"/>
    <w:rsid w:val="00221E17"/>
    <w:rsid w:val="00222913"/>
    <w:rsid w:val="002239F6"/>
    <w:rsid w:val="00225320"/>
    <w:rsid w:val="00226155"/>
    <w:rsid w:val="0022647B"/>
    <w:rsid w:val="00226658"/>
    <w:rsid w:val="00226FB9"/>
    <w:rsid w:val="00227905"/>
    <w:rsid w:val="00227CBB"/>
    <w:rsid w:val="0023230B"/>
    <w:rsid w:val="002339F0"/>
    <w:rsid w:val="00235E44"/>
    <w:rsid w:val="00235F29"/>
    <w:rsid w:val="00236E50"/>
    <w:rsid w:val="002403F9"/>
    <w:rsid w:val="00240A8C"/>
    <w:rsid w:val="00240C29"/>
    <w:rsid w:val="0024119E"/>
    <w:rsid w:val="002414D8"/>
    <w:rsid w:val="00241ECD"/>
    <w:rsid w:val="002429BC"/>
    <w:rsid w:val="00242C14"/>
    <w:rsid w:val="00242EE2"/>
    <w:rsid w:val="00243EA4"/>
    <w:rsid w:val="00244244"/>
    <w:rsid w:val="0024636C"/>
    <w:rsid w:val="00246614"/>
    <w:rsid w:val="00246B8D"/>
    <w:rsid w:val="00250267"/>
    <w:rsid w:val="00250478"/>
    <w:rsid w:val="00250BE9"/>
    <w:rsid w:val="0025124D"/>
    <w:rsid w:val="00251639"/>
    <w:rsid w:val="0025165B"/>
    <w:rsid w:val="002518AE"/>
    <w:rsid w:val="00251E1C"/>
    <w:rsid w:val="00253236"/>
    <w:rsid w:val="00253654"/>
    <w:rsid w:val="00253EAE"/>
    <w:rsid w:val="00254602"/>
    <w:rsid w:val="00255AF8"/>
    <w:rsid w:val="00256FA8"/>
    <w:rsid w:val="0025776C"/>
    <w:rsid w:val="00257A94"/>
    <w:rsid w:val="00260546"/>
    <w:rsid w:val="00261A60"/>
    <w:rsid w:val="00261D9E"/>
    <w:rsid w:val="00263435"/>
    <w:rsid w:val="00263C1E"/>
    <w:rsid w:val="00264910"/>
    <w:rsid w:val="00265D05"/>
    <w:rsid w:val="00265DA8"/>
    <w:rsid w:val="00267872"/>
    <w:rsid w:val="002701B9"/>
    <w:rsid w:val="00273A93"/>
    <w:rsid w:val="00273ECB"/>
    <w:rsid w:val="0027470A"/>
    <w:rsid w:val="00274AF0"/>
    <w:rsid w:val="00274F39"/>
    <w:rsid w:val="00275623"/>
    <w:rsid w:val="00276DE0"/>
    <w:rsid w:val="00281CB5"/>
    <w:rsid w:val="00281FCD"/>
    <w:rsid w:val="00284A00"/>
    <w:rsid w:val="0028530C"/>
    <w:rsid w:val="002861B8"/>
    <w:rsid w:val="00286A67"/>
    <w:rsid w:val="00286C0A"/>
    <w:rsid w:val="00287473"/>
    <w:rsid w:val="00287D56"/>
    <w:rsid w:val="00287F49"/>
    <w:rsid w:val="002906B2"/>
    <w:rsid w:val="00292D4F"/>
    <w:rsid w:val="00292F2F"/>
    <w:rsid w:val="0029379A"/>
    <w:rsid w:val="00293C23"/>
    <w:rsid w:val="00294F1B"/>
    <w:rsid w:val="00295F6D"/>
    <w:rsid w:val="0029692B"/>
    <w:rsid w:val="00296BB6"/>
    <w:rsid w:val="002978A7"/>
    <w:rsid w:val="00297931"/>
    <w:rsid w:val="002A0B27"/>
    <w:rsid w:val="002A3247"/>
    <w:rsid w:val="002A46ED"/>
    <w:rsid w:val="002A57FD"/>
    <w:rsid w:val="002A5E8F"/>
    <w:rsid w:val="002A6F3B"/>
    <w:rsid w:val="002B005D"/>
    <w:rsid w:val="002B1785"/>
    <w:rsid w:val="002B2326"/>
    <w:rsid w:val="002B2A41"/>
    <w:rsid w:val="002B303B"/>
    <w:rsid w:val="002B3F43"/>
    <w:rsid w:val="002B44C0"/>
    <w:rsid w:val="002B46C1"/>
    <w:rsid w:val="002B5EF3"/>
    <w:rsid w:val="002B62DF"/>
    <w:rsid w:val="002B7181"/>
    <w:rsid w:val="002B7618"/>
    <w:rsid w:val="002C169B"/>
    <w:rsid w:val="002C3219"/>
    <w:rsid w:val="002C3647"/>
    <w:rsid w:val="002C3AB7"/>
    <w:rsid w:val="002C3D99"/>
    <w:rsid w:val="002C49BF"/>
    <w:rsid w:val="002C5E93"/>
    <w:rsid w:val="002C6B76"/>
    <w:rsid w:val="002C7DD6"/>
    <w:rsid w:val="002D2C3A"/>
    <w:rsid w:val="002D76B6"/>
    <w:rsid w:val="002D786C"/>
    <w:rsid w:val="002E073E"/>
    <w:rsid w:val="002E0D7D"/>
    <w:rsid w:val="002E1458"/>
    <w:rsid w:val="002E21A2"/>
    <w:rsid w:val="002E265C"/>
    <w:rsid w:val="002E2D91"/>
    <w:rsid w:val="002E31F9"/>
    <w:rsid w:val="002E3253"/>
    <w:rsid w:val="002E5B6B"/>
    <w:rsid w:val="002F0580"/>
    <w:rsid w:val="002F3446"/>
    <w:rsid w:val="002F3B68"/>
    <w:rsid w:val="002F4175"/>
    <w:rsid w:val="002F4543"/>
    <w:rsid w:val="002F5528"/>
    <w:rsid w:val="002F6FCC"/>
    <w:rsid w:val="002F7293"/>
    <w:rsid w:val="002F747D"/>
    <w:rsid w:val="002F7B4A"/>
    <w:rsid w:val="003007C7"/>
    <w:rsid w:val="00300FD8"/>
    <w:rsid w:val="00302458"/>
    <w:rsid w:val="003024D7"/>
    <w:rsid w:val="003031DB"/>
    <w:rsid w:val="00303437"/>
    <w:rsid w:val="00304A90"/>
    <w:rsid w:val="00307204"/>
    <w:rsid w:val="003075D1"/>
    <w:rsid w:val="00307AFF"/>
    <w:rsid w:val="00310AC7"/>
    <w:rsid w:val="003115D1"/>
    <w:rsid w:val="003115F3"/>
    <w:rsid w:val="00312D01"/>
    <w:rsid w:val="00312EB0"/>
    <w:rsid w:val="003132DD"/>
    <w:rsid w:val="00314F6E"/>
    <w:rsid w:val="00315303"/>
    <w:rsid w:val="00315A90"/>
    <w:rsid w:val="003162F2"/>
    <w:rsid w:val="003163CB"/>
    <w:rsid w:val="00316541"/>
    <w:rsid w:val="00316581"/>
    <w:rsid w:val="003211CD"/>
    <w:rsid w:val="00321356"/>
    <w:rsid w:val="00321934"/>
    <w:rsid w:val="00321F48"/>
    <w:rsid w:val="00322B9E"/>
    <w:rsid w:val="00324198"/>
    <w:rsid w:val="00324A91"/>
    <w:rsid w:val="00324F07"/>
    <w:rsid w:val="0032643F"/>
    <w:rsid w:val="003274F7"/>
    <w:rsid w:val="0033026A"/>
    <w:rsid w:val="003303A3"/>
    <w:rsid w:val="00330A02"/>
    <w:rsid w:val="00332708"/>
    <w:rsid w:val="003335DD"/>
    <w:rsid w:val="003338E4"/>
    <w:rsid w:val="00333AB5"/>
    <w:rsid w:val="003350FF"/>
    <w:rsid w:val="003365B1"/>
    <w:rsid w:val="003378C7"/>
    <w:rsid w:val="00337FB4"/>
    <w:rsid w:val="00340800"/>
    <w:rsid w:val="003417EC"/>
    <w:rsid w:val="00341E49"/>
    <w:rsid w:val="0034304B"/>
    <w:rsid w:val="0034314F"/>
    <w:rsid w:val="003438B7"/>
    <w:rsid w:val="00343CFB"/>
    <w:rsid w:val="00343FF3"/>
    <w:rsid w:val="00344C28"/>
    <w:rsid w:val="00344D61"/>
    <w:rsid w:val="00344EB7"/>
    <w:rsid w:val="00347C7E"/>
    <w:rsid w:val="00347FB7"/>
    <w:rsid w:val="00350285"/>
    <w:rsid w:val="00350C28"/>
    <w:rsid w:val="00351989"/>
    <w:rsid w:val="00351F24"/>
    <w:rsid w:val="00352B41"/>
    <w:rsid w:val="00352DE7"/>
    <w:rsid w:val="00352FA1"/>
    <w:rsid w:val="0035381E"/>
    <w:rsid w:val="00355326"/>
    <w:rsid w:val="00355A7A"/>
    <w:rsid w:val="00355C28"/>
    <w:rsid w:val="003563D1"/>
    <w:rsid w:val="00356BF7"/>
    <w:rsid w:val="00356E86"/>
    <w:rsid w:val="00356F12"/>
    <w:rsid w:val="0035762A"/>
    <w:rsid w:val="00360013"/>
    <w:rsid w:val="003608EE"/>
    <w:rsid w:val="00361AE8"/>
    <w:rsid w:val="003637E9"/>
    <w:rsid w:val="00363B6B"/>
    <w:rsid w:val="00363F31"/>
    <w:rsid w:val="00364A3A"/>
    <w:rsid w:val="00364B64"/>
    <w:rsid w:val="00365061"/>
    <w:rsid w:val="00365474"/>
    <w:rsid w:val="003662BA"/>
    <w:rsid w:val="0036693C"/>
    <w:rsid w:val="003679D2"/>
    <w:rsid w:val="0037364C"/>
    <w:rsid w:val="00375355"/>
    <w:rsid w:val="00375658"/>
    <w:rsid w:val="00375966"/>
    <w:rsid w:val="00375F88"/>
    <w:rsid w:val="003763AF"/>
    <w:rsid w:val="003764D0"/>
    <w:rsid w:val="00377DD9"/>
    <w:rsid w:val="00380CCC"/>
    <w:rsid w:val="00381D8B"/>
    <w:rsid w:val="0038239E"/>
    <w:rsid w:val="00382593"/>
    <w:rsid w:val="0038332D"/>
    <w:rsid w:val="003834B3"/>
    <w:rsid w:val="00383710"/>
    <w:rsid w:val="00383CA7"/>
    <w:rsid w:val="00384199"/>
    <w:rsid w:val="00385AA1"/>
    <w:rsid w:val="003875CB"/>
    <w:rsid w:val="003876C7"/>
    <w:rsid w:val="00387912"/>
    <w:rsid w:val="00387CCA"/>
    <w:rsid w:val="00390CD1"/>
    <w:rsid w:val="00390D05"/>
    <w:rsid w:val="00391CED"/>
    <w:rsid w:val="00393182"/>
    <w:rsid w:val="003931AC"/>
    <w:rsid w:val="003937AC"/>
    <w:rsid w:val="00394801"/>
    <w:rsid w:val="00395AB6"/>
    <w:rsid w:val="00395D72"/>
    <w:rsid w:val="003962E6"/>
    <w:rsid w:val="003972BF"/>
    <w:rsid w:val="00397336"/>
    <w:rsid w:val="003A0258"/>
    <w:rsid w:val="003A0FF5"/>
    <w:rsid w:val="003A1CAD"/>
    <w:rsid w:val="003A380E"/>
    <w:rsid w:val="003A3DE7"/>
    <w:rsid w:val="003A495E"/>
    <w:rsid w:val="003A5ECB"/>
    <w:rsid w:val="003A7822"/>
    <w:rsid w:val="003B0D27"/>
    <w:rsid w:val="003B0F2C"/>
    <w:rsid w:val="003B1ED3"/>
    <w:rsid w:val="003B2455"/>
    <w:rsid w:val="003B2C58"/>
    <w:rsid w:val="003B2D0D"/>
    <w:rsid w:val="003B2D1B"/>
    <w:rsid w:val="003B2ED8"/>
    <w:rsid w:val="003B3299"/>
    <w:rsid w:val="003B56A1"/>
    <w:rsid w:val="003B647D"/>
    <w:rsid w:val="003B686B"/>
    <w:rsid w:val="003B6CB5"/>
    <w:rsid w:val="003C033C"/>
    <w:rsid w:val="003C0489"/>
    <w:rsid w:val="003C0613"/>
    <w:rsid w:val="003C0AC8"/>
    <w:rsid w:val="003C1260"/>
    <w:rsid w:val="003C1FEE"/>
    <w:rsid w:val="003C332C"/>
    <w:rsid w:val="003C37FA"/>
    <w:rsid w:val="003C4357"/>
    <w:rsid w:val="003C7D41"/>
    <w:rsid w:val="003D0EE1"/>
    <w:rsid w:val="003D2115"/>
    <w:rsid w:val="003D22CD"/>
    <w:rsid w:val="003D22EF"/>
    <w:rsid w:val="003D3E10"/>
    <w:rsid w:val="003E1D05"/>
    <w:rsid w:val="003E29A3"/>
    <w:rsid w:val="003E35B2"/>
    <w:rsid w:val="003E3EB2"/>
    <w:rsid w:val="003E47E0"/>
    <w:rsid w:val="003E5764"/>
    <w:rsid w:val="003E5A4E"/>
    <w:rsid w:val="003E6882"/>
    <w:rsid w:val="003F24AC"/>
    <w:rsid w:val="003F2B7F"/>
    <w:rsid w:val="003F3041"/>
    <w:rsid w:val="003F4BAA"/>
    <w:rsid w:val="003F4D2D"/>
    <w:rsid w:val="003F4E01"/>
    <w:rsid w:val="003F6097"/>
    <w:rsid w:val="003F693D"/>
    <w:rsid w:val="003F75FE"/>
    <w:rsid w:val="00400A48"/>
    <w:rsid w:val="00401389"/>
    <w:rsid w:val="004015E2"/>
    <w:rsid w:val="00401886"/>
    <w:rsid w:val="0040215E"/>
    <w:rsid w:val="00404906"/>
    <w:rsid w:val="00404E7B"/>
    <w:rsid w:val="00406C70"/>
    <w:rsid w:val="00406CD9"/>
    <w:rsid w:val="00410274"/>
    <w:rsid w:val="00410810"/>
    <w:rsid w:val="0041158A"/>
    <w:rsid w:val="004130F6"/>
    <w:rsid w:val="004142C9"/>
    <w:rsid w:val="00414EF8"/>
    <w:rsid w:val="00415127"/>
    <w:rsid w:val="004152EF"/>
    <w:rsid w:val="00416DF2"/>
    <w:rsid w:val="00416E34"/>
    <w:rsid w:val="00416F2B"/>
    <w:rsid w:val="00417E4F"/>
    <w:rsid w:val="00422BEE"/>
    <w:rsid w:val="00422D9F"/>
    <w:rsid w:val="0042309B"/>
    <w:rsid w:val="0042346E"/>
    <w:rsid w:val="004239DE"/>
    <w:rsid w:val="004251D6"/>
    <w:rsid w:val="0042740C"/>
    <w:rsid w:val="004277FE"/>
    <w:rsid w:val="00427C9F"/>
    <w:rsid w:val="004304DD"/>
    <w:rsid w:val="00430CB0"/>
    <w:rsid w:val="004312A9"/>
    <w:rsid w:val="004329A4"/>
    <w:rsid w:val="004337DE"/>
    <w:rsid w:val="00433ED8"/>
    <w:rsid w:val="004346F1"/>
    <w:rsid w:val="00434D1D"/>
    <w:rsid w:val="00435708"/>
    <w:rsid w:val="004359F2"/>
    <w:rsid w:val="00435DAF"/>
    <w:rsid w:val="004370DA"/>
    <w:rsid w:val="00437110"/>
    <w:rsid w:val="004375AB"/>
    <w:rsid w:val="004400C6"/>
    <w:rsid w:val="00441836"/>
    <w:rsid w:val="00441F4D"/>
    <w:rsid w:val="00442314"/>
    <w:rsid w:val="0044314A"/>
    <w:rsid w:val="004440F1"/>
    <w:rsid w:val="00444AFC"/>
    <w:rsid w:val="00444FB7"/>
    <w:rsid w:val="004451F6"/>
    <w:rsid w:val="00445350"/>
    <w:rsid w:val="00446DA9"/>
    <w:rsid w:val="0044702D"/>
    <w:rsid w:val="004502D3"/>
    <w:rsid w:val="00450674"/>
    <w:rsid w:val="00450B86"/>
    <w:rsid w:val="00451BC5"/>
    <w:rsid w:val="00452325"/>
    <w:rsid w:val="00452D65"/>
    <w:rsid w:val="0045333F"/>
    <w:rsid w:val="00453502"/>
    <w:rsid w:val="00454B60"/>
    <w:rsid w:val="00455AA7"/>
    <w:rsid w:val="00457A70"/>
    <w:rsid w:val="00457F1E"/>
    <w:rsid w:val="004604F4"/>
    <w:rsid w:val="00460764"/>
    <w:rsid w:val="00460A54"/>
    <w:rsid w:val="00460B46"/>
    <w:rsid w:val="004617E0"/>
    <w:rsid w:val="00461936"/>
    <w:rsid w:val="0046447D"/>
    <w:rsid w:val="004648D4"/>
    <w:rsid w:val="00464AEB"/>
    <w:rsid w:val="00465E99"/>
    <w:rsid w:val="004663C0"/>
    <w:rsid w:val="00466F08"/>
    <w:rsid w:val="00467ED3"/>
    <w:rsid w:val="0047114B"/>
    <w:rsid w:val="00471408"/>
    <w:rsid w:val="00471AEC"/>
    <w:rsid w:val="004720E6"/>
    <w:rsid w:val="0047254C"/>
    <w:rsid w:val="00472614"/>
    <w:rsid w:val="00472764"/>
    <w:rsid w:val="004734DA"/>
    <w:rsid w:val="004739DD"/>
    <w:rsid w:val="004740AE"/>
    <w:rsid w:val="00475459"/>
    <w:rsid w:val="00476016"/>
    <w:rsid w:val="00476BC7"/>
    <w:rsid w:val="00477F6F"/>
    <w:rsid w:val="0048016A"/>
    <w:rsid w:val="004809DC"/>
    <w:rsid w:val="00481687"/>
    <w:rsid w:val="00482A22"/>
    <w:rsid w:val="00482D7C"/>
    <w:rsid w:val="00483CD5"/>
    <w:rsid w:val="00484063"/>
    <w:rsid w:val="00484985"/>
    <w:rsid w:val="0048768D"/>
    <w:rsid w:val="0048782C"/>
    <w:rsid w:val="00487A81"/>
    <w:rsid w:val="004907E9"/>
    <w:rsid w:val="00490B49"/>
    <w:rsid w:val="0049117B"/>
    <w:rsid w:val="0049128E"/>
    <w:rsid w:val="00491795"/>
    <w:rsid w:val="00491C02"/>
    <w:rsid w:val="00491F04"/>
    <w:rsid w:val="0049333C"/>
    <w:rsid w:val="00494EE3"/>
    <w:rsid w:val="00497B1C"/>
    <w:rsid w:val="00497B54"/>
    <w:rsid w:val="00497C90"/>
    <w:rsid w:val="004A0174"/>
    <w:rsid w:val="004A04A0"/>
    <w:rsid w:val="004A082F"/>
    <w:rsid w:val="004A0C3C"/>
    <w:rsid w:val="004A13A7"/>
    <w:rsid w:val="004A16D8"/>
    <w:rsid w:val="004A1C38"/>
    <w:rsid w:val="004A1D0F"/>
    <w:rsid w:val="004A215E"/>
    <w:rsid w:val="004A2E81"/>
    <w:rsid w:val="004A2F11"/>
    <w:rsid w:val="004A47A6"/>
    <w:rsid w:val="004A4980"/>
    <w:rsid w:val="004A668C"/>
    <w:rsid w:val="004A679F"/>
    <w:rsid w:val="004B04CC"/>
    <w:rsid w:val="004B0F21"/>
    <w:rsid w:val="004B1436"/>
    <w:rsid w:val="004B1701"/>
    <w:rsid w:val="004B1F3E"/>
    <w:rsid w:val="004B2554"/>
    <w:rsid w:val="004B2575"/>
    <w:rsid w:val="004B4045"/>
    <w:rsid w:val="004B5DF5"/>
    <w:rsid w:val="004B6915"/>
    <w:rsid w:val="004B7C4C"/>
    <w:rsid w:val="004C0C9B"/>
    <w:rsid w:val="004C2E12"/>
    <w:rsid w:val="004C33CC"/>
    <w:rsid w:val="004C3DB9"/>
    <w:rsid w:val="004C59DC"/>
    <w:rsid w:val="004C5F49"/>
    <w:rsid w:val="004C5F5E"/>
    <w:rsid w:val="004C636B"/>
    <w:rsid w:val="004C787C"/>
    <w:rsid w:val="004D036B"/>
    <w:rsid w:val="004D049B"/>
    <w:rsid w:val="004D1735"/>
    <w:rsid w:val="004D2D7F"/>
    <w:rsid w:val="004D3EA5"/>
    <w:rsid w:val="004D46C4"/>
    <w:rsid w:val="004D4920"/>
    <w:rsid w:val="004D5C4A"/>
    <w:rsid w:val="004D64F2"/>
    <w:rsid w:val="004D6968"/>
    <w:rsid w:val="004E03B3"/>
    <w:rsid w:val="004E03EB"/>
    <w:rsid w:val="004E346A"/>
    <w:rsid w:val="004E4401"/>
    <w:rsid w:val="004E7459"/>
    <w:rsid w:val="004F13C1"/>
    <w:rsid w:val="004F1701"/>
    <w:rsid w:val="004F2F0B"/>
    <w:rsid w:val="004F4633"/>
    <w:rsid w:val="004F48BD"/>
    <w:rsid w:val="004F52F4"/>
    <w:rsid w:val="004F61D4"/>
    <w:rsid w:val="004F6DB3"/>
    <w:rsid w:val="004F6E04"/>
    <w:rsid w:val="004F6EB5"/>
    <w:rsid w:val="00500034"/>
    <w:rsid w:val="00500188"/>
    <w:rsid w:val="005022C9"/>
    <w:rsid w:val="00502E9E"/>
    <w:rsid w:val="0050393B"/>
    <w:rsid w:val="00506925"/>
    <w:rsid w:val="005107CC"/>
    <w:rsid w:val="00510F8D"/>
    <w:rsid w:val="0051210E"/>
    <w:rsid w:val="00514715"/>
    <w:rsid w:val="00514939"/>
    <w:rsid w:val="00515ACB"/>
    <w:rsid w:val="00517564"/>
    <w:rsid w:val="005200C4"/>
    <w:rsid w:val="00520B7E"/>
    <w:rsid w:val="0052219B"/>
    <w:rsid w:val="00522477"/>
    <w:rsid w:val="00522B3D"/>
    <w:rsid w:val="00523005"/>
    <w:rsid w:val="0052328A"/>
    <w:rsid w:val="0052348A"/>
    <w:rsid w:val="00523935"/>
    <w:rsid w:val="0052400C"/>
    <w:rsid w:val="0052500A"/>
    <w:rsid w:val="005251B0"/>
    <w:rsid w:val="005260F4"/>
    <w:rsid w:val="00526D7F"/>
    <w:rsid w:val="0052784F"/>
    <w:rsid w:val="00530535"/>
    <w:rsid w:val="005314D1"/>
    <w:rsid w:val="005321A7"/>
    <w:rsid w:val="0053246B"/>
    <w:rsid w:val="00532D1E"/>
    <w:rsid w:val="00532F99"/>
    <w:rsid w:val="005332EC"/>
    <w:rsid w:val="005339A7"/>
    <w:rsid w:val="005339DB"/>
    <w:rsid w:val="00533FD2"/>
    <w:rsid w:val="005340F9"/>
    <w:rsid w:val="00534A0E"/>
    <w:rsid w:val="00534BF6"/>
    <w:rsid w:val="00534E33"/>
    <w:rsid w:val="00535533"/>
    <w:rsid w:val="00536BE7"/>
    <w:rsid w:val="00536CE7"/>
    <w:rsid w:val="00536D9D"/>
    <w:rsid w:val="0053757E"/>
    <w:rsid w:val="005446B8"/>
    <w:rsid w:val="0054555F"/>
    <w:rsid w:val="005476F5"/>
    <w:rsid w:val="00547B22"/>
    <w:rsid w:val="00547D32"/>
    <w:rsid w:val="00547DC9"/>
    <w:rsid w:val="00550287"/>
    <w:rsid w:val="00551038"/>
    <w:rsid w:val="00551DBA"/>
    <w:rsid w:val="0055487A"/>
    <w:rsid w:val="00555054"/>
    <w:rsid w:val="00555922"/>
    <w:rsid w:val="00557714"/>
    <w:rsid w:val="005601C9"/>
    <w:rsid w:val="00560D51"/>
    <w:rsid w:val="005613AF"/>
    <w:rsid w:val="005623C0"/>
    <w:rsid w:val="00563088"/>
    <w:rsid w:val="005644BD"/>
    <w:rsid w:val="00565001"/>
    <w:rsid w:val="00565679"/>
    <w:rsid w:val="00565E58"/>
    <w:rsid w:val="00567AE9"/>
    <w:rsid w:val="00570B1A"/>
    <w:rsid w:val="00571731"/>
    <w:rsid w:val="00571C86"/>
    <w:rsid w:val="0057278F"/>
    <w:rsid w:val="00574FC4"/>
    <w:rsid w:val="00576583"/>
    <w:rsid w:val="00577829"/>
    <w:rsid w:val="0058066B"/>
    <w:rsid w:val="00580710"/>
    <w:rsid w:val="00581151"/>
    <w:rsid w:val="00582B25"/>
    <w:rsid w:val="005830FB"/>
    <w:rsid w:val="00583B3D"/>
    <w:rsid w:val="00583EC1"/>
    <w:rsid w:val="00583FE6"/>
    <w:rsid w:val="00586960"/>
    <w:rsid w:val="00587B4F"/>
    <w:rsid w:val="0059003B"/>
    <w:rsid w:val="0059069C"/>
    <w:rsid w:val="00592A11"/>
    <w:rsid w:val="0059388D"/>
    <w:rsid w:val="0059533F"/>
    <w:rsid w:val="0059599D"/>
    <w:rsid w:val="00596B82"/>
    <w:rsid w:val="00597B0E"/>
    <w:rsid w:val="005A01B6"/>
    <w:rsid w:val="005A0331"/>
    <w:rsid w:val="005A05F3"/>
    <w:rsid w:val="005A09EA"/>
    <w:rsid w:val="005A2DA4"/>
    <w:rsid w:val="005A3542"/>
    <w:rsid w:val="005A370A"/>
    <w:rsid w:val="005A5F6A"/>
    <w:rsid w:val="005A6292"/>
    <w:rsid w:val="005A6477"/>
    <w:rsid w:val="005A7CEF"/>
    <w:rsid w:val="005A7D7C"/>
    <w:rsid w:val="005A7F15"/>
    <w:rsid w:val="005B01ED"/>
    <w:rsid w:val="005B1AE1"/>
    <w:rsid w:val="005B26F4"/>
    <w:rsid w:val="005B4026"/>
    <w:rsid w:val="005B50BA"/>
    <w:rsid w:val="005B541E"/>
    <w:rsid w:val="005B5FBA"/>
    <w:rsid w:val="005C09BF"/>
    <w:rsid w:val="005C0B4E"/>
    <w:rsid w:val="005C0E74"/>
    <w:rsid w:val="005C0EE0"/>
    <w:rsid w:val="005C351E"/>
    <w:rsid w:val="005C3695"/>
    <w:rsid w:val="005C3EEB"/>
    <w:rsid w:val="005C5BB6"/>
    <w:rsid w:val="005C6EA1"/>
    <w:rsid w:val="005D06A8"/>
    <w:rsid w:val="005D101F"/>
    <w:rsid w:val="005D13D3"/>
    <w:rsid w:val="005D183B"/>
    <w:rsid w:val="005D39D6"/>
    <w:rsid w:val="005D400E"/>
    <w:rsid w:val="005D45F9"/>
    <w:rsid w:val="005D469E"/>
    <w:rsid w:val="005D4DF3"/>
    <w:rsid w:val="005D5407"/>
    <w:rsid w:val="005D5780"/>
    <w:rsid w:val="005D5912"/>
    <w:rsid w:val="005D5E94"/>
    <w:rsid w:val="005D60B5"/>
    <w:rsid w:val="005D688B"/>
    <w:rsid w:val="005D6E54"/>
    <w:rsid w:val="005D73C4"/>
    <w:rsid w:val="005D7518"/>
    <w:rsid w:val="005E017A"/>
    <w:rsid w:val="005E01F1"/>
    <w:rsid w:val="005E1875"/>
    <w:rsid w:val="005E22A4"/>
    <w:rsid w:val="005E2B4B"/>
    <w:rsid w:val="005E3C5A"/>
    <w:rsid w:val="005E3EA6"/>
    <w:rsid w:val="005E443A"/>
    <w:rsid w:val="005E4961"/>
    <w:rsid w:val="005E4E2A"/>
    <w:rsid w:val="005E5539"/>
    <w:rsid w:val="005E55DE"/>
    <w:rsid w:val="005E5B9E"/>
    <w:rsid w:val="005E6DF8"/>
    <w:rsid w:val="005E739F"/>
    <w:rsid w:val="005F10FC"/>
    <w:rsid w:val="005F13A0"/>
    <w:rsid w:val="005F1E18"/>
    <w:rsid w:val="005F2010"/>
    <w:rsid w:val="005F28C9"/>
    <w:rsid w:val="005F327E"/>
    <w:rsid w:val="005F34D4"/>
    <w:rsid w:val="005F3662"/>
    <w:rsid w:val="005F5C47"/>
    <w:rsid w:val="005F62EB"/>
    <w:rsid w:val="005F7E63"/>
    <w:rsid w:val="00601968"/>
    <w:rsid w:val="00603433"/>
    <w:rsid w:val="00605361"/>
    <w:rsid w:val="006053BC"/>
    <w:rsid w:val="006071AB"/>
    <w:rsid w:val="00607C9B"/>
    <w:rsid w:val="00610352"/>
    <w:rsid w:val="00610BEC"/>
    <w:rsid w:val="00612210"/>
    <w:rsid w:val="0061313E"/>
    <w:rsid w:val="006132CB"/>
    <w:rsid w:val="00614215"/>
    <w:rsid w:val="00614986"/>
    <w:rsid w:val="00614E1F"/>
    <w:rsid w:val="00615712"/>
    <w:rsid w:val="0061587B"/>
    <w:rsid w:val="0061590C"/>
    <w:rsid w:val="00616A63"/>
    <w:rsid w:val="00617AC2"/>
    <w:rsid w:val="00620E58"/>
    <w:rsid w:val="00621EAC"/>
    <w:rsid w:val="00623B41"/>
    <w:rsid w:val="00624BD5"/>
    <w:rsid w:val="00624DB0"/>
    <w:rsid w:val="00625BE6"/>
    <w:rsid w:val="00627464"/>
    <w:rsid w:val="00627F81"/>
    <w:rsid w:val="00630029"/>
    <w:rsid w:val="00630446"/>
    <w:rsid w:val="006314B7"/>
    <w:rsid w:val="006314D6"/>
    <w:rsid w:val="0063194D"/>
    <w:rsid w:val="00631AAA"/>
    <w:rsid w:val="006349DA"/>
    <w:rsid w:val="006358A6"/>
    <w:rsid w:val="00637588"/>
    <w:rsid w:val="0064080E"/>
    <w:rsid w:val="00641AE2"/>
    <w:rsid w:val="00641C41"/>
    <w:rsid w:val="00641EB4"/>
    <w:rsid w:val="006424E6"/>
    <w:rsid w:val="00642A60"/>
    <w:rsid w:val="006434BE"/>
    <w:rsid w:val="00643DBD"/>
    <w:rsid w:val="00646CC1"/>
    <w:rsid w:val="0064705D"/>
    <w:rsid w:val="00652306"/>
    <w:rsid w:val="00652A97"/>
    <w:rsid w:val="006530E7"/>
    <w:rsid w:val="00653B25"/>
    <w:rsid w:val="00653C85"/>
    <w:rsid w:val="006540E0"/>
    <w:rsid w:val="006544BD"/>
    <w:rsid w:val="0065480D"/>
    <w:rsid w:val="00655806"/>
    <w:rsid w:val="00657A97"/>
    <w:rsid w:val="0066074B"/>
    <w:rsid w:val="0066150D"/>
    <w:rsid w:val="00661659"/>
    <w:rsid w:val="00661941"/>
    <w:rsid w:val="00661DD1"/>
    <w:rsid w:val="00661FB2"/>
    <w:rsid w:val="00662800"/>
    <w:rsid w:val="006636C1"/>
    <w:rsid w:val="006675C4"/>
    <w:rsid w:val="00667698"/>
    <w:rsid w:val="0067083C"/>
    <w:rsid w:val="00670A90"/>
    <w:rsid w:val="00670EBA"/>
    <w:rsid w:val="006718F8"/>
    <w:rsid w:val="00672AAE"/>
    <w:rsid w:val="00672D68"/>
    <w:rsid w:val="00673DBE"/>
    <w:rsid w:val="00673E1E"/>
    <w:rsid w:val="00674CAE"/>
    <w:rsid w:val="006758F2"/>
    <w:rsid w:val="006759BB"/>
    <w:rsid w:val="006774A6"/>
    <w:rsid w:val="00677BBD"/>
    <w:rsid w:val="00677DE5"/>
    <w:rsid w:val="00680151"/>
    <w:rsid w:val="00680949"/>
    <w:rsid w:val="00680A2F"/>
    <w:rsid w:val="00680C5C"/>
    <w:rsid w:val="00680F6E"/>
    <w:rsid w:val="006818E3"/>
    <w:rsid w:val="006837A4"/>
    <w:rsid w:val="006911F9"/>
    <w:rsid w:val="006919BD"/>
    <w:rsid w:val="00692059"/>
    <w:rsid w:val="00692735"/>
    <w:rsid w:val="00692914"/>
    <w:rsid w:val="00693D37"/>
    <w:rsid w:val="00694683"/>
    <w:rsid w:val="006946C3"/>
    <w:rsid w:val="00695001"/>
    <w:rsid w:val="00695920"/>
    <w:rsid w:val="0069616A"/>
    <w:rsid w:val="00696863"/>
    <w:rsid w:val="00696CB3"/>
    <w:rsid w:val="006978B5"/>
    <w:rsid w:val="006A013F"/>
    <w:rsid w:val="006A119C"/>
    <w:rsid w:val="006A1AD7"/>
    <w:rsid w:val="006A1D24"/>
    <w:rsid w:val="006A2799"/>
    <w:rsid w:val="006A3A7C"/>
    <w:rsid w:val="006A43F1"/>
    <w:rsid w:val="006A45F3"/>
    <w:rsid w:val="006A4C2A"/>
    <w:rsid w:val="006A518B"/>
    <w:rsid w:val="006A5B71"/>
    <w:rsid w:val="006A794B"/>
    <w:rsid w:val="006A7F59"/>
    <w:rsid w:val="006B1557"/>
    <w:rsid w:val="006B1D06"/>
    <w:rsid w:val="006B371F"/>
    <w:rsid w:val="006B4271"/>
    <w:rsid w:val="006B46E3"/>
    <w:rsid w:val="006B6329"/>
    <w:rsid w:val="006B72C8"/>
    <w:rsid w:val="006B7981"/>
    <w:rsid w:val="006B7D52"/>
    <w:rsid w:val="006C07DB"/>
    <w:rsid w:val="006C0B88"/>
    <w:rsid w:val="006C0E09"/>
    <w:rsid w:val="006C138E"/>
    <w:rsid w:val="006C1510"/>
    <w:rsid w:val="006C4EC2"/>
    <w:rsid w:val="006C4F76"/>
    <w:rsid w:val="006C5635"/>
    <w:rsid w:val="006C5677"/>
    <w:rsid w:val="006C5780"/>
    <w:rsid w:val="006C5C76"/>
    <w:rsid w:val="006C6C34"/>
    <w:rsid w:val="006C70CB"/>
    <w:rsid w:val="006C78B0"/>
    <w:rsid w:val="006C7AF9"/>
    <w:rsid w:val="006D0879"/>
    <w:rsid w:val="006D0B41"/>
    <w:rsid w:val="006D1660"/>
    <w:rsid w:val="006D17DE"/>
    <w:rsid w:val="006D1AB1"/>
    <w:rsid w:val="006D1C25"/>
    <w:rsid w:val="006D2A33"/>
    <w:rsid w:val="006D2D15"/>
    <w:rsid w:val="006D343C"/>
    <w:rsid w:val="006D3A03"/>
    <w:rsid w:val="006D3C26"/>
    <w:rsid w:val="006D45A2"/>
    <w:rsid w:val="006D4681"/>
    <w:rsid w:val="006D54AB"/>
    <w:rsid w:val="006D5787"/>
    <w:rsid w:val="006D6B02"/>
    <w:rsid w:val="006D7949"/>
    <w:rsid w:val="006E0BB8"/>
    <w:rsid w:val="006E0E06"/>
    <w:rsid w:val="006E18DB"/>
    <w:rsid w:val="006E2A25"/>
    <w:rsid w:val="006E2ECF"/>
    <w:rsid w:val="006E3B8C"/>
    <w:rsid w:val="006E3EBC"/>
    <w:rsid w:val="006E5394"/>
    <w:rsid w:val="006E7B50"/>
    <w:rsid w:val="006E7BFA"/>
    <w:rsid w:val="006F0E44"/>
    <w:rsid w:val="006F0E4E"/>
    <w:rsid w:val="006F1C7E"/>
    <w:rsid w:val="006F2F23"/>
    <w:rsid w:val="006F2F40"/>
    <w:rsid w:val="006F380D"/>
    <w:rsid w:val="006F3C04"/>
    <w:rsid w:val="006F3F51"/>
    <w:rsid w:val="006F4D73"/>
    <w:rsid w:val="006F6E6E"/>
    <w:rsid w:val="00700218"/>
    <w:rsid w:val="0070148A"/>
    <w:rsid w:val="0070257D"/>
    <w:rsid w:val="007025EA"/>
    <w:rsid w:val="00704846"/>
    <w:rsid w:val="00704EFF"/>
    <w:rsid w:val="00705FFF"/>
    <w:rsid w:val="007060F1"/>
    <w:rsid w:val="007067C0"/>
    <w:rsid w:val="007101C4"/>
    <w:rsid w:val="00711173"/>
    <w:rsid w:val="00711B1A"/>
    <w:rsid w:val="00712997"/>
    <w:rsid w:val="00713492"/>
    <w:rsid w:val="0071442C"/>
    <w:rsid w:val="00715070"/>
    <w:rsid w:val="00715A35"/>
    <w:rsid w:val="00716926"/>
    <w:rsid w:val="0071706B"/>
    <w:rsid w:val="007178B3"/>
    <w:rsid w:val="00720C08"/>
    <w:rsid w:val="00721AF9"/>
    <w:rsid w:val="00721F8E"/>
    <w:rsid w:val="00722020"/>
    <w:rsid w:val="00722120"/>
    <w:rsid w:val="00723732"/>
    <w:rsid w:val="0072600C"/>
    <w:rsid w:val="00726316"/>
    <w:rsid w:val="007272B7"/>
    <w:rsid w:val="00727C35"/>
    <w:rsid w:val="00730DF7"/>
    <w:rsid w:val="00731F06"/>
    <w:rsid w:val="007359B3"/>
    <w:rsid w:val="007365EB"/>
    <w:rsid w:val="00736D5F"/>
    <w:rsid w:val="00737525"/>
    <w:rsid w:val="00741373"/>
    <w:rsid w:val="0074178F"/>
    <w:rsid w:val="007430BE"/>
    <w:rsid w:val="007438B5"/>
    <w:rsid w:val="00743E34"/>
    <w:rsid w:val="00744246"/>
    <w:rsid w:val="0074571E"/>
    <w:rsid w:val="007478FD"/>
    <w:rsid w:val="00750655"/>
    <w:rsid w:val="00750D48"/>
    <w:rsid w:val="0075371D"/>
    <w:rsid w:val="00754018"/>
    <w:rsid w:val="00754928"/>
    <w:rsid w:val="00754EAA"/>
    <w:rsid w:val="007554BD"/>
    <w:rsid w:val="00756169"/>
    <w:rsid w:val="00756B96"/>
    <w:rsid w:val="00756E06"/>
    <w:rsid w:val="0076211D"/>
    <w:rsid w:val="00762149"/>
    <w:rsid w:val="007623AE"/>
    <w:rsid w:val="0076425B"/>
    <w:rsid w:val="007652B1"/>
    <w:rsid w:val="00765C17"/>
    <w:rsid w:val="007669EB"/>
    <w:rsid w:val="00770D1D"/>
    <w:rsid w:val="00771A67"/>
    <w:rsid w:val="00772452"/>
    <w:rsid w:val="00772667"/>
    <w:rsid w:val="00772BCE"/>
    <w:rsid w:val="00772C18"/>
    <w:rsid w:val="00773774"/>
    <w:rsid w:val="00773FBA"/>
    <w:rsid w:val="00774B0C"/>
    <w:rsid w:val="007756D9"/>
    <w:rsid w:val="00775C1C"/>
    <w:rsid w:val="00776AC5"/>
    <w:rsid w:val="0077729F"/>
    <w:rsid w:val="00777EC0"/>
    <w:rsid w:val="00780997"/>
    <w:rsid w:val="0078132F"/>
    <w:rsid w:val="00781BD7"/>
    <w:rsid w:val="00781CD5"/>
    <w:rsid w:val="0078204F"/>
    <w:rsid w:val="00782AAB"/>
    <w:rsid w:val="00783C69"/>
    <w:rsid w:val="00784896"/>
    <w:rsid w:val="00785338"/>
    <w:rsid w:val="007868BC"/>
    <w:rsid w:val="00786C40"/>
    <w:rsid w:val="007878B4"/>
    <w:rsid w:val="00787BA4"/>
    <w:rsid w:val="00791646"/>
    <w:rsid w:val="007924CE"/>
    <w:rsid w:val="00792B47"/>
    <w:rsid w:val="00794082"/>
    <w:rsid w:val="0079427D"/>
    <w:rsid w:val="007946C6"/>
    <w:rsid w:val="00794A59"/>
    <w:rsid w:val="00796204"/>
    <w:rsid w:val="007962FF"/>
    <w:rsid w:val="00796B20"/>
    <w:rsid w:val="00797573"/>
    <w:rsid w:val="00797B32"/>
    <w:rsid w:val="007A0F3F"/>
    <w:rsid w:val="007A10AE"/>
    <w:rsid w:val="007A1BB1"/>
    <w:rsid w:val="007A265A"/>
    <w:rsid w:val="007A5ADB"/>
    <w:rsid w:val="007A66B1"/>
    <w:rsid w:val="007A6CD2"/>
    <w:rsid w:val="007A70E2"/>
    <w:rsid w:val="007A7C46"/>
    <w:rsid w:val="007B0875"/>
    <w:rsid w:val="007B105F"/>
    <w:rsid w:val="007B1559"/>
    <w:rsid w:val="007B2680"/>
    <w:rsid w:val="007B327B"/>
    <w:rsid w:val="007B4911"/>
    <w:rsid w:val="007B4C10"/>
    <w:rsid w:val="007B7AC2"/>
    <w:rsid w:val="007B7CF5"/>
    <w:rsid w:val="007B7FD9"/>
    <w:rsid w:val="007C0505"/>
    <w:rsid w:val="007C07BC"/>
    <w:rsid w:val="007C0FD1"/>
    <w:rsid w:val="007C26CD"/>
    <w:rsid w:val="007C30F0"/>
    <w:rsid w:val="007C3928"/>
    <w:rsid w:val="007C54A2"/>
    <w:rsid w:val="007C5736"/>
    <w:rsid w:val="007C6861"/>
    <w:rsid w:val="007C705E"/>
    <w:rsid w:val="007C7DEE"/>
    <w:rsid w:val="007D05AE"/>
    <w:rsid w:val="007D0A42"/>
    <w:rsid w:val="007D0B43"/>
    <w:rsid w:val="007D17DE"/>
    <w:rsid w:val="007D29D1"/>
    <w:rsid w:val="007D343A"/>
    <w:rsid w:val="007D3D70"/>
    <w:rsid w:val="007D4518"/>
    <w:rsid w:val="007D52E6"/>
    <w:rsid w:val="007D6051"/>
    <w:rsid w:val="007D6AF9"/>
    <w:rsid w:val="007D7130"/>
    <w:rsid w:val="007D7778"/>
    <w:rsid w:val="007D7C0A"/>
    <w:rsid w:val="007E0493"/>
    <w:rsid w:val="007E0FD4"/>
    <w:rsid w:val="007E1193"/>
    <w:rsid w:val="007E2526"/>
    <w:rsid w:val="007E5EF9"/>
    <w:rsid w:val="007E6562"/>
    <w:rsid w:val="007E6801"/>
    <w:rsid w:val="007E7F52"/>
    <w:rsid w:val="007F0244"/>
    <w:rsid w:val="007F1344"/>
    <w:rsid w:val="007F33D2"/>
    <w:rsid w:val="007F3F4E"/>
    <w:rsid w:val="007F5E8C"/>
    <w:rsid w:val="007F6188"/>
    <w:rsid w:val="007F62FE"/>
    <w:rsid w:val="007F6AD4"/>
    <w:rsid w:val="007F6C67"/>
    <w:rsid w:val="007F77D8"/>
    <w:rsid w:val="007F7F8A"/>
    <w:rsid w:val="00801582"/>
    <w:rsid w:val="008027E1"/>
    <w:rsid w:val="00802A89"/>
    <w:rsid w:val="008039A6"/>
    <w:rsid w:val="00805322"/>
    <w:rsid w:val="00805ECC"/>
    <w:rsid w:val="008063C7"/>
    <w:rsid w:val="008064EB"/>
    <w:rsid w:val="00806DD8"/>
    <w:rsid w:val="008078F8"/>
    <w:rsid w:val="0081070D"/>
    <w:rsid w:val="008108FB"/>
    <w:rsid w:val="0081103B"/>
    <w:rsid w:val="00811E87"/>
    <w:rsid w:val="0081212B"/>
    <w:rsid w:val="008125B6"/>
    <w:rsid w:val="00812B3C"/>
    <w:rsid w:val="00813A60"/>
    <w:rsid w:val="008152B1"/>
    <w:rsid w:val="00815894"/>
    <w:rsid w:val="00817631"/>
    <w:rsid w:val="00817D71"/>
    <w:rsid w:val="008201B9"/>
    <w:rsid w:val="008213FF"/>
    <w:rsid w:val="00821E0A"/>
    <w:rsid w:val="00821F32"/>
    <w:rsid w:val="0082249D"/>
    <w:rsid w:val="008241B3"/>
    <w:rsid w:val="0082462B"/>
    <w:rsid w:val="0082479D"/>
    <w:rsid w:val="0082510F"/>
    <w:rsid w:val="00825766"/>
    <w:rsid w:val="008279FE"/>
    <w:rsid w:val="0083018E"/>
    <w:rsid w:val="00830795"/>
    <w:rsid w:val="00831667"/>
    <w:rsid w:val="00833934"/>
    <w:rsid w:val="00835314"/>
    <w:rsid w:val="00835A38"/>
    <w:rsid w:val="00835DB0"/>
    <w:rsid w:val="00836931"/>
    <w:rsid w:val="00836FC3"/>
    <w:rsid w:val="00841144"/>
    <w:rsid w:val="00841BE2"/>
    <w:rsid w:val="00842016"/>
    <w:rsid w:val="0084378F"/>
    <w:rsid w:val="008438D3"/>
    <w:rsid w:val="00844079"/>
    <w:rsid w:val="00844461"/>
    <w:rsid w:val="00844467"/>
    <w:rsid w:val="00846034"/>
    <w:rsid w:val="00847201"/>
    <w:rsid w:val="008477AB"/>
    <w:rsid w:val="0084791E"/>
    <w:rsid w:val="00847EF2"/>
    <w:rsid w:val="00850A28"/>
    <w:rsid w:val="008517A4"/>
    <w:rsid w:val="00851FB9"/>
    <w:rsid w:val="0085243E"/>
    <w:rsid w:val="008527D2"/>
    <w:rsid w:val="00852D19"/>
    <w:rsid w:val="00853134"/>
    <w:rsid w:val="008537D0"/>
    <w:rsid w:val="0085525B"/>
    <w:rsid w:val="008565D0"/>
    <w:rsid w:val="0085675F"/>
    <w:rsid w:val="00857076"/>
    <w:rsid w:val="00857F2A"/>
    <w:rsid w:val="0086163E"/>
    <w:rsid w:val="00861769"/>
    <w:rsid w:val="008624DF"/>
    <w:rsid w:val="00863020"/>
    <w:rsid w:val="00864D25"/>
    <w:rsid w:val="008672D0"/>
    <w:rsid w:val="00871F30"/>
    <w:rsid w:val="00872165"/>
    <w:rsid w:val="0087255A"/>
    <w:rsid w:val="00872E00"/>
    <w:rsid w:val="0087390E"/>
    <w:rsid w:val="0087532F"/>
    <w:rsid w:val="008764D5"/>
    <w:rsid w:val="00876E25"/>
    <w:rsid w:val="00877757"/>
    <w:rsid w:val="008805C7"/>
    <w:rsid w:val="00881465"/>
    <w:rsid w:val="008818FB"/>
    <w:rsid w:val="008819FE"/>
    <w:rsid w:val="00881B57"/>
    <w:rsid w:val="0088202A"/>
    <w:rsid w:val="0088390C"/>
    <w:rsid w:val="008839AF"/>
    <w:rsid w:val="00883F26"/>
    <w:rsid w:val="00884BE1"/>
    <w:rsid w:val="00884F98"/>
    <w:rsid w:val="00885718"/>
    <w:rsid w:val="0088577C"/>
    <w:rsid w:val="008858B7"/>
    <w:rsid w:val="00886701"/>
    <w:rsid w:val="0088799F"/>
    <w:rsid w:val="008926E9"/>
    <w:rsid w:val="00892AE0"/>
    <w:rsid w:val="008930FF"/>
    <w:rsid w:val="00893D0E"/>
    <w:rsid w:val="00893F58"/>
    <w:rsid w:val="0089432B"/>
    <w:rsid w:val="008943EC"/>
    <w:rsid w:val="008948B0"/>
    <w:rsid w:val="00895451"/>
    <w:rsid w:val="0089563E"/>
    <w:rsid w:val="008A0E22"/>
    <w:rsid w:val="008A0ECE"/>
    <w:rsid w:val="008A1BE3"/>
    <w:rsid w:val="008A25C2"/>
    <w:rsid w:val="008A3A16"/>
    <w:rsid w:val="008A635D"/>
    <w:rsid w:val="008A65B9"/>
    <w:rsid w:val="008A6B22"/>
    <w:rsid w:val="008A6BC1"/>
    <w:rsid w:val="008B0397"/>
    <w:rsid w:val="008B0C2F"/>
    <w:rsid w:val="008B2C6D"/>
    <w:rsid w:val="008B5887"/>
    <w:rsid w:val="008B591D"/>
    <w:rsid w:val="008B5E5C"/>
    <w:rsid w:val="008B6A56"/>
    <w:rsid w:val="008B6C10"/>
    <w:rsid w:val="008C13D3"/>
    <w:rsid w:val="008C2F06"/>
    <w:rsid w:val="008C3001"/>
    <w:rsid w:val="008C40C2"/>
    <w:rsid w:val="008C4344"/>
    <w:rsid w:val="008C62B0"/>
    <w:rsid w:val="008C6480"/>
    <w:rsid w:val="008C69DA"/>
    <w:rsid w:val="008C7AC4"/>
    <w:rsid w:val="008C7B67"/>
    <w:rsid w:val="008D0017"/>
    <w:rsid w:val="008D0365"/>
    <w:rsid w:val="008D061F"/>
    <w:rsid w:val="008D0D72"/>
    <w:rsid w:val="008D3184"/>
    <w:rsid w:val="008D4D2C"/>
    <w:rsid w:val="008D5392"/>
    <w:rsid w:val="008D5FA4"/>
    <w:rsid w:val="008D6B65"/>
    <w:rsid w:val="008D6CEB"/>
    <w:rsid w:val="008D6D40"/>
    <w:rsid w:val="008E0A28"/>
    <w:rsid w:val="008E1523"/>
    <w:rsid w:val="008E1BAF"/>
    <w:rsid w:val="008E2AE1"/>
    <w:rsid w:val="008E342B"/>
    <w:rsid w:val="008E34D2"/>
    <w:rsid w:val="008E3B15"/>
    <w:rsid w:val="008E3FA2"/>
    <w:rsid w:val="008E4A27"/>
    <w:rsid w:val="008E4AD8"/>
    <w:rsid w:val="008E4CE4"/>
    <w:rsid w:val="008E70F5"/>
    <w:rsid w:val="008E7684"/>
    <w:rsid w:val="008F08E2"/>
    <w:rsid w:val="008F132F"/>
    <w:rsid w:val="008F1837"/>
    <w:rsid w:val="008F32A9"/>
    <w:rsid w:val="008F465B"/>
    <w:rsid w:val="008F481B"/>
    <w:rsid w:val="008F51F0"/>
    <w:rsid w:val="008F5B82"/>
    <w:rsid w:val="008F5BA3"/>
    <w:rsid w:val="008F5C7A"/>
    <w:rsid w:val="008F5FCE"/>
    <w:rsid w:val="008F67E7"/>
    <w:rsid w:val="008F6A71"/>
    <w:rsid w:val="008F6A74"/>
    <w:rsid w:val="008F7759"/>
    <w:rsid w:val="008F79FC"/>
    <w:rsid w:val="008F7C78"/>
    <w:rsid w:val="0090134D"/>
    <w:rsid w:val="00901F22"/>
    <w:rsid w:val="0090230E"/>
    <w:rsid w:val="00902398"/>
    <w:rsid w:val="009026CF"/>
    <w:rsid w:val="00902D65"/>
    <w:rsid w:val="00902E8B"/>
    <w:rsid w:val="00905FA7"/>
    <w:rsid w:val="00906722"/>
    <w:rsid w:val="0090674B"/>
    <w:rsid w:val="00907816"/>
    <w:rsid w:val="009109FB"/>
    <w:rsid w:val="00910D4D"/>
    <w:rsid w:val="009112B4"/>
    <w:rsid w:val="0091137E"/>
    <w:rsid w:val="009114FA"/>
    <w:rsid w:val="0091167B"/>
    <w:rsid w:val="009117D7"/>
    <w:rsid w:val="00911913"/>
    <w:rsid w:val="00911CA0"/>
    <w:rsid w:val="00911D6C"/>
    <w:rsid w:val="00911D79"/>
    <w:rsid w:val="00912DE0"/>
    <w:rsid w:val="00913349"/>
    <w:rsid w:val="00915A61"/>
    <w:rsid w:val="009162A3"/>
    <w:rsid w:val="00916793"/>
    <w:rsid w:val="00916F68"/>
    <w:rsid w:val="00917928"/>
    <w:rsid w:val="0092064F"/>
    <w:rsid w:val="00920AFE"/>
    <w:rsid w:val="00922575"/>
    <w:rsid w:val="00922A41"/>
    <w:rsid w:val="00924250"/>
    <w:rsid w:val="00924981"/>
    <w:rsid w:val="00925355"/>
    <w:rsid w:val="00925404"/>
    <w:rsid w:val="00926642"/>
    <w:rsid w:val="009276D1"/>
    <w:rsid w:val="00927D15"/>
    <w:rsid w:val="00931E44"/>
    <w:rsid w:val="009329AD"/>
    <w:rsid w:val="009335BA"/>
    <w:rsid w:val="009340C5"/>
    <w:rsid w:val="009347E8"/>
    <w:rsid w:val="0093487B"/>
    <w:rsid w:val="00934AD2"/>
    <w:rsid w:val="00935169"/>
    <w:rsid w:val="009352CD"/>
    <w:rsid w:val="00936464"/>
    <w:rsid w:val="009364D3"/>
    <w:rsid w:val="00936D8C"/>
    <w:rsid w:val="00936DB6"/>
    <w:rsid w:val="009370F6"/>
    <w:rsid w:val="009408C3"/>
    <w:rsid w:val="009411FF"/>
    <w:rsid w:val="00942106"/>
    <w:rsid w:val="00945E5F"/>
    <w:rsid w:val="0094631B"/>
    <w:rsid w:val="009465BE"/>
    <w:rsid w:val="00946F2A"/>
    <w:rsid w:val="009479BE"/>
    <w:rsid w:val="00955885"/>
    <w:rsid w:val="00955AE0"/>
    <w:rsid w:val="00955D98"/>
    <w:rsid w:val="00960FE5"/>
    <w:rsid w:val="00961245"/>
    <w:rsid w:val="00963F63"/>
    <w:rsid w:val="009643A9"/>
    <w:rsid w:val="00964C17"/>
    <w:rsid w:val="00966986"/>
    <w:rsid w:val="00966DD5"/>
    <w:rsid w:val="009673BD"/>
    <w:rsid w:val="00967920"/>
    <w:rsid w:val="0097080E"/>
    <w:rsid w:val="00970B4F"/>
    <w:rsid w:val="0097399F"/>
    <w:rsid w:val="00974A44"/>
    <w:rsid w:val="0097505C"/>
    <w:rsid w:val="00976CAC"/>
    <w:rsid w:val="00977310"/>
    <w:rsid w:val="009811B5"/>
    <w:rsid w:val="00984025"/>
    <w:rsid w:val="00984A53"/>
    <w:rsid w:val="00984F5F"/>
    <w:rsid w:val="00987CA9"/>
    <w:rsid w:val="00991F66"/>
    <w:rsid w:val="00993E91"/>
    <w:rsid w:val="009943B2"/>
    <w:rsid w:val="00994565"/>
    <w:rsid w:val="00995E79"/>
    <w:rsid w:val="00997ECC"/>
    <w:rsid w:val="009A0C68"/>
    <w:rsid w:val="009A1186"/>
    <w:rsid w:val="009A20B8"/>
    <w:rsid w:val="009A2422"/>
    <w:rsid w:val="009A2E49"/>
    <w:rsid w:val="009A303E"/>
    <w:rsid w:val="009A4903"/>
    <w:rsid w:val="009A4D94"/>
    <w:rsid w:val="009A5C89"/>
    <w:rsid w:val="009A5E16"/>
    <w:rsid w:val="009A7B85"/>
    <w:rsid w:val="009B000B"/>
    <w:rsid w:val="009B0C70"/>
    <w:rsid w:val="009B198F"/>
    <w:rsid w:val="009B1B2D"/>
    <w:rsid w:val="009B1CF6"/>
    <w:rsid w:val="009B23AE"/>
    <w:rsid w:val="009B323D"/>
    <w:rsid w:val="009B44D1"/>
    <w:rsid w:val="009B69AA"/>
    <w:rsid w:val="009B6C2F"/>
    <w:rsid w:val="009C0920"/>
    <w:rsid w:val="009C1A55"/>
    <w:rsid w:val="009C1F9A"/>
    <w:rsid w:val="009C2977"/>
    <w:rsid w:val="009C2D46"/>
    <w:rsid w:val="009C33DF"/>
    <w:rsid w:val="009C475A"/>
    <w:rsid w:val="009C4BAC"/>
    <w:rsid w:val="009C520A"/>
    <w:rsid w:val="009C6250"/>
    <w:rsid w:val="009C6A73"/>
    <w:rsid w:val="009C767C"/>
    <w:rsid w:val="009C7B52"/>
    <w:rsid w:val="009C7CBA"/>
    <w:rsid w:val="009C7CEA"/>
    <w:rsid w:val="009D14BB"/>
    <w:rsid w:val="009D1B6E"/>
    <w:rsid w:val="009D1B7F"/>
    <w:rsid w:val="009D2517"/>
    <w:rsid w:val="009D32C2"/>
    <w:rsid w:val="009D3C4A"/>
    <w:rsid w:val="009D3C80"/>
    <w:rsid w:val="009D45C1"/>
    <w:rsid w:val="009D4625"/>
    <w:rsid w:val="009D4D2F"/>
    <w:rsid w:val="009D6259"/>
    <w:rsid w:val="009D6854"/>
    <w:rsid w:val="009D7D1A"/>
    <w:rsid w:val="009D7DEE"/>
    <w:rsid w:val="009E05C3"/>
    <w:rsid w:val="009E05CC"/>
    <w:rsid w:val="009E08D9"/>
    <w:rsid w:val="009E1FDC"/>
    <w:rsid w:val="009E35DD"/>
    <w:rsid w:val="009E37DB"/>
    <w:rsid w:val="009E3B42"/>
    <w:rsid w:val="009E3FCA"/>
    <w:rsid w:val="009E5810"/>
    <w:rsid w:val="009E67EE"/>
    <w:rsid w:val="009E7272"/>
    <w:rsid w:val="009E7527"/>
    <w:rsid w:val="009E7A0A"/>
    <w:rsid w:val="009F0557"/>
    <w:rsid w:val="009F07EF"/>
    <w:rsid w:val="009F1469"/>
    <w:rsid w:val="009F175D"/>
    <w:rsid w:val="009F2044"/>
    <w:rsid w:val="009F22F8"/>
    <w:rsid w:val="009F26A0"/>
    <w:rsid w:val="009F3162"/>
    <w:rsid w:val="009F45F3"/>
    <w:rsid w:val="009F465C"/>
    <w:rsid w:val="009F4D3A"/>
    <w:rsid w:val="009F5036"/>
    <w:rsid w:val="009F63E1"/>
    <w:rsid w:val="009F6567"/>
    <w:rsid w:val="009F7DEF"/>
    <w:rsid w:val="00A017C7"/>
    <w:rsid w:val="00A025B8"/>
    <w:rsid w:val="00A026B5"/>
    <w:rsid w:val="00A02716"/>
    <w:rsid w:val="00A030B6"/>
    <w:rsid w:val="00A030D2"/>
    <w:rsid w:val="00A0357E"/>
    <w:rsid w:val="00A0375A"/>
    <w:rsid w:val="00A0386D"/>
    <w:rsid w:val="00A0443E"/>
    <w:rsid w:val="00A04487"/>
    <w:rsid w:val="00A04565"/>
    <w:rsid w:val="00A0530E"/>
    <w:rsid w:val="00A05AE5"/>
    <w:rsid w:val="00A06D5A"/>
    <w:rsid w:val="00A06E74"/>
    <w:rsid w:val="00A0720E"/>
    <w:rsid w:val="00A07512"/>
    <w:rsid w:val="00A07DE3"/>
    <w:rsid w:val="00A10761"/>
    <w:rsid w:val="00A11AE2"/>
    <w:rsid w:val="00A126BB"/>
    <w:rsid w:val="00A13519"/>
    <w:rsid w:val="00A13602"/>
    <w:rsid w:val="00A14A1B"/>
    <w:rsid w:val="00A1570F"/>
    <w:rsid w:val="00A16360"/>
    <w:rsid w:val="00A16941"/>
    <w:rsid w:val="00A20182"/>
    <w:rsid w:val="00A21BDB"/>
    <w:rsid w:val="00A2238E"/>
    <w:rsid w:val="00A2274E"/>
    <w:rsid w:val="00A243DE"/>
    <w:rsid w:val="00A249D5"/>
    <w:rsid w:val="00A25C3B"/>
    <w:rsid w:val="00A262E1"/>
    <w:rsid w:val="00A26C0A"/>
    <w:rsid w:val="00A26E6B"/>
    <w:rsid w:val="00A27A47"/>
    <w:rsid w:val="00A30A43"/>
    <w:rsid w:val="00A3282E"/>
    <w:rsid w:val="00A33F37"/>
    <w:rsid w:val="00A3467F"/>
    <w:rsid w:val="00A34A28"/>
    <w:rsid w:val="00A35E45"/>
    <w:rsid w:val="00A36219"/>
    <w:rsid w:val="00A36762"/>
    <w:rsid w:val="00A36BF3"/>
    <w:rsid w:val="00A37B18"/>
    <w:rsid w:val="00A4072F"/>
    <w:rsid w:val="00A41077"/>
    <w:rsid w:val="00A41878"/>
    <w:rsid w:val="00A428B0"/>
    <w:rsid w:val="00A43495"/>
    <w:rsid w:val="00A435F6"/>
    <w:rsid w:val="00A462EC"/>
    <w:rsid w:val="00A46560"/>
    <w:rsid w:val="00A507B2"/>
    <w:rsid w:val="00A5164A"/>
    <w:rsid w:val="00A5208E"/>
    <w:rsid w:val="00A532B9"/>
    <w:rsid w:val="00A55394"/>
    <w:rsid w:val="00A55468"/>
    <w:rsid w:val="00A561E8"/>
    <w:rsid w:val="00A564D5"/>
    <w:rsid w:val="00A57246"/>
    <w:rsid w:val="00A57870"/>
    <w:rsid w:val="00A601D7"/>
    <w:rsid w:val="00A614B1"/>
    <w:rsid w:val="00A622BE"/>
    <w:rsid w:val="00A635C0"/>
    <w:rsid w:val="00A6415B"/>
    <w:rsid w:val="00A6428D"/>
    <w:rsid w:val="00A64CEE"/>
    <w:rsid w:val="00A65142"/>
    <w:rsid w:val="00A65493"/>
    <w:rsid w:val="00A67504"/>
    <w:rsid w:val="00A71C2A"/>
    <w:rsid w:val="00A71D85"/>
    <w:rsid w:val="00A732B4"/>
    <w:rsid w:val="00A73CE6"/>
    <w:rsid w:val="00A73D39"/>
    <w:rsid w:val="00A7422A"/>
    <w:rsid w:val="00A74391"/>
    <w:rsid w:val="00A74BA7"/>
    <w:rsid w:val="00A75101"/>
    <w:rsid w:val="00A751BF"/>
    <w:rsid w:val="00A75333"/>
    <w:rsid w:val="00A7534C"/>
    <w:rsid w:val="00A77D45"/>
    <w:rsid w:val="00A812F2"/>
    <w:rsid w:val="00A81CC7"/>
    <w:rsid w:val="00A82540"/>
    <w:rsid w:val="00A82F99"/>
    <w:rsid w:val="00A831CA"/>
    <w:rsid w:val="00A8343F"/>
    <w:rsid w:val="00A85E57"/>
    <w:rsid w:val="00A87063"/>
    <w:rsid w:val="00A870F6"/>
    <w:rsid w:val="00A91867"/>
    <w:rsid w:val="00A92500"/>
    <w:rsid w:val="00A927FE"/>
    <w:rsid w:val="00A937E5"/>
    <w:rsid w:val="00A9439F"/>
    <w:rsid w:val="00A9440E"/>
    <w:rsid w:val="00A94F1A"/>
    <w:rsid w:val="00A9518D"/>
    <w:rsid w:val="00A96B2A"/>
    <w:rsid w:val="00A97643"/>
    <w:rsid w:val="00A97701"/>
    <w:rsid w:val="00AA04AD"/>
    <w:rsid w:val="00AA2FE4"/>
    <w:rsid w:val="00AA3B13"/>
    <w:rsid w:val="00AA3E34"/>
    <w:rsid w:val="00AA4F1F"/>
    <w:rsid w:val="00AA666D"/>
    <w:rsid w:val="00AA730E"/>
    <w:rsid w:val="00AA798B"/>
    <w:rsid w:val="00AB0496"/>
    <w:rsid w:val="00AB1506"/>
    <w:rsid w:val="00AB3D81"/>
    <w:rsid w:val="00AB47B1"/>
    <w:rsid w:val="00AB4C9C"/>
    <w:rsid w:val="00AB513D"/>
    <w:rsid w:val="00AB69C8"/>
    <w:rsid w:val="00AB79ED"/>
    <w:rsid w:val="00AC0A03"/>
    <w:rsid w:val="00AC10E8"/>
    <w:rsid w:val="00AC11A5"/>
    <w:rsid w:val="00AC1428"/>
    <w:rsid w:val="00AC17B7"/>
    <w:rsid w:val="00AC26E8"/>
    <w:rsid w:val="00AC33DC"/>
    <w:rsid w:val="00AC3CC7"/>
    <w:rsid w:val="00AC4875"/>
    <w:rsid w:val="00AC57FF"/>
    <w:rsid w:val="00AC775C"/>
    <w:rsid w:val="00AC786F"/>
    <w:rsid w:val="00AC7952"/>
    <w:rsid w:val="00AD0892"/>
    <w:rsid w:val="00AD154B"/>
    <w:rsid w:val="00AD1854"/>
    <w:rsid w:val="00AD28C9"/>
    <w:rsid w:val="00AD2FED"/>
    <w:rsid w:val="00AD3E0A"/>
    <w:rsid w:val="00AD4ECF"/>
    <w:rsid w:val="00AD535C"/>
    <w:rsid w:val="00AD6356"/>
    <w:rsid w:val="00AD655F"/>
    <w:rsid w:val="00AD6C9D"/>
    <w:rsid w:val="00AD6D6D"/>
    <w:rsid w:val="00AD7555"/>
    <w:rsid w:val="00AE17A4"/>
    <w:rsid w:val="00AE1AAD"/>
    <w:rsid w:val="00AE2B75"/>
    <w:rsid w:val="00AE3655"/>
    <w:rsid w:val="00AE3C88"/>
    <w:rsid w:val="00AE428D"/>
    <w:rsid w:val="00AE43F2"/>
    <w:rsid w:val="00AE4E5C"/>
    <w:rsid w:val="00AE5598"/>
    <w:rsid w:val="00AE5638"/>
    <w:rsid w:val="00AE6611"/>
    <w:rsid w:val="00AE6D04"/>
    <w:rsid w:val="00AE758A"/>
    <w:rsid w:val="00AF010C"/>
    <w:rsid w:val="00AF05C7"/>
    <w:rsid w:val="00AF08CE"/>
    <w:rsid w:val="00AF0C0D"/>
    <w:rsid w:val="00AF1502"/>
    <w:rsid w:val="00AF19D7"/>
    <w:rsid w:val="00AF2CF8"/>
    <w:rsid w:val="00AF399C"/>
    <w:rsid w:val="00AF5AE7"/>
    <w:rsid w:val="00AF5E1C"/>
    <w:rsid w:val="00AF5F28"/>
    <w:rsid w:val="00AF6E36"/>
    <w:rsid w:val="00AF7227"/>
    <w:rsid w:val="00AF7CCF"/>
    <w:rsid w:val="00B007EA"/>
    <w:rsid w:val="00B040C9"/>
    <w:rsid w:val="00B04226"/>
    <w:rsid w:val="00B04559"/>
    <w:rsid w:val="00B046F6"/>
    <w:rsid w:val="00B05F7C"/>
    <w:rsid w:val="00B10158"/>
    <w:rsid w:val="00B11569"/>
    <w:rsid w:val="00B11E50"/>
    <w:rsid w:val="00B13B5D"/>
    <w:rsid w:val="00B14218"/>
    <w:rsid w:val="00B1493D"/>
    <w:rsid w:val="00B153EA"/>
    <w:rsid w:val="00B15798"/>
    <w:rsid w:val="00B16696"/>
    <w:rsid w:val="00B167C2"/>
    <w:rsid w:val="00B16B08"/>
    <w:rsid w:val="00B17A29"/>
    <w:rsid w:val="00B2076C"/>
    <w:rsid w:val="00B20B66"/>
    <w:rsid w:val="00B20C2F"/>
    <w:rsid w:val="00B20F19"/>
    <w:rsid w:val="00B21069"/>
    <w:rsid w:val="00B21B47"/>
    <w:rsid w:val="00B21C65"/>
    <w:rsid w:val="00B22073"/>
    <w:rsid w:val="00B232D1"/>
    <w:rsid w:val="00B234E2"/>
    <w:rsid w:val="00B2597D"/>
    <w:rsid w:val="00B263D7"/>
    <w:rsid w:val="00B27054"/>
    <w:rsid w:val="00B274F3"/>
    <w:rsid w:val="00B27FB7"/>
    <w:rsid w:val="00B303EC"/>
    <w:rsid w:val="00B32545"/>
    <w:rsid w:val="00B33CB7"/>
    <w:rsid w:val="00B3400A"/>
    <w:rsid w:val="00B34F9F"/>
    <w:rsid w:val="00B3539F"/>
    <w:rsid w:val="00B372A0"/>
    <w:rsid w:val="00B37EC2"/>
    <w:rsid w:val="00B37F96"/>
    <w:rsid w:val="00B40A6C"/>
    <w:rsid w:val="00B41235"/>
    <w:rsid w:val="00B413F2"/>
    <w:rsid w:val="00B41F6F"/>
    <w:rsid w:val="00B420D5"/>
    <w:rsid w:val="00B4322A"/>
    <w:rsid w:val="00B43576"/>
    <w:rsid w:val="00B45652"/>
    <w:rsid w:val="00B45BD0"/>
    <w:rsid w:val="00B46C5F"/>
    <w:rsid w:val="00B473DD"/>
    <w:rsid w:val="00B47FC3"/>
    <w:rsid w:val="00B5171F"/>
    <w:rsid w:val="00B51CE8"/>
    <w:rsid w:val="00B52919"/>
    <w:rsid w:val="00B53075"/>
    <w:rsid w:val="00B53A75"/>
    <w:rsid w:val="00B54881"/>
    <w:rsid w:val="00B55626"/>
    <w:rsid w:val="00B55C09"/>
    <w:rsid w:val="00B564D1"/>
    <w:rsid w:val="00B56BFA"/>
    <w:rsid w:val="00B5722B"/>
    <w:rsid w:val="00B572E0"/>
    <w:rsid w:val="00B60FA5"/>
    <w:rsid w:val="00B615CC"/>
    <w:rsid w:val="00B61970"/>
    <w:rsid w:val="00B61C4F"/>
    <w:rsid w:val="00B61C7B"/>
    <w:rsid w:val="00B61E21"/>
    <w:rsid w:val="00B64B08"/>
    <w:rsid w:val="00B656A6"/>
    <w:rsid w:val="00B658DF"/>
    <w:rsid w:val="00B6668D"/>
    <w:rsid w:val="00B66AD2"/>
    <w:rsid w:val="00B71D51"/>
    <w:rsid w:val="00B72D83"/>
    <w:rsid w:val="00B730AC"/>
    <w:rsid w:val="00B730B7"/>
    <w:rsid w:val="00B7461D"/>
    <w:rsid w:val="00B74FBC"/>
    <w:rsid w:val="00B7519D"/>
    <w:rsid w:val="00B7552C"/>
    <w:rsid w:val="00B7603E"/>
    <w:rsid w:val="00B77826"/>
    <w:rsid w:val="00B80109"/>
    <w:rsid w:val="00B80C58"/>
    <w:rsid w:val="00B816DE"/>
    <w:rsid w:val="00B83659"/>
    <w:rsid w:val="00B85BD8"/>
    <w:rsid w:val="00B85E62"/>
    <w:rsid w:val="00B86391"/>
    <w:rsid w:val="00B87D88"/>
    <w:rsid w:val="00B87FA2"/>
    <w:rsid w:val="00B90428"/>
    <w:rsid w:val="00B916D7"/>
    <w:rsid w:val="00B92195"/>
    <w:rsid w:val="00B9245D"/>
    <w:rsid w:val="00B93549"/>
    <w:rsid w:val="00B96C59"/>
    <w:rsid w:val="00B975FE"/>
    <w:rsid w:val="00B9793D"/>
    <w:rsid w:val="00B979C5"/>
    <w:rsid w:val="00B97B5A"/>
    <w:rsid w:val="00BA01AE"/>
    <w:rsid w:val="00BA0307"/>
    <w:rsid w:val="00BA1B91"/>
    <w:rsid w:val="00BA21C2"/>
    <w:rsid w:val="00BA3896"/>
    <w:rsid w:val="00BA4480"/>
    <w:rsid w:val="00BA4516"/>
    <w:rsid w:val="00BA61A3"/>
    <w:rsid w:val="00BA63BB"/>
    <w:rsid w:val="00BA6AD8"/>
    <w:rsid w:val="00BA6C8E"/>
    <w:rsid w:val="00BA6EEB"/>
    <w:rsid w:val="00BA7E4C"/>
    <w:rsid w:val="00BB075E"/>
    <w:rsid w:val="00BB08BA"/>
    <w:rsid w:val="00BB1D22"/>
    <w:rsid w:val="00BB28D7"/>
    <w:rsid w:val="00BB3C29"/>
    <w:rsid w:val="00BB5576"/>
    <w:rsid w:val="00BB5D66"/>
    <w:rsid w:val="00BB7AC3"/>
    <w:rsid w:val="00BB7CFD"/>
    <w:rsid w:val="00BC102C"/>
    <w:rsid w:val="00BC245A"/>
    <w:rsid w:val="00BC265D"/>
    <w:rsid w:val="00BC3433"/>
    <w:rsid w:val="00BC3ED9"/>
    <w:rsid w:val="00BC5FC0"/>
    <w:rsid w:val="00BC6DA8"/>
    <w:rsid w:val="00BC6FF6"/>
    <w:rsid w:val="00BD0DE3"/>
    <w:rsid w:val="00BD1962"/>
    <w:rsid w:val="00BD20C7"/>
    <w:rsid w:val="00BD45F1"/>
    <w:rsid w:val="00BD488B"/>
    <w:rsid w:val="00BD6247"/>
    <w:rsid w:val="00BD7D33"/>
    <w:rsid w:val="00BE1F3E"/>
    <w:rsid w:val="00BE1FA9"/>
    <w:rsid w:val="00BE2BD6"/>
    <w:rsid w:val="00BE34C3"/>
    <w:rsid w:val="00BE3523"/>
    <w:rsid w:val="00BE35C7"/>
    <w:rsid w:val="00BE36AE"/>
    <w:rsid w:val="00BE3B73"/>
    <w:rsid w:val="00BE42D4"/>
    <w:rsid w:val="00BE54EE"/>
    <w:rsid w:val="00BE5FA9"/>
    <w:rsid w:val="00BF2053"/>
    <w:rsid w:val="00BF2057"/>
    <w:rsid w:val="00BF2EA9"/>
    <w:rsid w:val="00BF318F"/>
    <w:rsid w:val="00BF3487"/>
    <w:rsid w:val="00BF38C9"/>
    <w:rsid w:val="00BF46F2"/>
    <w:rsid w:val="00BF4FFC"/>
    <w:rsid w:val="00BF615B"/>
    <w:rsid w:val="00BF7822"/>
    <w:rsid w:val="00BF7F9A"/>
    <w:rsid w:val="00C0115A"/>
    <w:rsid w:val="00C0178C"/>
    <w:rsid w:val="00C02C29"/>
    <w:rsid w:val="00C03562"/>
    <w:rsid w:val="00C047E6"/>
    <w:rsid w:val="00C053F5"/>
    <w:rsid w:val="00C06424"/>
    <w:rsid w:val="00C07665"/>
    <w:rsid w:val="00C07D77"/>
    <w:rsid w:val="00C120D1"/>
    <w:rsid w:val="00C14B92"/>
    <w:rsid w:val="00C15079"/>
    <w:rsid w:val="00C17BFB"/>
    <w:rsid w:val="00C21E2E"/>
    <w:rsid w:val="00C23496"/>
    <w:rsid w:val="00C23BE4"/>
    <w:rsid w:val="00C25BC3"/>
    <w:rsid w:val="00C25C9A"/>
    <w:rsid w:val="00C271A8"/>
    <w:rsid w:val="00C2754F"/>
    <w:rsid w:val="00C3213C"/>
    <w:rsid w:val="00C33C42"/>
    <w:rsid w:val="00C34BC3"/>
    <w:rsid w:val="00C36400"/>
    <w:rsid w:val="00C36EFA"/>
    <w:rsid w:val="00C37DAA"/>
    <w:rsid w:val="00C40175"/>
    <w:rsid w:val="00C416DA"/>
    <w:rsid w:val="00C4419B"/>
    <w:rsid w:val="00C447DF"/>
    <w:rsid w:val="00C44CE1"/>
    <w:rsid w:val="00C45AAA"/>
    <w:rsid w:val="00C46EE7"/>
    <w:rsid w:val="00C479AB"/>
    <w:rsid w:val="00C51559"/>
    <w:rsid w:val="00C5165A"/>
    <w:rsid w:val="00C51959"/>
    <w:rsid w:val="00C51DAD"/>
    <w:rsid w:val="00C5226D"/>
    <w:rsid w:val="00C5244A"/>
    <w:rsid w:val="00C531E6"/>
    <w:rsid w:val="00C540CE"/>
    <w:rsid w:val="00C55F0D"/>
    <w:rsid w:val="00C563F6"/>
    <w:rsid w:val="00C569F2"/>
    <w:rsid w:val="00C572BE"/>
    <w:rsid w:val="00C6012B"/>
    <w:rsid w:val="00C62395"/>
    <w:rsid w:val="00C627AC"/>
    <w:rsid w:val="00C628C5"/>
    <w:rsid w:val="00C63780"/>
    <w:rsid w:val="00C63AF7"/>
    <w:rsid w:val="00C63F9B"/>
    <w:rsid w:val="00C644AF"/>
    <w:rsid w:val="00C65038"/>
    <w:rsid w:val="00C65B8C"/>
    <w:rsid w:val="00C65F5E"/>
    <w:rsid w:val="00C67097"/>
    <w:rsid w:val="00C67B85"/>
    <w:rsid w:val="00C71F39"/>
    <w:rsid w:val="00C73360"/>
    <w:rsid w:val="00C73AC9"/>
    <w:rsid w:val="00C7413E"/>
    <w:rsid w:val="00C7496E"/>
    <w:rsid w:val="00C76B18"/>
    <w:rsid w:val="00C77E15"/>
    <w:rsid w:val="00C80D6A"/>
    <w:rsid w:val="00C81277"/>
    <w:rsid w:val="00C812A5"/>
    <w:rsid w:val="00C823CD"/>
    <w:rsid w:val="00C83023"/>
    <w:rsid w:val="00C8352D"/>
    <w:rsid w:val="00C8511F"/>
    <w:rsid w:val="00C85D93"/>
    <w:rsid w:val="00C86197"/>
    <w:rsid w:val="00C86C2A"/>
    <w:rsid w:val="00C87438"/>
    <w:rsid w:val="00C87E7F"/>
    <w:rsid w:val="00C900FB"/>
    <w:rsid w:val="00C905CA"/>
    <w:rsid w:val="00C92FDB"/>
    <w:rsid w:val="00C934DB"/>
    <w:rsid w:val="00C93765"/>
    <w:rsid w:val="00C94F94"/>
    <w:rsid w:val="00C96124"/>
    <w:rsid w:val="00C961E3"/>
    <w:rsid w:val="00C96986"/>
    <w:rsid w:val="00CA01CC"/>
    <w:rsid w:val="00CA3320"/>
    <w:rsid w:val="00CA41A9"/>
    <w:rsid w:val="00CA4619"/>
    <w:rsid w:val="00CA4B29"/>
    <w:rsid w:val="00CA6360"/>
    <w:rsid w:val="00CA7F05"/>
    <w:rsid w:val="00CB03B8"/>
    <w:rsid w:val="00CB07ED"/>
    <w:rsid w:val="00CB25DA"/>
    <w:rsid w:val="00CB2D31"/>
    <w:rsid w:val="00CB3F8B"/>
    <w:rsid w:val="00CB4664"/>
    <w:rsid w:val="00CC0874"/>
    <w:rsid w:val="00CC1383"/>
    <w:rsid w:val="00CC1865"/>
    <w:rsid w:val="00CC1EAC"/>
    <w:rsid w:val="00CC3F3B"/>
    <w:rsid w:val="00CC795D"/>
    <w:rsid w:val="00CC7E2C"/>
    <w:rsid w:val="00CD0AF0"/>
    <w:rsid w:val="00CD1750"/>
    <w:rsid w:val="00CD288B"/>
    <w:rsid w:val="00CD2CCE"/>
    <w:rsid w:val="00CD3E38"/>
    <w:rsid w:val="00CD4A7C"/>
    <w:rsid w:val="00CD4DC7"/>
    <w:rsid w:val="00CD64FC"/>
    <w:rsid w:val="00CD6A45"/>
    <w:rsid w:val="00CE043C"/>
    <w:rsid w:val="00CE1CA9"/>
    <w:rsid w:val="00CE2E12"/>
    <w:rsid w:val="00CE34A9"/>
    <w:rsid w:val="00CE4B0B"/>
    <w:rsid w:val="00CE515A"/>
    <w:rsid w:val="00CE6835"/>
    <w:rsid w:val="00CE6FC0"/>
    <w:rsid w:val="00CF0C9B"/>
    <w:rsid w:val="00CF0E15"/>
    <w:rsid w:val="00CF15B3"/>
    <w:rsid w:val="00CF27BA"/>
    <w:rsid w:val="00CF2AE9"/>
    <w:rsid w:val="00CF2E20"/>
    <w:rsid w:val="00CF5481"/>
    <w:rsid w:val="00CF56C5"/>
    <w:rsid w:val="00CF68E4"/>
    <w:rsid w:val="00D003E0"/>
    <w:rsid w:val="00D01527"/>
    <w:rsid w:val="00D01CE9"/>
    <w:rsid w:val="00D01D24"/>
    <w:rsid w:val="00D02C9C"/>
    <w:rsid w:val="00D03152"/>
    <w:rsid w:val="00D0383D"/>
    <w:rsid w:val="00D04A0B"/>
    <w:rsid w:val="00D04D9F"/>
    <w:rsid w:val="00D05BD6"/>
    <w:rsid w:val="00D065BE"/>
    <w:rsid w:val="00D07100"/>
    <w:rsid w:val="00D108C5"/>
    <w:rsid w:val="00D11334"/>
    <w:rsid w:val="00D117E4"/>
    <w:rsid w:val="00D119EA"/>
    <w:rsid w:val="00D1288A"/>
    <w:rsid w:val="00D133C8"/>
    <w:rsid w:val="00D1409F"/>
    <w:rsid w:val="00D14202"/>
    <w:rsid w:val="00D15DB9"/>
    <w:rsid w:val="00D15DEF"/>
    <w:rsid w:val="00D16189"/>
    <w:rsid w:val="00D16254"/>
    <w:rsid w:val="00D16F0D"/>
    <w:rsid w:val="00D179CD"/>
    <w:rsid w:val="00D17DE3"/>
    <w:rsid w:val="00D20002"/>
    <w:rsid w:val="00D20B04"/>
    <w:rsid w:val="00D2186B"/>
    <w:rsid w:val="00D2214B"/>
    <w:rsid w:val="00D22F5B"/>
    <w:rsid w:val="00D23B29"/>
    <w:rsid w:val="00D23DA9"/>
    <w:rsid w:val="00D24050"/>
    <w:rsid w:val="00D243BD"/>
    <w:rsid w:val="00D248A7"/>
    <w:rsid w:val="00D2497B"/>
    <w:rsid w:val="00D25798"/>
    <w:rsid w:val="00D25BE2"/>
    <w:rsid w:val="00D260DC"/>
    <w:rsid w:val="00D26AA3"/>
    <w:rsid w:val="00D27931"/>
    <w:rsid w:val="00D301CE"/>
    <w:rsid w:val="00D3038B"/>
    <w:rsid w:val="00D30BCB"/>
    <w:rsid w:val="00D30C9C"/>
    <w:rsid w:val="00D32A5A"/>
    <w:rsid w:val="00D32E4A"/>
    <w:rsid w:val="00D335DF"/>
    <w:rsid w:val="00D34C36"/>
    <w:rsid w:val="00D34E18"/>
    <w:rsid w:val="00D3511A"/>
    <w:rsid w:val="00D356C1"/>
    <w:rsid w:val="00D37C58"/>
    <w:rsid w:val="00D37EB6"/>
    <w:rsid w:val="00D425FF"/>
    <w:rsid w:val="00D43215"/>
    <w:rsid w:val="00D454CC"/>
    <w:rsid w:val="00D4589F"/>
    <w:rsid w:val="00D479B8"/>
    <w:rsid w:val="00D47CD4"/>
    <w:rsid w:val="00D50B63"/>
    <w:rsid w:val="00D544D2"/>
    <w:rsid w:val="00D56CB5"/>
    <w:rsid w:val="00D60DED"/>
    <w:rsid w:val="00D61203"/>
    <w:rsid w:val="00D61558"/>
    <w:rsid w:val="00D6165A"/>
    <w:rsid w:val="00D62C89"/>
    <w:rsid w:val="00D63F9B"/>
    <w:rsid w:val="00D64E6D"/>
    <w:rsid w:val="00D664C1"/>
    <w:rsid w:val="00D67C47"/>
    <w:rsid w:val="00D67EDF"/>
    <w:rsid w:val="00D67F96"/>
    <w:rsid w:val="00D70208"/>
    <w:rsid w:val="00D70B33"/>
    <w:rsid w:val="00D714CF"/>
    <w:rsid w:val="00D719BF"/>
    <w:rsid w:val="00D74187"/>
    <w:rsid w:val="00D75945"/>
    <w:rsid w:val="00D77387"/>
    <w:rsid w:val="00D8022F"/>
    <w:rsid w:val="00D82626"/>
    <w:rsid w:val="00D836C7"/>
    <w:rsid w:val="00D84096"/>
    <w:rsid w:val="00D84598"/>
    <w:rsid w:val="00D845D9"/>
    <w:rsid w:val="00D85A7B"/>
    <w:rsid w:val="00D91374"/>
    <w:rsid w:val="00D91CAC"/>
    <w:rsid w:val="00D91CF1"/>
    <w:rsid w:val="00D92836"/>
    <w:rsid w:val="00D9377E"/>
    <w:rsid w:val="00D93AD4"/>
    <w:rsid w:val="00D94E99"/>
    <w:rsid w:val="00D953A9"/>
    <w:rsid w:val="00D95EC1"/>
    <w:rsid w:val="00D96286"/>
    <w:rsid w:val="00D96A9F"/>
    <w:rsid w:val="00D96E9D"/>
    <w:rsid w:val="00D97BDD"/>
    <w:rsid w:val="00D97DF9"/>
    <w:rsid w:val="00DA1634"/>
    <w:rsid w:val="00DA17ED"/>
    <w:rsid w:val="00DA2935"/>
    <w:rsid w:val="00DA37F9"/>
    <w:rsid w:val="00DA381B"/>
    <w:rsid w:val="00DA3B60"/>
    <w:rsid w:val="00DA5C95"/>
    <w:rsid w:val="00DA682D"/>
    <w:rsid w:val="00DA6BDB"/>
    <w:rsid w:val="00DA6F65"/>
    <w:rsid w:val="00DA7A65"/>
    <w:rsid w:val="00DB0F04"/>
    <w:rsid w:val="00DB0F3D"/>
    <w:rsid w:val="00DB1CAE"/>
    <w:rsid w:val="00DB2131"/>
    <w:rsid w:val="00DB277A"/>
    <w:rsid w:val="00DB312A"/>
    <w:rsid w:val="00DB33B7"/>
    <w:rsid w:val="00DB349E"/>
    <w:rsid w:val="00DB3B6D"/>
    <w:rsid w:val="00DB3F8D"/>
    <w:rsid w:val="00DB4E2E"/>
    <w:rsid w:val="00DB69A8"/>
    <w:rsid w:val="00DB6D1E"/>
    <w:rsid w:val="00DB7BC1"/>
    <w:rsid w:val="00DC07A4"/>
    <w:rsid w:val="00DC0C1E"/>
    <w:rsid w:val="00DC162E"/>
    <w:rsid w:val="00DC20C3"/>
    <w:rsid w:val="00DC28F6"/>
    <w:rsid w:val="00DC4C25"/>
    <w:rsid w:val="00DC59E0"/>
    <w:rsid w:val="00DC6EF8"/>
    <w:rsid w:val="00DC78A8"/>
    <w:rsid w:val="00DD040C"/>
    <w:rsid w:val="00DD0E07"/>
    <w:rsid w:val="00DD2114"/>
    <w:rsid w:val="00DD214C"/>
    <w:rsid w:val="00DD2E5D"/>
    <w:rsid w:val="00DD39C8"/>
    <w:rsid w:val="00DD3DC9"/>
    <w:rsid w:val="00DD54E6"/>
    <w:rsid w:val="00DD7253"/>
    <w:rsid w:val="00DD7493"/>
    <w:rsid w:val="00DE016D"/>
    <w:rsid w:val="00DE06BC"/>
    <w:rsid w:val="00DE3C13"/>
    <w:rsid w:val="00DE3C71"/>
    <w:rsid w:val="00DE6416"/>
    <w:rsid w:val="00DE6BA9"/>
    <w:rsid w:val="00DE6DF5"/>
    <w:rsid w:val="00DE6F50"/>
    <w:rsid w:val="00DE6FDE"/>
    <w:rsid w:val="00DE72AC"/>
    <w:rsid w:val="00DE7D98"/>
    <w:rsid w:val="00DF05AD"/>
    <w:rsid w:val="00DF3909"/>
    <w:rsid w:val="00DF3E49"/>
    <w:rsid w:val="00DF413C"/>
    <w:rsid w:val="00DF4C7B"/>
    <w:rsid w:val="00DF5EB4"/>
    <w:rsid w:val="00DF67D2"/>
    <w:rsid w:val="00DF70DD"/>
    <w:rsid w:val="00DF7350"/>
    <w:rsid w:val="00E00D08"/>
    <w:rsid w:val="00E019B1"/>
    <w:rsid w:val="00E021FF"/>
    <w:rsid w:val="00E02651"/>
    <w:rsid w:val="00E039D3"/>
    <w:rsid w:val="00E04963"/>
    <w:rsid w:val="00E04AE3"/>
    <w:rsid w:val="00E05D4B"/>
    <w:rsid w:val="00E05FD4"/>
    <w:rsid w:val="00E07254"/>
    <w:rsid w:val="00E110D1"/>
    <w:rsid w:val="00E14952"/>
    <w:rsid w:val="00E14C4D"/>
    <w:rsid w:val="00E14D69"/>
    <w:rsid w:val="00E15484"/>
    <w:rsid w:val="00E21254"/>
    <w:rsid w:val="00E2162D"/>
    <w:rsid w:val="00E21689"/>
    <w:rsid w:val="00E21886"/>
    <w:rsid w:val="00E2245D"/>
    <w:rsid w:val="00E224D4"/>
    <w:rsid w:val="00E22B36"/>
    <w:rsid w:val="00E246F3"/>
    <w:rsid w:val="00E2479D"/>
    <w:rsid w:val="00E249B3"/>
    <w:rsid w:val="00E27498"/>
    <w:rsid w:val="00E277A3"/>
    <w:rsid w:val="00E3151A"/>
    <w:rsid w:val="00E318FB"/>
    <w:rsid w:val="00E31FB5"/>
    <w:rsid w:val="00E32FF0"/>
    <w:rsid w:val="00E34A9A"/>
    <w:rsid w:val="00E34F0A"/>
    <w:rsid w:val="00E37F35"/>
    <w:rsid w:val="00E4010D"/>
    <w:rsid w:val="00E40403"/>
    <w:rsid w:val="00E40419"/>
    <w:rsid w:val="00E405A9"/>
    <w:rsid w:val="00E412EF"/>
    <w:rsid w:val="00E4168F"/>
    <w:rsid w:val="00E421CB"/>
    <w:rsid w:val="00E425C1"/>
    <w:rsid w:val="00E42B6B"/>
    <w:rsid w:val="00E42DBC"/>
    <w:rsid w:val="00E4580C"/>
    <w:rsid w:val="00E4682C"/>
    <w:rsid w:val="00E47124"/>
    <w:rsid w:val="00E476D9"/>
    <w:rsid w:val="00E50A3F"/>
    <w:rsid w:val="00E51236"/>
    <w:rsid w:val="00E51F7D"/>
    <w:rsid w:val="00E546CB"/>
    <w:rsid w:val="00E55154"/>
    <w:rsid w:val="00E55710"/>
    <w:rsid w:val="00E56016"/>
    <w:rsid w:val="00E5644C"/>
    <w:rsid w:val="00E6017A"/>
    <w:rsid w:val="00E608B8"/>
    <w:rsid w:val="00E60DEE"/>
    <w:rsid w:val="00E612FC"/>
    <w:rsid w:val="00E616E4"/>
    <w:rsid w:val="00E616FA"/>
    <w:rsid w:val="00E62AD5"/>
    <w:rsid w:val="00E63405"/>
    <w:rsid w:val="00E635A3"/>
    <w:rsid w:val="00E63DA1"/>
    <w:rsid w:val="00E6439B"/>
    <w:rsid w:val="00E6477E"/>
    <w:rsid w:val="00E71913"/>
    <w:rsid w:val="00E72B2E"/>
    <w:rsid w:val="00E72ED9"/>
    <w:rsid w:val="00E745D8"/>
    <w:rsid w:val="00E74716"/>
    <w:rsid w:val="00E750FD"/>
    <w:rsid w:val="00E75D8C"/>
    <w:rsid w:val="00E76B7D"/>
    <w:rsid w:val="00E80071"/>
    <w:rsid w:val="00E80F93"/>
    <w:rsid w:val="00E80FFE"/>
    <w:rsid w:val="00E81C86"/>
    <w:rsid w:val="00E82193"/>
    <w:rsid w:val="00E823FE"/>
    <w:rsid w:val="00E82910"/>
    <w:rsid w:val="00E82BAD"/>
    <w:rsid w:val="00E8431A"/>
    <w:rsid w:val="00E8492B"/>
    <w:rsid w:val="00E8583D"/>
    <w:rsid w:val="00E85FBF"/>
    <w:rsid w:val="00E86725"/>
    <w:rsid w:val="00E87931"/>
    <w:rsid w:val="00E90969"/>
    <w:rsid w:val="00E90BAB"/>
    <w:rsid w:val="00E90C70"/>
    <w:rsid w:val="00E91A73"/>
    <w:rsid w:val="00E92C06"/>
    <w:rsid w:val="00E93A4D"/>
    <w:rsid w:val="00E94998"/>
    <w:rsid w:val="00E94EA5"/>
    <w:rsid w:val="00E950B4"/>
    <w:rsid w:val="00E95F9D"/>
    <w:rsid w:val="00E96F3B"/>
    <w:rsid w:val="00E97514"/>
    <w:rsid w:val="00E9756A"/>
    <w:rsid w:val="00EA0323"/>
    <w:rsid w:val="00EA064B"/>
    <w:rsid w:val="00EA09E8"/>
    <w:rsid w:val="00EA0A6E"/>
    <w:rsid w:val="00EA1931"/>
    <w:rsid w:val="00EA2FAC"/>
    <w:rsid w:val="00EA3370"/>
    <w:rsid w:val="00EA34B6"/>
    <w:rsid w:val="00EA39FE"/>
    <w:rsid w:val="00EA5B00"/>
    <w:rsid w:val="00EA5C12"/>
    <w:rsid w:val="00EA616C"/>
    <w:rsid w:val="00EB05F3"/>
    <w:rsid w:val="00EB181E"/>
    <w:rsid w:val="00EB1F4A"/>
    <w:rsid w:val="00EB2B74"/>
    <w:rsid w:val="00EB2FBA"/>
    <w:rsid w:val="00EB3A2D"/>
    <w:rsid w:val="00EB411F"/>
    <w:rsid w:val="00EB50F5"/>
    <w:rsid w:val="00EB5485"/>
    <w:rsid w:val="00EB636A"/>
    <w:rsid w:val="00EB6680"/>
    <w:rsid w:val="00EB71CC"/>
    <w:rsid w:val="00EB7B92"/>
    <w:rsid w:val="00EB7F24"/>
    <w:rsid w:val="00EC002D"/>
    <w:rsid w:val="00EC0AC7"/>
    <w:rsid w:val="00EC2B9C"/>
    <w:rsid w:val="00EC56BD"/>
    <w:rsid w:val="00EC67BE"/>
    <w:rsid w:val="00EC6EDF"/>
    <w:rsid w:val="00EC7E8C"/>
    <w:rsid w:val="00ED1454"/>
    <w:rsid w:val="00ED23C4"/>
    <w:rsid w:val="00ED335C"/>
    <w:rsid w:val="00ED39BD"/>
    <w:rsid w:val="00ED3AA2"/>
    <w:rsid w:val="00ED452E"/>
    <w:rsid w:val="00ED5086"/>
    <w:rsid w:val="00ED519D"/>
    <w:rsid w:val="00ED52A9"/>
    <w:rsid w:val="00ED57C3"/>
    <w:rsid w:val="00ED72FA"/>
    <w:rsid w:val="00EE1310"/>
    <w:rsid w:val="00EE47A9"/>
    <w:rsid w:val="00EE5C1B"/>
    <w:rsid w:val="00EE6172"/>
    <w:rsid w:val="00EE714B"/>
    <w:rsid w:val="00EE71B1"/>
    <w:rsid w:val="00EE76EA"/>
    <w:rsid w:val="00EF167D"/>
    <w:rsid w:val="00EF2018"/>
    <w:rsid w:val="00EF23D0"/>
    <w:rsid w:val="00EF2AD0"/>
    <w:rsid w:val="00EF31C8"/>
    <w:rsid w:val="00EF3351"/>
    <w:rsid w:val="00EF477B"/>
    <w:rsid w:val="00EF4BF6"/>
    <w:rsid w:val="00EF5DC4"/>
    <w:rsid w:val="00EF6BF2"/>
    <w:rsid w:val="00EF7E0F"/>
    <w:rsid w:val="00F00600"/>
    <w:rsid w:val="00F00EBF"/>
    <w:rsid w:val="00F01634"/>
    <w:rsid w:val="00F01C60"/>
    <w:rsid w:val="00F028DA"/>
    <w:rsid w:val="00F031DD"/>
    <w:rsid w:val="00F03607"/>
    <w:rsid w:val="00F03694"/>
    <w:rsid w:val="00F0384B"/>
    <w:rsid w:val="00F04E13"/>
    <w:rsid w:val="00F05662"/>
    <w:rsid w:val="00F06232"/>
    <w:rsid w:val="00F073BE"/>
    <w:rsid w:val="00F10800"/>
    <w:rsid w:val="00F108DB"/>
    <w:rsid w:val="00F113DF"/>
    <w:rsid w:val="00F14D52"/>
    <w:rsid w:val="00F15AEF"/>
    <w:rsid w:val="00F16036"/>
    <w:rsid w:val="00F16124"/>
    <w:rsid w:val="00F167FB"/>
    <w:rsid w:val="00F172EA"/>
    <w:rsid w:val="00F179B8"/>
    <w:rsid w:val="00F202F1"/>
    <w:rsid w:val="00F208A0"/>
    <w:rsid w:val="00F20E58"/>
    <w:rsid w:val="00F2130D"/>
    <w:rsid w:val="00F215EF"/>
    <w:rsid w:val="00F22586"/>
    <w:rsid w:val="00F22C67"/>
    <w:rsid w:val="00F2320E"/>
    <w:rsid w:val="00F24396"/>
    <w:rsid w:val="00F24479"/>
    <w:rsid w:val="00F24559"/>
    <w:rsid w:val="00F249F2"/>
    <w:rsid w:val="00F2557C"/>
    <w:rsid w:val="00F26170"/>
    <w:rsid w:val="00F2720D"/>
    <w:rsid w:val="00F27DE1"/>
    <w:rsid w:val="00F27EF5"/>
    <w:rsid w:val="00F30599"/>
    <w:rsid w:val="00F30F15"/>
    <w:rsid w:val="00F32220"/>
    <w:rsid w:val="00F32E94"/>
    <w:rsid w:val="00F34149"/>
    <w:rsid w:val="00F34749"/>
    <w:rsid w:val="00F34B8B"/>
    <w:rsid w:val="00F34EEA"/>
    <w:rsid w:val="00F3502B"/>
    <w:rsid w:val="00F374C7"/>
    <w:rsid w:val="00F4074C"/>
    <w:rsid w:val="00F408E6"/>
    <w:rsid w:val="00F419A3"/>
    <w:rsid w:val="00F421DC"/>
    <w:rsid w:val="00F42501"/>
    <w:rsid w:val="00F42828"/>
    <w:rsid w:val="00F4412F"/>
    <w:rsid w:val="00F449F6"/>
    <w:rsid w:val="00F4538D"/>
    <w:rsid w:val="00F45686"/>
    <w:rsid w:val="00F45C0B"/>
    <w:rsid w:val="00F46D8D"/>
    <w:rsid w:val="00F51EB5"/>
    <w:rsid w:val="00F522DA"/>
    <w:rsid w:val="00F5374D"/>
    <w:rsid w:val="00F53C2D"/>
    <w:rsid w:val="00F5520A"/>
    <w:rsid w:val="00F5557E"/>
    <w:rsid w:val="00F5648C"/>
    <w:rsid w:val="00F5676B"/>
    <w:rsid w:val="00F609DD"/>
    <w:rsid w:val="00F61342"/>
    <w:rsid w:val="00F650FE"/>
    <w:rsid w:val="00F655F4"/>
    <w:rsid w:val="00F658C2"/>
    <w:rsid w:val="00F7094D"/>
    <w:rsid w:val="00F71D46"/>
    <w:rsid w:val="00F732FB"/>
    <w:rsid w:val="00F73685"/>
    <w:rsid w:val="00F73CF3"/>
    <w:rsid w:val="00F75E4E"/>
    <w:rsid w:val="00F76D28"/>
    <w:rsid w:val="00F772F4"/>
    <w:rsid w:val="00F776D4"/>
    <w:rsid w:val="00F778CC"/>
    <w:rsid w:val="00F77A33"/>
    <w:rsid w:val="00F80262"/>
    <w:rsid w:val="00F80755"/>
    <w:rsid w:val="00F80D15"/>
    <w:rsid w:val="00F83244"/>
    <w:rsid w:val="00F83D20"/>
    <w:rsid w:val="00F86AA5"/>
    <w:rsid w:val="00F87073"/>
    <w:rsid w:val="00F875FF"/>
    <w:rsid w:val="00F879BF"/>
    <w:rsid w:val="00F87A1A"/>
    <w:rsid w:val="00F87C8B"/>
    <w:rsid w:val="00F87F24"/>
    <w:rsid w:val="00F90A97"/>
    <w:rsid w:val="00F910E6"/>
    <w:rsid w:val="00F928D6"/>
    <w:rsid w:val="00F93684"/>
    <w:rsid w:val="00F94002"/>
    <w:rsid w:val="00F9525A"/>
    <w:rsid w:val="00F95C09"/>
    <w:rsid w:val="00F95E97"/>
    <w:rsid w:val="00F96D85"/>
    <w:rsid w:val="00F96FEA"/>
    <w:rsid w:val="00F97217"/>
    <w:rsid w:val="00F97A30"/>
    <w:rsid w:val="00FA0442"/>
    <w:rsid w:val="00FA09AA"/>
    <w:rsid w:val="00FA1046"/>
    <w:rsid w:val="00FA1335"/>
    <w:rsid w:val="00FA17BE"/>
    <w:rsid w:val="00FA31BF"/>
    <w:rsid w:val="00FA425D"/>
    <w:rsid w:val="00FA42B4"/>
    <w:rsid w:val="00FA433E"/>
    <w:rsid w:val="00FA4814"/>
    <w:rsid w:val="00FA4883"/>
    <w:rsid w:val="00FA4EF4"/>
    <w:rsid w:val="00FA502D"/>
    <w:rsid w:val="00FA5589"/>
    <w:rsid w:val="00FA5CB0"/>
    <w:rsid w:val="00FA66FF"/>
    <w:rsid w:val="00FA7825"/>
    <w:rsid w:val="00FA7993"/>
    <w:rsid w:val="00FB10B1"/>
    <w:rsid w:val="00FB1A76"/>
    <w:rsid w:val="00FB2AF5"/>
    <w:rsid w:val="00FB3294"/>
    <w:rsid w:val="00FB3A81"/>
    <w:rsid w:val="00FB44EF"/>
    <w:rsid w:val="00FB44FD"/>
    <w:rsid w:val="00FB57B4"/>
    <w:rsid w:val="00FB641E"/>
    <w:rsid w:val="00FB785A"/>
    <w:rsid w:val="00FB7F99"/>
    <w:rsid w:val="00FC0E2B"/>
    <w:rsid w:val="00FC3420"/>
    <w:rsid w:val="00FC49E6"/>
    <w:rsid w:val="00FC55D9"/>
    <w:rsid w:val="00FC5F74"/>
    <w:rsid w:val="00FC6367"/>
    <w:rsid w:val="00FC69EF"/>
    <w:rsid w:val="00FC6FAC"/>
    <w:rsid w:val="00FD0DF5"/>
    <w:rsid w:val="00FD348F"/>
    <w:rsid w:val="00FD4260"/>
    <w:rsid w:val="00FD4F16"/>
    <w:rsid w:val="00FD54F9"/>
    <w:rsid w:val="00FD5912"/>
    <w:rsid w:val="00FD700C"/>
    <w:rsid w:val="00FE031B"/>
    <w:rsid w:val="00FE129A"/>
    <w:rsid w:val="00FE198A"/>
    <w:rsid w:val="00FE3053"/>
    <w:rsid w:val="00FE311E"/>
    <w:rsid w:val="00FE4287"/>
    <w:rsid w:val="00FE4910"/>
    <w:rsid w:val="00FE53F7"/>
    <w:rsid w:val="00FE567F"/>
    <w:rsid w:val="00FE667C"/>
    <w:rsid w:val="00FE6CC0"/>
    <w:rsid w:val="00FF18C0"/>
    <w:rsid w:val="00FF21EC"/>
    <w:rsid w:val="00FF3E16"/>
    <w:rsid w:val="00FF4DCD"/>
    <w:rsid w:val="00FF51C4"/>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4759CC"/>
  <w15:docId w15:val="{7D29DABE-AD15-42C4-BD09-83A08B1F8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71BA9"/>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style>
  <w:style w:type="character" w:customStyle="1" w:styleId="EncabezadoCar">
    <w:name w:val="Encabezado Car"/>
    <w:link w:val="Encabezado"/>
    <w:uiPriority w:val="99"/>
    <w:rsid w:val="009B198F"/>
    <w:rPr>
      <w:rFonts w:ascii="Times New Roman" w:eastAsia="Times New Roman" w:hAnsi="Times New Roman" w:cs="Times New Roman"/>
      <w:sz w:val="24"/>
      <w:szCs w:val="24"/>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character" w:customStyle="1" w:styleId="PrrafodelistaCar">
    <w:name w:val="Párrafo de lista Car"/>
    <w:aliases w:val="Párrafo de lista 2 Car"/>
    <w:link w:val="Prrafodelista"/>
    <w:uiPriority w:val="34"/>
    <w:rsid w:val="005A6477"/>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uiPriority w:val="99"/>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EB2FBA"/>
    <w:pPr>
      <w:pBdr>
        <w:top w:val="thinThickSmallGap" w:sz="24" w:space="1" w:color="585858"/>
      </w:pBdr>
      <w:tabs>
        <w:tab w:val="center" w:pos="4419"/>
        <w:tab w:val="right" w:pos="8838"/>
      </w:tabs>
    </w:pPr>
    <w:rPr>
      <w:rFonts w:ascii="Constantia" w:hAnsi="Constantia"/>
    </w:rPr>
  </w:style>
  <w:style w:type="character" w:customStyle="1" w:styleId="PiedepginaCar">
    <w:name w:val="Pie de página Car"/>
    <w:link w:val="Piedepgina"/>
    <w:uiPriority w:val="99"/>
    <w:rsid w:val="00EB2FBA"/>
    <w:rPr>
      <w:rFonts w:ascii="Constantia" w:eastAsia="Times New Roman" w:hAnsi="Constantia"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lang w:val="es-GT" w:eastAsia="es-GT"/>
    </w:rPr>
  </w:style>
  <w:style w:type="paragraph" w:styleId="Sinespaciado">
    <w:name w:val="No Spacing"/>
    <w:link w:val="SinespaciadoCar"/>
    <w:uiPriority w:val="1"/>
    <w:qFormat/>
    <w:rsid w:val="00C7413E"/>
    <w:rPr>
      <w:rFonts w:ascii="Constantia" w:eastAsia="Times New Roman" w:hAnsi="Constantia"/>
      <w:sz w:val="24"/>
      <w:szCs w:val="24"/>
      <w:lang w:val="es-ES_tradnl" w:eastAsia="ja-JP"/>
    </w:rPr>
  </w:style>
  <w:style w:type="character" w:customStyle="1" w:styleId="SinespaciadoCar">
    <w:name w:val="Sin espaciado Car"/>
    <w:basedOn w:val="Fuentedeprrafopredeter"/>
    <w:link w:val="Sinespaciado"/>
    <w:uiPriority w:val="1"/>
    <w:locked/>
    <w:rsid w:val="005B1AE1"/>
    <w:rPr>
      <w:rFonts w:ascii="Constantia" w:eastAsia="Times New Roman" w:hAnsi="Constantia"/>
      <w:sz w:val="24"/>
      <w:szCs w:val="24"/>
      <w:lang w:val="es-ES_tradnl" w:eastAsia="ja-JP"/>
    </w:rPr>
  </w:style>
  <w:style w:type="paragraph" w:styleId="TtuloTDC">
    <w:name w:val="TOC Heading"/>
    <w:basedOn w:val="Ttulo1"/>
    <w:next w:val="Normal"/>
    <w:uiPriority w:val="39"/>
    <w:unhideWhenUsed/>
    <w:qFormat/>
    <w:rsid w:val="00D61558"/>
    <w:pPr>
      <w:keepLines/>
      <w:numPr>
        <w:numId w:val="0"/>
      </w:numPr>
      <w:spacing w:before="480" w:line="276" w:lineRule="auto"/>
      <w:outlineLvl w:val="9"/>
    </w:pPr>
    <w:rPr>
      <w:rFonts w:ascii="Constantia" w:hAnsi="Constantia"/>
      <w:color w:val="A5A5A5"/>
      <w:sz w:val="28"/>
      <w:szCs w:val="28"/>
      <w:lang w:val="es-GT" w:eastAsia="es-GT"/>
    </w:rPr>
  </w:style>
  <w:style w:type="paragraph" w:styleId="TDC1">
    <w:name w:val="toc 1"/>
    <w:basedOn w:val="Normal"/>
    <w:next w:val="Normal"/>
    <w:autoRedefine/>
    <w:uiPriority w:val="39"/>
    <w:unhideWhenUsed/>
    <w:rsid w:val="00383CA7"/>
    <w:pPr>
      <w:tabs>
        <w:tab w:val="left" w:pos="480"/>
        <w:tab w:val="right" w:leader="dot" w:pos="9062"/>
      </w:tabs>
      <w:spacing w:after="100"/>
      <w:jc w:val="both"/>
    </w:pPr>
  </w:style>
  <w:style w:type="paragraph" w:styleId="TDC2">
    <w:name w:val="toc 2"/>
    <w:basedOn w:val="Normal"/>
    <w:next w:val="Normal"/>
    <w:autoRedefine/>
    <w:uiPriority w:val="39"/>
    <w:unhideWhenUsed/>
    <w:rsid w:val="00AB0496"/>
    <w:pPr>
      <w:tabs>
        <w:tab w:val="left" w:pos="880"/>
        <w:tab w:val="right" w:leader="dot" w:pos="9072"/>
      </w:tabs>
      <w:spacing w:after="100"/>
      <w:ind w:left="240"/>
      <w:jc w:val="both"/>
    </w:pPr>
  </w:style>
  <w:style w:type="paragraph" w:styleId="TDC3">
    <w:name w:val="toc 3"/>
    <w:basedOn w:val="Normal"/>
    <w:next w:val="Normal"/>
    <w:autoRedefine/>
    <w:uiPriority w:val="39"/>
    <w:unhideWhenUsed/>
    <w:rsid w:val="004F48BD"/>
    <w:pPr>
      <w:tabs>
        <w:tab w:val="left" w:pos="1100"/>
        <w:tab w:val="right" w:leader="dot" w:pos="9062"/>
      </w:tabs>
      <w:spacing w:after="100"/>
      <w:ind w:left="480"/>
      <w:jc w:val="both"/>
    </w:pPr>
  </w:style>
  <w:style w:type="character" w:styleId="Refdecomentario">
    <w:name w:val="annotation reference"/>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link w:val="Asuntodelcomentario"/>
    <w:uiPriority w:val="99"/>
    <w:semiHidden/>
    <w:rsid w:val="00B372A0"/>
    <w:rPr>
      <w:rFonts w:ascii="Times New Roman" w:eastAsia="Times New Roman" w:hAnsi="Times New Roman"/>
      <w:b/>
      <w:bCs/>
      <w:lang w:val="es-ES" w:eastAsia="es-ES"/>
    </w:rPr>
  </w:style>
  <w:style w:type="table" w:customStyle="1" w:styleId="Listamedia2-nfasis11">
    <w:name w:val="Lista media 2 - Énfasis 11"/>
    <w:basedOn w:val="Tablanormal"/>
    <w:uiPriority w:val="66"/>
    <w:rsid w:val="0085525B"/>
    <w:rPr>
      <w:rFonts w:ascii="Cambria" w:eastAsia="Times New Roman" w:hAnsi="Cambria"/>
      <w:color w:val="000000"/>
      <w:sz w:val="22"/>
      <w:szCs w:val="22"/>
      <w:lang w:val="es-E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stamedia2-nfasis1">
    <w:name w:val="Medium List 2 Accent 1"/>
    <w:basedOn w:val="Tablanormal"/>
    <w:uiPriority w:val="66"/>
    <w:rsid w:val="0085525B"/>
    <w:rPr>
      <w:rFonts w:ascii="Constantia" w:eastAsia="Times New Roman" w:hAnsi="Constantia"/>
      <w:color w:val="000000"/>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sz w:val="24"/>
        <w:szCs w:val="24"/>
      </w:rPr>
      <w:tblPr/>
      <w:tcPr>
        <w:tcBorders>
          <w:top w:val="nil"/>
          <w:left w:val="nil"/>
          <w:bottom w:val="single" w:sz="24" w:space="0" w:color="DDDDDD"/>
          <w:right w:val="nil"/>
          <w:insideH w:val="nil"/>
          <w:insideV w:val="nil"/>
        </w:tcBorders>
        <w:shd w:val="clear" w:color="auto" w:fill="FFFFFF"/>
      </w:tcPr>
    </w:tblStylePr>
    <w:tblStylePr w:type="lastRow">
      <w:tblPr/>
      <w:tcPr>
        <w:tcBorders>
          <w:top w:val="single" w:sz="8" w:space="0" w:color="DDDDDD"/>
          <w:left w:val="nil"/>
          <w:bottom w:val="nil"/>
          <w:right w:val="nil"/>
          <w:insideH w:val="nil"/>
          <w:insideV w:val="nil"/>
        </w:tcBorders>
        <w:shd w:val="clear" w:color="auto" w:fill="FFFFFF"/>
      </w:tcPr>
    </w:tblStylePr>
    <w:tblStylePr w:type="firstCol">
      <w:tblPr/>
      <w:tcPr>
        <w:tcBorders>
          <w:top w:val="nil"/>
          <w:left w:val="nil"/>
          <w:bottom w:val="nil"/>
          <w:right w:val="single" w:sz="8" w:space="0" w:color="DDDDDD"/>
          <w:insideH w:val="nil"/>
          <w:insideV w:val="nil"/>
        </w:tcBorders>
        <w:shd w:val="clear" w:color="auto" w:fill="FFFFFF"/>
      </w:tcPr>
    </w:tblStylePr>
    <w:tblStylePr w:type="lastCol">
      <w:tblPr/>
      <w:tcPr>
        <w:tcBorders>
          <w:top w:val="nil"/>
          <w:left w:val="single" w:sz="8" w:space="0" w:color="DDDDD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F6F6"/>
      </w:tcPr>
    </w:tblStylePr>
    <w:tblStylePr w:type="band1Horz">
      <w:tblPr/>
      <w:tcPr>
        <w:tcBorders>
          <w:top w:val="nil"/>
          <w:bottom w:val="nil"/>
          <w:insideH w:val="nil"/>
          <w:insideV w:val="nil"/>
        </w:tcBorders>
        <w:shd w:val="clear" w:color="auto" w:fill="F6F6F6"/>
      </w:tcPr>
    </w:tblStylePr>
    <w:tblStylePr w:type="nwCell">
      <w:tblPr/>
      <w:tcPr>
        <w:shd w:val="clear" w:color="auto" w:fill="FFFFFF"/>
      </w:tcPr>
    </w:tblStylePr>
    <w:tblStylePr w:type="swCell">
      <w:tblPr/>
      <w:tcPr>
        <w:tcBorders>
          <w:top w:val="nil"/>
        </w:tcBorders>
      </w:tcPr>
    </w:tblStylePr>
  </w:style>
  <w:style w:type="table" w:customStyle="1" w:styleId="Tablaconcuadrcula1">
    <w:name w:val="Tabla con cuadrícula1"/>
    <w:basedOn w:val="Tablanormal"/>
    <w:next w:val="Tablaconcuadrcula"/>
    <w:uiPriority w:val="59"/>
    <w:rsid w:val="00DA6BDB"/>
    <w:rPr>
      <w:rFonts w:ascii="Times New Roman" w:eastAsia="Times New Roman" w:hAnsi="Times New Roman"/>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link w:val="DescripcinCar"/>
    <w:uiPriority w:val="35"/>
    <w:unhideWhenUsed/>
    <w:qFormat/>
    <w:rsid w:val="00DB0F04"/>
    <w:pPr>
      <w:spacing w:after="200"/>
    </w:pPr>
    <w:rPr>
      <w:rFonts w:asciiTheme="minorHAnsi" w:eastAsiaTheme="minorHAnsi" w:hAnsiTheme="minorHAnsi" w:cstheme="minorBidi"/>
      <w:i/>
      <w:iCs/>
      <w:color w:val="000000" w:themeColor="text2"/>
      <w:sz w:val="18"/>
      <w:szCs w:val="18"/>
      <w:lang w:val="es-GT" w:eastAsia="en-US"/>
    </w:rPr>
  </w:style>
  <w:style w:type="character" w:customStyle="1" w:styleId="DescripcinCar">
    <w:name w:val="Descripción Car"/>
    <w:basedOn w:val="Fuentedeprrafopredeter"/>
    <w:link w:val="Descripcin"/>
    <w:uiPriority w:val="35"/>
    <w:rsid w:val="00F34749"/>
    <w:rPr>
      <w:rFonts w:asciiTheme="minorHAnsi" w:eastAsiaTheme="minorHAnsi" w:hAnsiTheme="minorHAnsi" w:cstheme="minorBidi"/>
      <w:i/>
      <w:iCs/>
      <w:color w:val="000000" w:themeColor="text2"/>
      <w:sz w:val="18"/>
      <w:szCs w:val="18"/>
      <w:lang w:val="es-G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19479179">
      <w:bodyDiv w:val="1"/>
      <w:marLeft w:val="0"/>
      <w:marRight w:val="0"/>
      <w:marTop w:val="0"/>
      <w:marBottom w:val="0"/>
      <w:divBdr>
        <w:top w:val="none" w:sz="0" w:space="0" w:color="auto"/>
        <w:left w:val="none" w:sz="0" w:space="0" w:color="auto"/>
        <w:bottom w:val="none" w:sz="0" w:space="0" w:color="auto"/>
        <w:right w:val="none" w:sz="0" w:space="0" w:color="auto"/>
      </w:divBdr>
    </w:div>
    <w:div w:id="74597903">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24812311">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77689072">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03335456">
      <w:bodyDiv w:val="1"/>
      <w:marLeft w:val="0"/>
      <w:marRight w:val="0"/>
      <w:marTop w:val="0"/>
      <w:marBottom w:val="0"/>
      <w:divBdr>
        <w:top w:val="none" w:sz="0" w:space="0" w:color="auto"/>
        <w:left w:val="none" w:sz="0" w:space="0" w:color="auto"/>
        <w:bottom w:val="none" w:sz="0" w:space="0" w:color="auto"/>
        <w:right w:val="none" w:sz="0" w:space="0" w:color="auto"/>
      </w:divBdr>
    </w:div>
    <w:div w:id="438334676">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53980856">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94607275">
      <w:bodyDiv w:val="1"/>
      <w:marLeft w:val="0"/>
      <w:marRight w:val="0"/>
      <w:marTop w:val="0"/>
      <w:marBottom w:val="0"/>
      <w:divBdr>
        <w:top w:val="none" w:sz="0" w:space="0" w:color="auto"/>
        <w:left w:val="none" w:sz="0" w:space="0" w:color="auto"/>
        <w:bottom w:val="none" w:sz="0" w:space="0" w:color="auto"/>
        <w:right w:val="none" w:sz="0" w:space="0" w:color="auto"/>
      </w:divBdr>
    </w:div>
    <w:div w:id="524638195">
      <w:bodyDiv w:val="1"/>
      <w:marLeft w:val="0"/>
      <w:marRight w:val="0"/>
      <w:marTop w:val="0"/>
      <w:marBottom w:val="0"/>
      <w:divBdr>
        <w:top w:val="none" w:sz="0" w:space="0" w:color="auto"/>
        <w:left w:val="none" w:sz="0" w:space="0" w:color="auto"/>
        <w:bottom w:val="none" w:sz="0" w:space="0" w:color="auto"/>
        <w:right w:val="none" w:sz="0" w:space="0" w:color="auto"/>
      </w:divBdr>
    </w:div>
    <w:div w:id="532572793">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0306928">
      <w:bodyDiv w:val="1"/>
      <w:marLeft w:val="0"/>
      <w:marRight w:val="0"/>
      <w:marTop w:val="0"/>
      <w:marBottom w:val="0"/>
      <w:divBdr>
        <w:top w:val="none" w:sz="0" w:space="0" w:color="auto"/>
        <w:left w:val="none" w:sz="0" w:space="0" w:color="auto"/>
        <w:bottom w:val="none" w:sz="0" w:space="0" w:color="auto"/>
        <w:right w:val="none" w:sz="0" w:space="0" w:color="auto"/>
      </w:divBdr>
    </w:div>
    <w:div w:id="562522481">
      <w:bodyDiv w:val="1"/>
      <w:marLeft w:val="0"/>
      <w:marRight w:val="0"/>
      <w:marTop w:val="0"/>
      <w:marBottom w:val="0"/>
      <w:divBdr>
        <w:top w:val="none" w:sz="0" w:space="0" w:color="auto"/>
        <w:left w:val="none" w:sz="0" w:space="0" w:color="auto"/>
        <w:bottom w:val="none" w:sz="0" w:space="0" w:color="auto"/>
        <w:right w:val="none" w:sz="0" w:space="0" w:color="auto"/>
      </w:divBdr>
    </w:div>
    <w:div w:id="599878590">
      <w:bodyDiv w:val="1"/>
      <w:marLeft w:val="0"/>
      <w:marRight w:val="0"/>
      <w:marTop w:val="0"/>
      <w:marBottom w:val="0"/>
      <w:divBdr>
        <w:top w:val="none" w:sz="0" w:space="0" w:color="auto"/>
        <w:left w:val="none" w:sz="0" w:space="0" w:color="auto"/>
        <w:bottom w:val="none" w:sz="0" w:space="0" w:color="auto"/>
        <w:right w:val="none" w:sz="0" w:space="0" w:color="auto"/>
      </w:divBdr>
    </w:div>
    <w:div w:id="622032882">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698821098">
      <w:bodyDiv w:val="1"/>
      <w:marLeft w:val="0"/>
      <w:marRight w:val="0"/>
      <w:marTop w:val="0"/>
      <w:marBottom w:val="0"/>
      <w:divBdr>
        <w:top w:val="none" w:sz="0" w:space="0" w:color="auto"/>
        <w:left w:val="none" w:sz="0" w:space="0" w:color="auto"/>
        <w:bottom w:val="none" w:sz="0" w:space="0" w:color="auto"/>
        <w:right w:val="none" w:sz="0" w:space="0" w:color="auto"/>
      </w:divBdr>
    </w:div>
    <w:div w:id="700592297">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756096498">
      <w:bodyDiv w:val="1"/>
      <w:marLeft w:val="0"/>
      <w:marRight w:val="0"/>
      <w:marTop w:val="0"/>
      <w:marBottom w:val="0"/>
      <w:divBdr>
        <w:top w:val="none" w:sz="0" w:space="0" w:color="auto"/>
        <w:left w:val="none" w:sz="0" w:space="0" w:color="auto"/>
        <w:bottom w:val="none" w:sz="0" w:space="0" w:color="auto"/>
        <w:right w:val="none" w:sz="0" w:space="0" w:color="auto"/>
      </w:divBdr>
    </w:div>
    <w:div w:id="782462308">
      <w:bodyDiv w:val="1"/>
      <w:marLeft w:val="0"/>
      <w:marRight w:val="0"/>
      <w:marTop w:val="0"/>
      <w:marBottom w:val="0"/>
      <w:divBdr>
        <w:top w:val="none" w:sz="0" w:space="0" w:color="auto"/>
        <w:left w:val="none" w:sz="0" w:space="0" w:color="auto"/>
        <w:bottom w:val="none" w:sz="0" w:space="0" w:color="auto"/>
        <w:right w:val="none" w:sz="0" w:space="0" w:color="auto"/>
      </w:divBdr>
    </w:div>
    <w:div w:id="797065889">
      <w:bodyDiv w:val="1"/>
      <w:marLeft w:val="0"/>
      <w:marRight w:val="0"/>
      <w:marTop w:val="0"/>
      <w:marBottom w:val="0"/>
      <w:divBdr>
        <w:top w:val="none" w:sz="0" w:space="0" w:color="auto"/>
        <w:left w:val="none" w:sz="0" w:space="0" w:color="auto"/>
        <w:bottom w:val="none" w:sz="0" w:space="0" w:color="auto"/>
        <w:right w:val="none" w:sz="0" w:space="0" w:color="auto"/>
      </w:divBdr>
    </w:div>
    <w:div w:id="830758260">
      <w:bodyDiv w:val="1"/>
      <w:marLeft w:val="0"/>
      <w:marRight w:val="0"/>
      <w:marTop w:val="0"/>
      <w:marBottom w:val="0"/>
      <w:divBdr>
        <w:top w:val="none" w:sz="0" w:space="0" w:color="auto"/>
        <w:left w:val="none" w:sz="0" w:space="0" w:color="auto"/>
        <w:bottom w:val="none" w:sz="0" w:space="0" w:color="auto"/>
        <w:right w:val="none" w:sz="0" w:space="0" w:color="auto"/>
      </w:divBdr>
    </w:div>
    <w:div w:id="841549736">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01255323">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894681">
      <w:bodyDiv w:val="1"/>
      <w:marLeft w:val="0"/>
      <w:marRight w:val="0"/>
      <w:marTop w:val="0"/>
      <w:marBottom w:val="0"/>
      <w:divBdr>
        <w:top w:val="none" w:sz="0" w:space="0" w:color="auto"/>
        <w:left w:val="none" w:sz="0" w:space="0" w:color="auto"/>
        <w:bottom w:val="none" w:sz="0" w:space="0" w:color="auto"/>
        <w:right w:val="none" w:sz="0" w:space="0" w:color="auto"/>
      </w:divBdr>
    </w:div>
    <w:div w:id="994917725">
      <w:bodyDiv w:val="1"/>
      <w:marLeft w:val="0"/>
      <w:marRight w:val="0"/>
      <w:marTop w:val="0"/>
      <w:marBottom w:val="0"/>
      <w:divBdr>
        <w:top w:val="none" w:sz="0" w:space="0" w:color="auto"/>
        <w:left w:val="none" w:sz="0" w:space="0" w:color="auto"/>
        <w:bottom w:val="none" w:sz="0" w:space="0" w:color="auto"/>
        <w:right w:val="none" w:sz="0" w:space="0" w:color="auto"/>
      </w:divBdr>
    </w:div>
    <w:div w:id="998920021">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43747576">
      <w:bodyDiv w:val="1"/>
      <w:marLeft w:val="0"/>
      <w:marRight w:val="0"/>
      <w:marTop w:val="0"/>
      <w:marBottom w:val="0"/>
      <w:divBdr>
        <w:top w:val="none" w:sz="0" w:space="0" w:color="auto"/>
        <w:left w:val="none" w:sz="0" w:space="0" w:color="auto"/>
        <w:bottom w:val="none" w:sz="0" w:space="0" w:color="auto"/>
        <w:right w:val="none" w:sz="0" w:space="0" w:color="auto"/>
      </w:divBdr>
    </w:div>
    <w:div w:id="1044598226">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83725844">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2846704">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8279644">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223173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39945534">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77509435">
      <w:bodyDiv w:val="1"/>
      <w:marLeft w:val="0"/>
      <w:marRight w:val="0"/>
      <w:marTop w:val="0"/>
      <w:marBottom w:val="0"/>
      <w:divBdr>
        <w:top w:val="none" w:sz="0" w:space="0" w:color="auto"/>
        <w:left w:val="none" w:sz="0" w:space="0" w:color="auto"/>
        <w:bottom w:val="none" w:sz="0" w:space="0" w:color="auto"/>
        <w:right w:val="none" w:sz="0" w:space="0" w:color="auto"/>
      </w:divBdr>
    </w:div>
    <w:div w:id="1378160490">
      <w:bodyDiv w:val="1"/>
      <w:marLeft w:val="0"/>
      <w:marRight w:val="0"/>
      <w:marTop w:val="0"/>
      <w:marBottom w:val="0"/>
      <w:divBdr>
        <w:top w:val="none" w:sz="0" w:space="0" w:color="auto"/>
        <w:left w:val="none" w:sz="0" w:space="0" w:color="auto"/>
        <w:bottom w:val="none" w:sz="0" w:space="0" w:color="auto"/>
        <w:right w:val="none" w:sz="0" w:space="0" w:color="auto"/>
      </w:divBdr>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43498282">
      <w:bodyDiv w:val="1"/>
      <w:marLeft w:val="0"/>
      <w:marRight w:val="0"/>
      <w:marTop w:val="0"/>
      <w:marBottom w:val="0"/>
      <w:divBdr>
        <w:top w:val="none" w:sz="0" w:space="0" w:color="auto"/>
        <w:left w:val="none" w:sz="0" w:space="0" w:color="auto"/>
        <w:bottom w:val="none" w:sz="0" w:space="0" w:color="auto"/>
        <w:right w:val="none" w:sz="0" w:space="0" w:color="auto"/>
      </w:divBdr>
    </w:div>
    <w:div w:id="1453094426">
      <w:bodyDiv w:val="1"/>
      <w:marLeft w:val="0"/>
      <w:marRight w:val="0"/>
      <w:marTop w:val="0"/>
      <w:marBottom w:val="0"/>
      <w:divBdr>
        <w:top w:val="none" w:sz="0" w:space="0" w:color="auto"/>
        <w:left w:val="none" w:sz="0" w:space="0" w:color="auto"/>
        <w:bottom w:val="none" w:sz="0" w:space="0" w:color="auto"/>
        <w:right w:val="none" w:sz="0" w:space="0" w:color="auto"/>
      </w:divBdr>
    </w:div>
    <w:div w:id="1453982357">
      <w:bodyDiv w:val="1"/>
      <w:marLeft w:val="0"/>
      <w:marRight w:val="0"/>
      <w:marTop w:val="0"/>
      <w:marBottom w:val="0"/>
      <w:divBdr>
        <w:top w:val="none" w:sz="0" w:space="0" w:color="auto"/>
        <w:left w:val="none" w:sz="0" w:space="0" w:color="auto"/>
        <w:bottom w:val="none" w:sz="0" w:space="0" w:color="auto"/>
        <w:right w:val="none" w:sz="0" w:space="0" w:color="auto"/>
      </w:divBdr>
    </w:div>
    <w:div w:id="1462914901">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263607">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616406584">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80155601">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93595793">
      <w:bodyDiv w:val="1"/>
      <w:marLeft w:val="0"/>
      <w:marRight w:val="0"/>
      <w:marTop w:val="0"/>
      <w:marBottom w:val="0"/>
      <w:divBdr>
        <w:top w:val="none" w:sz="0" w:space="0" w:color="auto"/>
        <w:left w:val="none" w:sz="0" w:space="0" w:color="auto"/>
        <w:bottom w:val="none" w:sz="0" w:space="0" w:color="auto"/>
        <w:right w:val="none" w:sz="0" w:space="0" w:color="auto"/>
      </w:divBdr>
    </w:div>
    <w:div w:id="1861696497">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5819426">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1952973021">
      <w:bodyDiv w:val="1"/>
      <w:marLeft w:val="0"/>
      <w:marRight w:val="0"/>
      <w:marTop w:val="0"/>
      <w:marBottom w:val="0"/>
      <w:divBdr>
        <w:top w:val="none" w:sz="0" w:space="0" w:color="auto"/>
        <w:left w:val="none" w:sz="0" w:space="0" w:color="auto"/>
        <w:bottom w:val="none" w:sz="0" w:space="0" w:color="auto"/>
        <w:right w:val="none" w:sz="0" w:space="0" w:color="auto"/>
      </w:divBdr>
    </w:div>
    <w:div w:id="1969160249">
      <w:bodyDiv w:val="1"/>
      <w:marLeft w:val="0"/>
      <w:marRight w:val="0"/>
      <w:marTop w:val="0"/>
      <w:marBottom w:val="0"/>
      <w:divBdr>
        <w:top w:val="none" w:sz="0" w:space="0" w:color="auto"/>
        <w:left w:val="none" w:sz="0" w:space="0" w:color="auto"/>
        <w:bottom w:val="none" w:sz="0" w:space="0" w:color="auto"/>
        <w:right w:val="none" w:sz="0" w:space="0" w:color="auto"/>
      </w:divBdr>
    </w:div>
    <w:div w:id="2000037407">
      <w:bodyDiv w:val="1"/>
      <w:marLeft w:val="0"/>
      <w:marRight w:val="0"/>
      <w:marTop w:val="0"/>
      <w:marBottom w:val="0"/>
      <w:divBdr>
        <w:top w:val="none" w:sz="0" w:space="0" w:color="auto"/>
        <w:left w:val="none" w:sz="0" w:space="0" w:color="auto"/>
        <w:bottom w:val="none" w:sz="0" w:space="0" w:color="auto"/>
        <w:right w:val="none" w:sz="0" w:space="0" w:color="auto"/>
      </w:divBdr>
    </w:div>
    <w:div w:id="2037193323">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102413329">
      <w:bodyDiv w:val="1"/>
      <w:marLeft w:val="0"/>
      <w:marRight w:val="0"/>
      <w:marTop w:val="0"/>
      <w:marBottom w:val="0"/>
      <w:divBdr>
        <w:top w:val="none" w:sz="0" w:space="0" w:color="auto"/>
        <w:left w:val="none" w:sz="0" w:space="0" w:color="auto"/>
        <w:bottom w:val="none" w:sz="0" w:space="0" w:color="auto"/>
        <w:right w:val="none" w:sz="0" w:space="0" w:color="auto"/>
      </w:divBdr>
    </w:div>
    <w:div w:id="210661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8.xml"/><Relationship Id="rId21" Type="http://schemas.openxmlformats.org/officeDocument/2006/relationships/chart" Target="charts/chart10.xml"/><Relationship Id="rId34" Type="http://schemas.openxmlformats.org/officeDocument/2006/relationships/chart" Target="charts/chart23.xml"/><Relationship Id="rId42" Type="http://schemas.openxmlformats.org/officeDocument/2006/relationships/image" Target="media/image5.png"/><Relationship Id="rId47" Type="http://schemas.openxmlformats.org/officeDocument/2006/relationships/chart" Target="charts/chart35.xml"/><Relationship Id="rId50" Type="http://schemas.openxmlformats.org/officeDocument/2006/relationships/image" Target="media/image8.emf"/><Relationship Id="rId55" Type="http://schemas.openxmlformats.org/officeDocument/2006/relationships/image" Target="media/image1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chart" Target="charts/chart18.xml"/><Relationship Id="rId41" Type="http://schemas.openxmlformats.org/officeDocument/2006/relationships/chart" Target="charts/chart30.xml"/><Relationship Id="rId54" Type="http://schemas.openxmlformats.org/officeDocument/2006/relationships/image" Target="media/image12.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3.xml"/><Relationship Id="rId53" Type="http://schemas.openxmlformats.org/officeDocument/2006/relationships/image" Target="media/image11.emf"/><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image" Target="media/image7.emf"/><Relationship Id="rId57" Type="http://schemas.openxmlformats.org/officeDocument/2006/relationships/header" Target="header2.xml"/><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chart" Target="charts/chart8.xml"/><Relationship Id="rId31" Type="http://schemas.openxmlformats.org/officeDocument/2006/relationships/chart" Target="charts/chart20.xml"/><Relationship Id="rId44" Type="http://schemas.openxmlformats.org/officeDocument/2006/relationships/chart" Target="charts/chart32.xml"/><Relationship Id="rId52" Type="http://schemas.openxmlformats.org/officeDocument/2006/relationships/image" Target="media/image10.emf"/><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chart" Target="charts/chart24.xml"/><Relationship Id="rId43" Type="http://schemas.openxmlformats.org/officeDocument/2006/relationships/chart" Target="charts/chart31.xml"/><Relationship Id="rId48" Type="http://schemas.openxmlformats.org/officeDocument/2006/relationships/image" Target="media/image6.emf"/><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9.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chart" Target="charts/chart34.xml"/><Relationship Id="rId59"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7.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18.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19.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2.xlsx"/><Relationship Id="rId1" Type="http://schemas.openxmlformats.org/officeDocument/2006/relationships/themeOverride" Target="../theme/themeOverride20.xm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808138652089974E-2"/>
          <c:y val="1.7340110967141761E-2"/>
          <c:w val="0.86756955380577427"/>
          <c:h val="0.92732283464566934"/>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rgbClr val="FF0000"/>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1-2F91-4E4E-8D9A-7913611F4E94}"/>
              </c:ext>
            </c:extLst>
          </c:dPt>
          <c:dPt>
            <c:idx val="7"/>
            <c:invertIfNegative val="0"/>
            <c:bubble3D val="0"/>
            <c:spPr>
              <a:solidFill>
                <a:schemeClr val="tx2">
                  <a:lumMod val="60000"/>
                  <a:lumOff val="4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3-2F91-4E4E-8D9A-7913611F4E94}"/>
              </c:ext>
            </c:extLst>
          </c:dPt>
          <c:dPt>
            <c:idx val="8"/>
            <c:invertIfNegative val="0"/>
            <c:bubble3D val="0"/>
            <c:extLst>
              <c:ext xmlns:c16="http://schemas.microsoft.com/office/drawing/2014/chart" uri="{C3380CC4-5D6E-409C-BE32-E72D297353CC}">
                <c16:uniqueId val="{00000004-2F91-4E4E-8D9A-7913611F4E94}"/>
              </c:ext>
            </c:extLst>
          </c:dPt>
          <c:dPt>
            <c:idx val="11"/>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6-2F91-4E4E-8D9A-7913611F4E94}"/>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8-2F91-4E4E-8D9A-7913611F4E94}"/>
              </c:ext>
            </c:extLst>
          </c:dPt>
          <c:dLbls>
            <c:dLbl>
              <c:idx val="0"/>
              <c:spPr>
                <a:noFill/>
                <a:ln>
                  <a:noFill/>
                </a:ln>
                <a:effectLst/>
              </c:spPr>
              <c:txPr>
                <a:bodyPr/>
                <a:lstStyle/>
                <a:p>
                  <a:pPr>
                    <a:defRPr sz="800" b="1"/>
                  </a:pPr>
                  <a:endParaRPr lang="es-GT"/>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07-41A4-9299-3A90BA0FCCD1}"/>
                </c:ext>
              </c:extLst>
            </c:dLbl>
            <c:spPr>
              <a:noFill/>
              <a:ln>
                <a:noFill/>
              </a:ln>
              <a:effectLst/>
            </c:spPr>
            <c:txPr>
              <a:bodyPr/>
              <a:lstStyle/>
              <a:p>
                <a:pPr>
                  <a:defRPr sz="700" b="1"/>
                </a:pPr>
                <a:endParaRPr lang="es-GT"/>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'PIB Nacional'!$B$7:$B$15</c:f>
              <c:strCache>
                <c:ptCount val="9"/>
                <c:pt idx="0">
                  <c:v>2014</c:v>
                </c:pt>
                <c:pt idx="1">
                  <c:v>2015</c:v>
                </c:pt>
                <c:pt idx="2">
                  <c:v>2016</c:v>
                </c:pt>
                <c:pt idx="3">
                  <c:v>2017</c:v>
                </c:pt>
                <c:pt idx="4">
                  <c:v>2018 p/</c:v>
                </c:pt>
                <c:pt idx="5">
                  <c:v>2019 p/</c:v>
                </c:pt>
                <c:pt idx="6">
                  <c:v>2020 p/</c:v>
                </c:pt>
                <c:pt idx="7">
                  <c:v>2021 py/ (bajo)</c:v>
                </c:pt>
                <c:pt idx="8">
                  <c:v>2021 py/ (alto)</c:v>
                </c:pt>
              </c:strCache>
            </c:strRef>
          </c:cat>
          <c:val>
            <c:numRef>
              <c:f>'PIB Nacional'!$D$7:$D$15</c:f>
              <c:numCache>
                <c:formatCode>_(* #,##0.0_);_(* \(#,##0.0\);_(* "-"??_);_(@_)</c:formatCode>
                <c:ptCount val="9"/>
                <c:pt idx="0">
                  <c:v>4.4439778222835145</c:v>
                </c:pt>
                <c:pt idx="1">
                  <c:v>4.0921707249436565</c:v>
                </c:pt>
                <c:pt idx="2">
                  <c:v>2.6778027219768035</c:v>
                </c:pt>
                <c:pt idx="3">
                  <c:v>3.0798512832579803</c:v>
                </c:pt>
                <c:pt idx="4">
                  <c:v>3.3220982449360719</c:v>
                </c:pt>
                <c:pt idx="5">
                  <c:v>3.8668564018168325</c:v>
                </c:pt>
                <c:pt idx="6">
                  <c:v>-1.5193281206347109</c:v>
                </c:pt>
                <c:pt idx="7">
                  <c:v>2.9731379285014725</c:v>
                </c:pt>
                <c:pt idx="8">
                  <c:v>4.9731379285014725</c:v>
                </c:pt>
              </c:numCache>
            </c:numRef>
          </c:val>
          <c:extLst>
            <c:ext xmlns:c16="http://schemas.microsoft.com/office/drawing/2014/chart" uri="{C3380CC4-5D6E-409C-BE32-E72D297353CC}">
              <c16:uniqueId val="{00000009-2F91-4E4E-8D9A-7913611F4E94}"/>
            </c:ext>
          </c:extLst>
        </c:ser>
        <c:dLbls>
          <c:showLegendKey val="0"/>
          <c:showVal val="0"/>
          <c:showCatName val="0"/>
          <c:showSerName val="0"/>
          <c:showPercent val="0"/>
          <c:showBubbleSize val="0"/>
        </c:dLbls>
        <c:gapWidth val="21"/>
        <c:overlap val="-61"/>
        <c:axId val="489166720"/>
        <c:axId val="111837184"/>
      </c:barChart>
      <c:catAx>
        <c:axId val="489166720"/>
        <c:scaling>
          <c:orientation val="minMax"/>
        </c:scaling>
        <c:delete val="0"/>
        <c:axPos val="b"/>
        <c:numFmt formatCode="0" sourceLinked="0"/>
        <c:majorTickMark val="none"/>
        <c:minorTickMark val="none"/>
        <c:tickLblPos val="low"/>
        <c:spPr>
          <a:ln w="12700"/>
          <a:effectLst>
            <a:softEdge rad="12700"/>
          </a:effectLst>
        </c:spPr>
        <c:txPr>
          <a:bodyPr/>
          <a:lstStyle/>
          <a:p>
            <a:pPr>
              <a:defRPr sz="600"/>
            </a:pPr>
            <a:endParaRPr lang="es-GT"/>
          </a:p>
        </c:txPr>
        <c:crossAx val="111837184"/>
        <c:crosses val="autoZero"/>
        <c:auto val="1"/>
        <c:lblAlgn val="ctr"/>
        <c:lblOffset val="100"/>
        <c:noMultiLvlLbl val="0"/>
      </c:catAx>
      <c:valAx>
        <c:axId val="111837184"/>
        <c:scaling>
          <c:orientation val="minMax"/>
        </c:scaling>
        <c:delete val="0"/>
        <c:axPos val="l"/>
        <c:title>
          <c:tx>
            <c:rich>
              <a:bodyPr rot="0" vert="horz"/>
              <a:lstStyle/>
              <a:p>
                <a:pPr>
                  <a:defRPr/>
                </a:pPr>
                <a:r>
                  <a:rPr lang="es-GT"/>
                  <a:t>Porcentaje</a:t>
                </a:r>
              </a:p>
            </c:rich>
          </c:tx>
          <c:layout>
            <c:manualLayout>
              <c:xMode val="edge"/>
              <c:yMode val="edge"/>
              <c:x val="1.4466071741032371E-2"/>
              <c:y val="3.6667209702235491E-2"/>
            </c:manualLayout>
          </c:layout>
          <c:overlay val="0"/>
        </c:title>
        <c:numFmt formatCode="#,##0.0" sourceLinked="0"/>
        <c:majorTickMark val="none"/>
        <c:minorTickMark val="none"/>
        <c:tickLblPos val="nextTo"/>
        <c:txPr>
          <a:bodyPr/>
          <a:lstStyle/>
          <a:p>
            <a:pPr>
              <a:defRPr sz="600"/>
            </a:pPr>
            <a:endParaRPr lang="es-GT"/>
          </a:p>
        </c:txPr>
        <c:crossAx val="489166720"/>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noFill/>
    </a:ln>
  </c:spPr>
  <c:txPr>
    <a:bodyPr/>
    <a:lstStyle/>
    <a:p>
      <a:pPr>
        <a:defRPr sz="800">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rPr>
              <a:t>2021</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Tributarios!$D$59</c:f>
              <c:strCache>
                <c:ptCount val="1"/>
                <c:pt idx="0">
                  <c:v>2020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ED2-425E-B1C4-DB538EFF1FA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ED2-425E-B1C4-DB538EFF1FAC}"/>
              </c:ext>
            </c:extLst>
          </c:dPt>
          <c:dLbls>
            <c:dLbl>
              <c:idx val="0"/>
              <c:layout>
                <c:manualLayout>
                  <c:x val="0"/>
                  <c:y val="-4.5226130653266354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ED2-425E-B1C4-DB538EFF1FAC}"/>
                </c:ext>
              </c:extLst>
            </c:dLbl>
            <c:dLbl>
              <c:idx val="1"/>
              <c:layout>
                <c:manualLayout>
                  <c:x val="-4.5756119881034093E-3"/>
                  <c:y val="5.5276381909547645E-2"/>
                </c:manualLayout>
              </c:layout>
              <c:spPr>
                <a:noFill/>
                <a:ln>
                  <a:noFill/>
                </a:ln>
                <a:effectLst/>
              </c:spPr>
              <c:txPr>
                <a:bodyPr rot="0" spcFirstLastPara="1" vertOverflow="ellipsis" vert="horz" wrap="square" anchor="ctr" anchorCtr="1"/>
                <a:lstStyle/>
                <a:p>
                  <a:pPr>
                    <a:defRPr sz="80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ED2-425E-B1C4-DB538EFF1FAC}"/>
                </c:ext>
              </c:extLst>
            </c:dLbl>
            <c:spPr>
              <a:noFill/>
              <a:ln>
                <a:noFill/>
              </a:ln>
              <a:effectLst/>
            </c:spPr>
            <c:txPr>
              <a:bodyPr rot="0" spcFirstLastPara="1" vertOverflow="ellipsis" vert="horz" wrap="square" anchor="ctr" anchorCtr="1"/>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Tributarios!$E$30:$E$31</c:f>
              <c:numCache>
                <c:formatCode>#,##0.0</c:formatCode>
                <c:ptCount val="2"/>
                <c:pt idx="0">
                  <c:v>10581.3401622</c:v>
                </c:pt>
                <c:pt idx="1">
                  <c:v>25437.942952290003</c:v>
                </c:pt>
              </c:numCache>
            </c:numRef>
          </c:val>
          <c:extLst>
            <c:ext xmlns:c16="http://schemas.microsoft.com/office/drawing/2014/chart" uri="{C3380CC4-5D6E-409C-BE32-E72D297353CC}">
              <c16:uniqueId val="{00000004-4ED2-425E-B1C4-DB538EFF1FA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1" i="0" u="none" strike="noStrike" kern="1200" cap="all" baseline="0">
              <a:solidFill>
                <a:schemeClr val="tx1">
                  <a:lumMod val="65000"/>
                  <a:lumOff val="35000"/>
                </a:schemeClr>
              </a:solidFill>
              <a:latin typeface="Times New Roman" pitchFamily="18" charset="0"/>
              <a:ea typeface="+mn-ea"/>
              <a:cs typeface="Times New Roman"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39261744966442"/>
          <c:y val="0.2730232619416717"/>
          <c:w val="0.74496644295302017"/>
          <c:h val="0.58518604722652834"/>
        </c:manualLayout>
      </c:layout>
      <c:pie3DChart>
        <c:varyColors val="1"/>
        <c:ser>
          <c:idx val="0"/>
          <c:order val="0"/>
          <c:tx>
            <c:strRef>
              <c:f>Tributarios!$C$59</c:f>
              <c:strCache>
                <c:ptCount val="1"/>
                <c:pt idx="0">
                  <c:v>2020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6A6-45C2-A5BB-0D60CE28F16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6A6-45C2-A5BB-0D60CE28F16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GT"/>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6A6-45C2-A5BB-0D60CE28F16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GT"/>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6A6-45C2-A5BB-0D60CE28F16F}"/>
                </c:ext>
              </c:extLst>
            </c:dLbl>
            <c:spPr>
              <a:noFill/>
              <a:ln>
                <a:noFill/>
              </a:ln>
              <a:effectLst/>
            </c:sp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Tributarios!$B$60:$B$61</c:f>
              <c:strCache>
                <c:ptCount val="2"/>
                <c:pt idx="0">
                  <c:v>Directos</c:v>
                </c:pt>
                <c:pt idx="1">
                  <c:v>Indirectos</c:v>
                </c:pt>
              </c:strCache>
            </c:strRef>
          </c:cat>
          <c:val>
            <c:numRef>
              <c:f>Tributarios!$C$60:$C$61</c:f>
              <c:numCache>
                <c:formatCode>0.0%</c:formatCode>
                <c:ptCount val="2"/>
                <c:pt idx="0">
                  <c:v>0.37837282894482827</c:v>
                </c:pt>
                <c:pt idx="1">
                  <c:v>0.62162717105517162</c:v>
                </c:pt>
              </c:numCache>
            </c:numRef>
          </c:val>
          <c:extLst>
            <c:ext xmlns:c16="http://schemas.microsoft.com/office/drawing/2014/chart" uri="{C3380CC4-5D6E-409C-BE32-E72D297353CC}">
              <c16:uniqueId val="{00000004-D6A6-45C2-A5BB-0D60CE28F16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1" i="0" u="none" strike="noStrike" kern="1200" cap="all" baseline="0">
              <a:solidFill>
                <a:schemeClr val="tx1">
                  <a:lumMod val="65000"/>
                  <a:lumOff val="35000"/>
                </a:schemeClr>
              </a:solidFill>
              <a:latin typeface="Times New Roman" pitchFamily="18" charset="0"/>
              <a:ea typeface="+mn-ea"/>
              <a:cs typeface="Times New Roman"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Tributarios!$D$59</c:f>
              <c:strCache>
                <c:ptCount val="1"/>
                <c:pt idx="0">
                  <c:v>2021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B11-4ECF-B78B-244EEEDD445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B11-4ECF-B78B-244EEEDD445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GT"/>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B11-4ECF-B78B-244EEEDD445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GT"/>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B11-4ECF-B78B-244EEEDD445F}"/>
                </c:ext>
              </c:extLst>
            </c:dLbl>
            <c:spPr>
              <a:noFill/>
              <a:ln>
                <a:noFill/>
              </a:ln>
              <a:effectLst/>
            </c:sp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Tributarios!$B$60:$B$61</c:f>
              <c:strCache>
                <c:ptCount val="2"/>
                <c:pt idx="0">
                  <c:v>Directos</c:v>
                </c:pt>
                <c:pt idx="1">
                  <c:v>Indirectos</c:v>
                </c:pt>
              </c:strCache>
            </c:strRef>
          </c:cat>
          <c:val>
            <c:numRef>
              <c:f>Tributarios!$D$60:$D$61</c:f>
              <c:numCache>
                <c:formatCode>0.0%</c:formatCode>
                <c:ptCount val="2"/>
                <c:pt idx="0">
                  <c:v>0.35694969263471543</c:v>
                </c:pt>
                <c:pt idx="1">
                  <c:v>0.64305030736528457</c:v>
                </c:pt>
              </c:numCache>
            </c:numRef>
          </c:val>
          <c:extLst>
            <c:ext xmlns:c16="http://schemas.microsoft.com/office/drawing/2014/chart" uri="{C3380CC4-5D6E-409C-BE32-E72D297353CC}">
              <c16:uniqueId val="{00000004-6B11-4ECF-B78B-244EEEDD445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2020</a:t>
            </a:r>
          </a:p>
        </c:rich>
      </c:tx>
      <c:overlay val="0"/>
    </c:title>
    <c:autoTitleDeleted val="0"/>
    <c:view3D>
      <c:rotX val="30"/>
      <c:rotY val="0"/>
      <c:depthPercent val="170"/>
      <c:rAngAx val="1"/>
    </c:view3D>
    <c:floor>
      <c:thickness val="0"/>
    </c:floor>
    <c:sideWall>
      <c:thickness val="0"/>
      <c:spPr>
        <a:scene3d>
          <a:camera prst="orthographicFront"/>
          <a:lightRig rig="threePt" dir="t"/>
        </a:scene3d>
        <a:sp3d prstMaterial="dkEdge"/>
      </c:spPr>
    </c:sideWall>
    <c:backWall>
      <c:thickness val="0"/>
      <c:spPr>
        <a:scene3d>
          <a:camera prst="orthographicFront"/>
          <a:lightRig rig="threePt" dir="t"/>
        </a:scene3d>
        <a:sp3d prstMaterial="dkEdge"/>
      </c:spPr>
    </c:backWall>
    <c:plotArea>
      <c:layout>
        <c:manualLayout>
          <c:layoutTarget val="inner"/>
          <c:xMode val="edge"/>
          <c:yMode val="edge"/>
          <c:x val="3.3375047763109693E-3"/>
          <c:y val="0.19214607743410067"/>
          <c:w val="0.99666236604353686"/>
          <c:h val="0.7907053962752264"/>
        </c:manualLayout>
      </c:layout>
      <c:pie3DChart>
        <c:varyColors val="1"/>
        <c:ser>
          <c:idx val="0"/>
          <c:order val="0"/>
          <c:tx>
            <c:strRef>
              <c:f>'X Entidad'!$C$36</c:f>
              <c:strCache>
                <c:ptCount val="1"/>
                <c:pt idx="0">
                  <c:v>2020</c:v>
                </c:pt>
              </c:strCache>
            </c:strRef>
          </c:tx>
          <c:spPr>
            <a:scene3d>
              <a:camera prst="orthographicFront"/>
              <a:lightRig rig="threePt" dir="t"/>
            </a:scene3d>
            <a:sp3d>
              <a:bevelT/>
            </a:sp3d>
          </c:spPr>
          <c:explosion val="6"/>
          <c:dLbls>
            <c:dLbl>
              <c:idx val="0"/>
              <c:layout>
                <c:manualLayout>
                  <c:x val="-0.24796679484831838"/>
                  <c:y val="-0.21273347873769299"/>
                </c:manualLayout>
              </c:layout>
              <c:spPr>
                <a:noFill/>
                <a:ln>
                  <a:noFill/>
                </a:ln>
                <a:effectLst/>
              </c:spPr>
              <c:txPr>
                <a:bodyPr/>
                <a:lstStyle/>
                <a:p>
                  <a:pPr>
                    <a:defRPr sz="7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27039903169706453"/>
                      <c:h val="0.24224829520005722"/>
                    </c:manualLayout>
                  </c15:layout>
                </c:ext>
                <c:ext xmlns:c16="http://schemas.microsoft.com/office/drawing/2014/chart" uri="{C3380CC4-5D6E-409C-BE32-E72D297353CC}">
                  <c16:uniqueId val="{00000000-F12F-4ADA-B034-426E1C5B59B0}"/>
                </c:ext>
              </c:extLst>
            </c:dLbl>
            <c:dLbl>
              <c:idx val="1"/>
              <c:layout>
                <c:manualLayout>
                  <c:x val="9.8108201591080191E-2"/>
                  <c:y val="4.4139341737212429E-2"/>
                </c:manualLayout>
              </c:layout>
              <c:showLegendKey val="0"/>
              <c:showVal val="1"/>
              <c:showCatName val="1"/>
              <c:showSerName val="0"/>
              <c:showPercent val="0"/>
              <c:showBubbleSize val="0"/>
              <c:extLst>
                <c:ext xmlns:c15="http://schemas.microsoft.com/office/drawing/2012/chart" uri="{CE6537A1-D6FC-4f65-9D91-7224C49458BB}">
                  <c15:layout>
                    <c:manualLayout>
                      <c:w val="0.31437460709833465"/>
                      <c:h val="0.27801430344462758"/>
                    </c:manualLayout>
                  </c15:layout>
                </c:ext>
                <c:ext xmlns:c16="http://schemas.microsoft.com/office/drawing/2014/chart" uri="{C3380CC4-5D6E-409C-BE32-E72D297353CC}">
                  <c16:uniqueId val="{00000001-F12F-4ADA-B034-426E1C5B59B0}"/>
                </c:ext>
              </c:extLst>
            </c:dLbl>
            <c:dLbl>
              <c:idx val="2"/>
              <c:layout>
                <c:manualLayout>
                  <c:x val="-0.16310333369464203"/>
                  <c:y val="-7.584076655643785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2F-4ADA-B034-426E1C5B59B0}"/>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c:ext xmlns:c15="http://schemas.microsoft.com/office/drawing/2012/chart" uri="{CE6537A1-D6FC-4f65-9D91-7224C49458BB}"/>
            </c:extLst>
          </c:dLbls>
          <c:cat>
            <c:strRef>
              <c:f>'X Entidad'!$B$37:$B$39</c:f>
              <c:strCache>
                <c:ptCount val="3"/>
                <c:pt idx="0">
                  <c:v>Obligaciones, Educación y Servs de la Deuda</c:v>
                </c:pt>
                <c:pt idx="1">
                  <c:v>Salud, Gobernación, CIV y Desarrollo</c:v>
                </c:pt>
                <c:pt idx="2">
                  <c:v>Otros</c:v>
                </c:pt>
              </c:strCache>
            </c:strRef>
          </c:cat>
          <c:val>
            <c:numRef>
              <c:f>'X Entidad'!$C$37:$C$39</c:f>
              <c:numCache>
                <c:formatCode>0.0%</c:formatCode>
                <c:ptCount val="3"/>
                <c:pt idx="0">
                  <c:v>0.6779727443291349</c:v>
                </c:pt>
                <c:pt idx="1">
                  <c:v>0.2116191644793676</c:v>
                </c:pt>
                <c:pt idx="2">
                  <c:v>0.11040809119149789</c:v>
                </c:pt>
              </c:numCache>
            </c:numRef>
          </c:val>
          <c:extLst>
            <c:ext xmlns:c16="http://schemas.microsoft.com/office/drawing/2014/chart" uri="{C3380CC4-5D6E-409C-BE32-E72D297353CC}">
              <c16:uniqueId val="{00000003-F12F-4ADA-B034-426E1C5B59B0}"/>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2021</a:t>
            </a:r>
          </a:p>
        </c:rich>
      </c:tx>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8.3333333333333332E-3"/>
          <c:y val="0.19460119568387285"/>
          <c:w val="0.95191119458691531"/>
          <c:h val="0.74724578782490902"/>
        </c:manualLayout>
      </c:layout>
      <c:pie3DChart>
        <c:varyColors val="1"/>
        <c:ser>
          <c:idx val="0"/>
          <c:order val="0"/>
          <c:tx>
            <c:strRef>
              <c:f>'X Entidad'!$C$44</c:f>
              <c:strCache>
                <c:ptCount val="1"/>
                <c:pt idx="0">
                  <c:v>2021</c:v>
                </c:pt>
              </c:strCache>
            </c:strRef>
          </c:tx>
          <c:spPr>
            <a:scene3d>
              <a:camera prst="orthographicFront"/>
              <a:lightRig rig="threePt" dir="t"/>
            </a:scene3d>
            <a:sp3d>
              <a:bevelT/>
            </a:sp3d>
          </c:spPr>
          <c:explosion val="4"/>
          <c:dLbls>
            <c:dLbl>
              <c:idx val="0"/>
              <c:layout>
                <c:manualLayout>
                  <c:x val="-0.26146097329231688"/>
                  <c:y val="-0.28391336218107871"/>
                </c:manualLayout>
              </c:layout>
              <c:spPr>
                <a:noFill/>
                <a:ln>
                  <a:noFill/>
                </a:ln>
                <a:effectLst/>
              </c:spPr>
              <c:txPr>
                <a:bodyPr/>
                <a:lstStyle/>
                <a:p>
                  <a:pPr>
                    <a:defRPr sz="8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33635261009844147"/>
                      <c:h val="0.29333309534494717"/>
                    </c:manualLayout>
                  </c15:layout>
                </c:ext>
                <c:ext xmlns:c16="http://schemas.microsoft.com/office/drawing/2014/chart" uri="{C3380CC4-5D6E-409C-BE32-E72D297353CC}">
                  <c16:uniqueId val="{00000000-1772-46C5-9CE8-581C1757A3FF}"/>
                </c:ext>
              </c:extLst>
            </c:dLbl>
            <c:dLbl>
              <c:idx val="1"/>
              <c:layout>
                <c:manualLayout>
                  <c:x val="0.19736930733120725"/>
                  <c:y val="5.4234707148092975E-2"/>
                </c:manualLayout>
              </c:layout>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c:ext xmlns:c15="http://schemas.microsoft.com/office/drawing/2012/chart" uri="{CE6537A1-D6FC-4f65-9D91-7224C49458BB}">
                  <c15:layout>
                    <c:manualLayout>
                      <c:w val="0.31330424424420078"/>
                      <c:h val="0.20913620415323733"/>
                    </c:manualLayout>
                  </c15:layout>
                </c:ext>
                <c:ext xmlns:c16="http://schemas.microsoft.com/office/drawing/2014/chart" uri="{C3380CC4-5D6E-409C-BE32-E72D297353CC}">
                  <c16:uniqueId val="{00000001-1772-46C5-9CE8-581C1757A3FF}"/>
                </c:ext>
              </c:extLst>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c:ext xmlns:c15="http://schemas.microsoft.com/office/drawing/2012/chart" uri="{CE6537A1-D6FC-4f65-9D91-7224C49458BB}"/>
            </c:extLst>
          </c:dLbls>
          <c:cat>
            <c:strRef>
              <c:f>'X Entidad'!$B$45:$B$47</c:f>
              <c:strCache>
                <c:ptCount val="3"/>
                <c:pt idx="0">
                  <c:v>Obligaciones, Educación y Servs de la Deuda</c:v>
                </c:pt>
                <c:pt idx="1">
                  <c:v>Salud, Gobernación, CIV y Desarrollo</c:v>
                </c:pt>
                <c:pt idx="2">
                  <c:v>Otros</c:v>
                </c:pt>
              </c:strCache>
            </c:strRef>
          </c:cat>
          <c:val>
            <c:numRef>
              <c:f>'X Entidad'!$C$45:$C$47</c:f>
              <c:numCache>
                <c:formatCode>0.0%</c:formatCode>
                <c:ptCount val="3"/>
                <c:pt idx="0">
                  <c:v>0.67082397667817328</c:v>
                </c:pt>
                <c:pt idx="1">
                  <c:v>0.26789605765725605</c:v>
                </c:pt>
                <c:pt idx="2">
                  <c:v>6.1279965664570731E-2</c:v>
                </c:pt>
              </c:numCache>
            </c:numRef>
          </c:val>
          <c:extLst>
            <c:ext xmlns:c16="http://schemas.microsoft.com/office/drawing/2014/chart" uri="{C3380CC4-5D6E-409C-BE32-E72D297353CC}">
              <c16:uniqueId val="{00000002-1772-46C5-9CE8-581C1757A3FF}"/>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a:sp3d>
      <a:bevel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en-US" sz="1200"/>
              <a:t>Resultado Presupuestario Junio 2008 - 2021</a:t>
            </a:r>
          </a:p>
          <a:p>
            <a:pPr>
              <a:defRPr sz="1600"/>
            </a:pPr>
            <a:r>
              <a:rPr lang="en-US" sz="1200"/>
              <a:t>Millones de Quetzales</a:t>
            </a:r>
          </a:p>
        </c:rich>
      </c:tx>
      <c:layout>
        <c:manualLayout>
          <c:xMode val="edge"/>
          <c:yMode val="edge"/>
          <c:x val="0.27648476171883474"/>
          <c:y val="0"/>
        </c:manualLayout>
      </c:layout>
      <c:overlay val="0"/>
    </c:title>
    <c:autoTitleDeleted val="0"/>
    <c:plotArea>
      <c:layout>
        <c:manualLayout>
          <c:layoutTarget val="inner"/>
          <c:xMode val="edge"/>
          <c:yMode val="edge"/>
          <c:x val="0.10873273898613912"/>
          <c:y val="0.11428571428571427"/>
          <c:w val="0.80494774516821765"/>
          <c:h val="0.82162548646936373"/>
        </c:manualLayout>
      </c:layout>
      <c:barChart>
        <c:barDir val="col"/>
        <c:grouping val="clustered"/>
        <c:varyColors val="0"/>
        <c:ser>
          <c:idx val="0"/>
          <c:order val="0"/>
          <c:tx>
            <c:strRef>
              <c:f>'Resultado Presupuestario'!$K$22</c:f>
              <c:strCache>
                <c:ptCount val="1"/>
                <c:pt idx="0">
                  <c:v>Resultado Presupuestario</c:v>
                </c:pt>
              </c:strCache>
            </c:strRef>
          </c:tx>
          <c:spPr>
            <a:solidFill>
              <a:srgbClr val="00B050"/>
            </a:solidFill>
            <a:scene3d>
              <a:camera prst="orthographicFront"/>
              <a:lightRig rig="threePt" dir="t"/>
            </a:scene3d>
            <a:sp3d>
              <a:bevelT/>
            </a:sp3d>
          </c:spPr>
          <c:invertIfNegative val="0"/>
          <c:dPt>
            <c:idx val="4"/>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1-5A26-46A6-B50D-195D783AAEEA}"/>
              </c:ext>
            </c:extLst>
          </c:dPt>
          <c:dPt>
            <c:idx val="5"/>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3-5A26-46A6-B50D-195D783AAEEA}"/>
              </c:ext>
            </c:extLst>
          </c:dPt>
          <c:dPt>
            <c:idx val="6"/>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5-5A26-46A6-B50D-195D783AAEEA}"/>
              </c:ext>
            </c:extLst>
          </c:dPt>
          <c:dPt>
            <c:idx val="7"/>
            <c:invertIfNegative val="0"/>
            <c:bubble3D val="0"/>
            <c:spPr>
              <a:solidFill>
                <a:schemeClr val="accent6">
                  <a:lumMod val="75000"/>
                </a:schemeClr>
              </a:solidFill>
              <a:scene3d>
                <a:camera prst="orthographicFront"/>
                <a:lightRig rig="threePt" dir="t"/>
              </a:scene3d>
              <a:sp3d>
                <a:bevelT/>
              </a:sp3d>
            </c:spPr>
            <c:extLst>
              <c:ext xmlns:c16="http://schemas.microsoft.com/office/drawing/2014/chart" uri="{C3380CC4-5D6E-409C-BE32-E72D297353CC}">
                <c16:uniqueId val="{00000007-5A26-46A6-B50D-195D783AAEEA}"/>
              </c:ext>
            </c:extLst>
          </c:dPt>
          <c:dPt>
            <c:idx val="8"/>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9-5A26-46A6-B50D-195D783AAEEA}"/>
              </c:ext>
            </c:extLst>
          </c:dPt>
          <c:dPt>
            <c:idx val="9"/>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B-5A26-46A6-B50D-195D783AAEEA}"/>
              </c:ext>
            </c:extLst>
          </c:dPt>
          <c:dPt>
            <c:idx val="10"/>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D-5A26-46A6-B50D-195D783AAEEA}"/>
              </c:ext>
            </c:extLst>
          </c:dPt>
          <c:dPt>
            <c:idx val="11"/>
            <c:invertIfNegative val="0"/>
            <c:bubble3D val="0"/>
            <c:spPr>
              <a:solidFill>
                <a:schemeClr val="tx2"/>
              </a:solidFill>
              <a:scene3d>
                <a:camera prst="orthographicFront"/>
                <a:lightRig rig="threePt" dir="t"/>
              </a:scene3d>
              <a:sp3d>
                <a:bevelT/>
              </a:sp3d>
            </c:spPr>
            <c:extLst>
              <c:ext xmlns:c16="http://schemas.microsoft.com/office/drawing/2014/chart" uri="{C3380CC4-5D6E-409C-BE32-E72D297353CC}">
                <c16:uniqueId val="{0000000F-5A26-46A6-B50D-195D783AAEEA}"/>
              </c:ext>
            </c:extLst>
          </c:dPt>
          <c:dLbls>
            <c:dLbl>
              <c:idx val="0"/>
              <c:layout>
                <c:manualLayout>
                  <c:x val="3.4532374100719423E-2"/>
                  <c:y val="3.736556186290667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A26-46A6-B50D-195D783AAEEA}"/>
                </c:ext>
              </c:extLst>
            </c:dLbl>
            <c:dLbl>
              <c:idx val="4"/>
              <c:layout>
                <c:manualLayout>
                  <c:x val="5.7553956834532375E-3"/>
                  <c:y val="1.00399194286760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26-46A6-B50D-195D783AAEEA}"/>
                </c:ext>
              </c:extLst>
            </c:dLbl>
            <c:dLbl>
              <c:idx val="7"/>
              <c:layout>
                <c:manualLayout>
                  <c:x val="1.9184652278176754E-3"/>
                  <c:y val="0.22389159494598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A26-46A6-B50D-195D783AAEEA}"/>
                </c:ext>
              </c:extLst>
            </c:dLbl>
            <c:dLbl>
              <c:idx val="8"/>
              <c:spPr/>
              <c:txPr>
                <a:bodyPr/>
                <a:lstStyle/>
                <a:p>
                  <a:pPr>
                    <a:defRPr sz="700" b="1">
                      <a:solidFill>
                        <a:schemeClr val="bg1"/>
                      </a:solidFill>
                    </a:defRPr>
                  </a:pPr>
                  <a:endParaRPr lang="es-GT"/>
                </a:p>
              </c:txPr>
              <c:dLblPos val="inEnd"/>
              <c:showLegendKey val="0"/>
              <c:showVal val="1"/>
              <c:showCatName val="0"/>
              <c:showSerName val="0"/>
              <c:showPercent val="0"/>
              <c:showBubbleSize val="0"/>
              <c:extLst>
                <c:ext xmlns:c16="http://schemas.microsoft.com/office/drawing/2014/chart" uri="{C3380CC4-5D6E-409C-BE32-E72D297353CC}">
                  <c16:uniqueId val="{00000009-5A26-46A6-B50D-195D783AAEEA}"/>
                </c:ext>
              </c:extLst>
            </c:dLbl>
            <c:dLbl>
              <c:idx val="9"/>
              <c:spPr/>
              <c:txPr>
                <a:bodyPr/>
                <a:lstStyle/>
                <a:p>
                  <a:pPr>
                    <a:defRPr sz="700" b="1">
                      <a:solidFill>
                        <a:schemeClr val="bg1"/>
                      </a:solidFill>
                    </a:defRPr>
                  </a:pPr>
                  <a:endParaRPr lang="es-GT"/>
                </a:p>
              </c:txPr>
              <c:dLblPos val="inEnd"/>
              <c:showLegendKey val="0"/>
              <c:showVal val="1"/>
              <c:showCatName val="0"/>
              <c:showSerName val="0"/>
              <c:showPercent val="0"/>
              <c:showBubbleSize val="0"/>
              <c:extLst>
                <c:ext xmlns:c16="http://schemas.microsoft.com/office/drawing/2014/chart" uri="{C3380CC4-5D6E-409C-BE32-E72D297353CC}">
                  <c16:uniqueId val="{0000000B-5A26-46A6-B50D-195D783AAEEA}"/>
                </c:ext>
              </c:extLst>
            </c:dLbl>
            <c:dLbl>
              <c:idx val="10"/>
              <c:layout>
                <c:manualLayout>
                  <c:x val="0"/>
                  <c:y val="6.1735945797472991E-2"/>
                </c:manualLayout>
              </c:layout>
              <c:spPr/>
              <c:txPr>
                <a:bodyPr/>
                <a:lstStyle/>
                <a:p>
                  <a:pPr>
                    <a:defRPr sz="700" b="1">
                      <a:solidFill>
                        <a:schemeClr val="bg1"/>
                      </a:solidFill>
                    </a:defRPr>
                  </a:pPr>
                  <a:endParaRPr lang="es-GT"/>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A26-46A6-B50D-195D783AAEEA}"/>
                </c:ext>
              </c:extLst>
            </c:dLbl>
            <c:dLbl>
              <c:idx val="11"/>
              <c:spPr/>
              <c:txPr>
                <a:bodyPr/>
                <a:lstStyle/>
                <a:p>
                  <a:pPr>
                    <a:defRPr sz="700" b="1">
                      <a:solidFill>
                        <a:schemeClr val="bg1"/>
                      </a:solidFill>
                    </a:defRPr>
                  </a:pPr>
                  <a:endParaRPr lang="es-GT"/>
                </a:p>
              </c:txPr>
              <c:dLblPos val="inEnd"/>
              <c:showLegendKey val="0"/>
              <c:showVal val="1"/>
              <c:showCatName val="0"/>
              <c:showSerName val="0"/>
              <c:showPercent val="0"/>
              <c:showBubbleSize val="0"/>
              <c:extLst>
                <c:ext xmlns:c16="http://schemas.microsoft.com/office/drawing/2014/chart" uri="{C3380CC4-5D6E-409C-BE32-E72D297353CC}">
                  <c16:uniqueId val="{0000000F-5A26-46A6-B50D-195D783AAEEA}"/>
                </c:ext>
              </c:extLst>
            </c:dLbl>
            <c:spPr>
              <a:noFill/>
              <a:ln>
                <a:noFill/>
              </a:ln>
              <a:effectLst/>
            </c:spPr>
            <c:txPr>
              <a:bodyPr/>
              <a:lstStyle/>
              <a:p>
                <a:pPr>
                  <a:defRPr sz="700" b="1"/>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'Resultado Presupuestario'!$J$23:$J$36</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'Resultado Presupuestario'!$K$23:$K$36</c:f>
              <c:numCache>
                <c:formatCode>#,##0.0</c:formatCode>
                <c:ptCount val="14"/>
                <c:pt idx="0">
                  <c:v>1344.6844330900058</c:v>
                </c:pt>
                <c:pt idx="1">
                  <c:v>-1903.1</c:v>
                </c:pt>
                <c:pt idx="2">
                  <c:v>-3089.5</c:v>
                </c:pt>
                <c:pt idx="3">
                  <c:v>-2856.2</c:v>
                </c:pt>
                <c:pt idx="4">
                  <c:v>209.2</c:v>
                </c:pt>
                <c:pt idx="5">
                  <c:v>-2090.4</c:v>
                </c:pt>
                <c:pt idx="6">
                  <c:v>-2438.1</c:v>
                </c:pt>
                <c:pt idx="7">
                  <c:v>-3679.4</c:v>
                </c:pt>
                <c:pt idx="8">
                  <c:v>516.4</c:v>
                </c:pt>
                <c:pt idx="9">
                  <c:v>472.3</c:v>
                </c:pt>
                <c:pt idx="10">
                  <c:v>-609.79999999999995</c:v>
                </c:pt>
                <c:pt idx="11">
                  <c:v>-4447.8</c:v>
                </c:pt>
                <c:pt idx="12">
                  <c:v>-9381.9</c:v>
                </c:pt>
                <c:pt idx="13" formatCode="General">
                  <c:v>-1903.1</c:v>
                </c:pt>
              </c:numCache>
            </c:numRef>
          </c:val>
          <c:extLst>
            <c:ext xmlns:c16="http://schemas.microsoft.com/office/drawing/2014/chart" uri="{C3380CC4-5D6E-409C-BE32-E72D297353CC}">
              <c16:uniqueId val="{00000011-5A26-46A6-B50D-195D783AAEEA}"/>
            </c:ext>
          </c:extLst>
        </c:ser>
        <c:dLbls>
          <c:showLegendKey val="0"/>
          <c:showVal val="0"/>
          <c:showCatName val="0"/>
          <c:showSerName val="0"/>
          <c:showPercent val="0"/>
          <c:showBubbleSize val="0"/>
        </c:dLbls>
        <c:gapWidth val="12"/>
        <c:axId val="491028864"/>
        <c:axId val="491030400"/>
      </c:barChart>
      <c:lineChart>
        <c:grouping val="standard"/>
        <c:varyColors val="0"/>
        <c:ser>
          <c:idx val="1"/>
          <c:order val="1"/>
          <c:tx>
            <c:strRef>
              <c:f>'Resultado Presupuestario'!$L$22</c:f>
              <c:strCache>
                <c:ptCount val="1"/>
                <c:pt idx="0">
                  <c:v>%PIB</c:v>
                </c:pt>
              </c:strCache>
            </c:strRef>
          </c:tx>
          <c:spPr>
            <a:ln>
              <a:solidFill>
                <a:srgbClr val="FF0000"/>
              </a:solidFill>
            </a:ln>
          </c:spPr>
          <c:marker>
            <c:symbol val="none"/>
          </c:marker>
          <c:dLbls>
            <c:dLbl>
              <c:idx val="0"/>
              <c:layout>
                <c:manualLayout>
                  <c:x val="-1.3429224124762183E-2"/>
                  <c:y val="-0.166090122679343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A26-46A6-B50D-195D783AAEEA}"/>
                </c:ext>
              </c:extLst>
            </c:dLbl>
            <c:dLbl>
              <c:idx val="1"/>
              <c:layout>
                <c:manualLayout>
                  <c:x val="-6.7416225749559078E-2"/>
                  <c:y val="1.3888823127415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A26-46A6-B50D-195D783AAEEA}"/>
                </c:ext>
              </c:extLst>
            </c:dLbl>
            <c:dLbl>
              <c:idx val="2"/>
              <c:layout>
                <c:manualLayout>
                  <c:x val="-6.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A26-46A6-B50D-195D783AAEEA}"/>
                </c:ext>
              </c:extLst>
            </c:dLbl>
            <c:dLbl>
              <c:idx val="3"/>
              <c:layout>
                <c:manualLayout>
                  <c:x val="-3.6770633886591512E-2"/>
                  <c:y val="4.48105963498748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A26-46A6-B50D-195D783AAEEA}"/>
                </c:ext>
              </c:extLst>
            </c:dLbl>
            <c:dLbl>
              <c:idx val="4"/>
              <c:layout>
                <c:manualLayout>
                  <c:x val="-3.0615617492257871E-2"/>
                  <c:y val="-0.184597610806767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A26-46A6-B50D-195D783AAEEA}"/>
                </c:ext>
              </c:extLst>
            </c:dLbl>
            <c:dLbl>
              <c:idx val="5"/>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5A26-46A6-B50D-195D783AAEEA}"/>
                </c:ext>
              </c:extLst>
            </c:dLbl>
            <c:dLbl>
              <c:idx val="6"/>
              <c:layout>
                <c:manualLayout>
                  <c:x val="-4.4244642081610303E-2"/>
                  <c:y val="7.0499664286150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5A26-46A6-B50D-195D783AAEEA}"/>
                </c:ext>
              </c:extLst>
            </c:dLbl>
            <c:dLbl>
              <c:idx val="7"/>
              <c:layout>
                <c:manualLayout>
                  <c:x val="-3.9488358919163878E-2"/>
                  <c:y val="3.04908746871758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A26-46A6-B50D-195D783AAEEA}"/>
                </c:ext>
              </c:extLst>
            </c:dLbl>
            <c:dLbl>
              <c:idx val="8"/>
              <c:layout>
                <c:manualLayout>
                  <c:x val="-3.9808218417142383E-2"/>
                  <c:y val="-0.15554156151407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5A26-46A6-B50D-195D783AAEEA}"/>
                </c:ext>
              </c:extLst>
            </c:dLbl>
            <c:dLbl>
              <c:idx val="9"/>
              <c:layout>
                <c:manualLayout>
                  <c:x val="-3.8089509644627755E-2"/>
                  <c:y val="-0.159216733506627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5A26-46A6-B50D-195D783AAEEA}"/>
                </c:ext>
              </c:extLst>
            </c:dLbl>
            <c:dLbl>
              <c:idx val="10"/>
              <c:layout>
                <c:manualLayout>
                  <c:x val="-5.8333276685738025E-2"/>
                  <c:y val="4.14944759812000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5A26-46A6-B50D-195D783AAEEA}"/>
                </c:ext>
              </c:extLst>
            </c:dLbl>
            <c:dLbl>
              <c:idx val="11"/>
              <c:layout>
                <c:manualLayout>
                  <c:x val="-4.220623501199041E-2"/>
                  <c:y val="7.4418604651162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5A26-46A6-B50D-195D783AAEEA}"/>
                </c:ext>
              </c:extLst>
            </c:dLbl>
            <c:spPr>
              <a:noFill/>
              <a:ln>
                <a:noFill/>
              </a:ln>
              <a:effectLst/>
            </c:spPr>
            <c:txPr>
              <a:bodyPr/>
              <a:lstStyle/>
              <a:p>
                <a:pPr>
                  <a:defRPr sz="700" b="1">
                    <a:solidFill>
                      <a:srgbClr val="FF0000"/>
                    </a:solidFill>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'Resultado Presupuestario'!$J$23:$J$36</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'Resultado Presupuestario'!$L$23:$L$36</c:f>
              <c:numCache>
                <c:formatCode>0.0%</c:formatCode>
                <c:ptCount val="14"/>
                <c:pt idx="0">
                  <c:v>4.5448258216489448E-3</c:v>
                </c:pt>
                <c:pt idx="1">
                  <c:v>-6.1795662256881106E-3</c:v>
                </c:pt>
                <c:pt idx="2">
                  <c:v>-9.2751762718804986E-3</c:v>
                </c:pt>
                <c:pt idx="3">
                  <c:v>-7.6984115860528352E-3</c:v>
                </c:pt>
                <c:pt idx="4">
                  <c:v>5.2999191838327129E-4</c:v>
                </c:pt>
                <c:pt idx="5">
                  <c:v>-5.0203754618341956E-3</c:v>
                </c:pt>
                <c:pt idx="6">
                  <c:v>-5.4503837578966409E-3</c:v>
                </c:pt>
                <c:pt idx="7">
                  <c:v>-7.7294616980531188E-3</c:v>
                </c:pt>
                <c:pt idx="8">
                  <c:v>1.028681775380442E-3</c:v>
                </c:pt>
                <c:pt idx="9">
                  <c:v>8.9704342237165136E-4</c:v>
                </c:pt>
                <c:pt idx="10">
                  <c:v>-1.1077806238305448E-3</c:v>
                </c:pt>
                <c:pt idx="11">
                  <c:v>-7.5030364372469637E-3</c:v>
                </c:pt>
                <c:pt idx="12">
                  <c:v>-1.5656441087131309E-2</c:v>
                </c:pt>
                <c:pt idx="13">
                  <c:v>-2.9615499592516499E-3</c:v>
                </c:pt>
              </c:numCache>
            </c:numRef>
          </c:val>
          <c:smooth val="0"/>
          <c:extLst>
            <c:ext xmlns:c16="http://schemas.microsoft.com/office/drawing/2014/chart" uri="{C3380CC4-5D6E-409C-BE32-E72D297353CC}">
              <c16:uniqueId val="{0000001E-5A26-46A6-B50D-195D783AAEEA}"/>
            </c:ext>
          </c:extLst>
        </c:ser>
        <c:dLbls>
          <c:showLegendKey val="0"/>
          <c:showVal val="0"/>
          <c:showCatName val="0"/>
          <c:showSerName val="0"/>
          <c:showPercent val="0"/>
          <c:showBubbleSize val="0"/>
        </c:dLbls>
        <c:marker val="1"/>
        <c:smooth val="0"/>
        <c:axId val="491031936"/>
        <c:axId val="491222144"/>
      </c:lineChart>
      <c:catAx>
        <c:axId val="491028864"/>
        <c:scaling>
          <c:orientation val="minMax"/>
        </c:scaling>
        <c:delete val="0"/>
        <c:axPos val="b"/>
        <c:numFmt formatCode="General" sourceLinked="1"/>
        <c:majorTickMark val="out"/>
        <c:minorTickMark val="none"/>
        <c:tickLblPos val="low"/>
        <c:txPr>
          <a:bodyPr rot="0" vert="horz" anchor="t" anchorCtr="1"/>
          <a:lstStyle/>
          <a:p>
            <a:pPr>
              <a:defRPr b="1"/>
            </a:pPr>
            <a:endParaRPr lang="es-GT"/>
          </a:p>
        </c:txPr>
        <c:crossAx val="491030400"/>
        <c:crosses val="autoZero"/>
        <c:auto val="0"/>
        <c:lblAlgn val="ctr"/>
        <c:lblOffset val="100"/>
        <c:tickLblSkip val="1"/>
        <c:noMultiLvlLbl val="0"/>
      </c:catAx>
      <c:valAx>
        <c:axId val="491030400"/>
        <c:scaling>
          <c:orientation val="minMax"/>
        </c:scaling>
        <c:delete val="0"/>
        <c:axPos val="l"/>
        <c:numFmt formatCode="#,##0.0" sourceLinked="1"/>
        <c:majorTickMark val="out"/>
        <c:minorTickMark val="none"/>
        <c:tickLblPos val="nextTo"/>
        <c:crossAx val="491028864"/>
        <c:crosses val="autoZero"/>
        <c:crossBetween val="midCat"/>
      </c:valAx>
      <c:catAx>
        <c:axId val="491031936"/>
        <c:scaling>
          <c:orientation val="minMax"/>
        </c:scaling>
        <c:delete val="1"/>
        <c:axPos val="b"/>
        <c:numFmt formatCode="General" sourceLinked="1"/>
        <c:majorTickMark val="out"/>
        <c:minorTickMark val="none"/>
        <c:tickLblPos val="nextTo"/>
        <c:crossAx val="491222144"/>
        <c:crosses val="autoZero"/>
        <c:auto val="1"/>
        <c:lblAlgn val="ctr"/>
        <c:lblOffset val="100"/>
        <c:noMultiLvlLbl val="0"/>
      </c:catAx>
      <c:valAx>
        <c:axId val="491222144"/>
        <c:scaling>
          <c:orientation val="minMax"/>
        </c:scaling>
        <c:delete val="0"/>
        <c:axPos val="r"/>
        <c:numFmt formatCode="0.0%" sourceLinked="1"/>
        <c:majorTickMark val="out"/>
        <c:minorTickMark val="none"/>
        <c:tickLblPos val="nextTo"/>
        <c:crossAx val="491031936"/>
        <c:crosses val="max"/>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35728192935435E-2"/>
          <c:y val="3.0522382804130756E-2"/>
          <c:w val="0.88764972826466537"/>
          <c:h val="0.83439976188543441"/>
        </c:manualLayout>
      </c:layout>
      <c:barChart>
        <c:barDir val="col"/>
        <c:grouping val="clustered"/>
        <c:varyColors val="0"/>
        <c:ser>
          <c:idx val="0"/>
          <c:order val="0"/>
          <c:tx>
            <c:strRef>
              <c:f>'Deuda Publica'!$B$10</c:f>
              <c:strCache>
                <c:ptCount val="1"/>
                <c:pt idx="0">
                  <c:v>Saldo Deuda</c:v>
                </c:pt>
              </c:strCache>
            </c:strRef>
          </c:tx>
          <c:invertIfNegative val="0"/>
          <c:dLbls>
            <c:spPr>
              <a:noFill/>
              <a:ln>
                <a:noFill/>
              </a:ln>
              <a:effectLst/>
            </c:spPr>
            <c:txPr>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 Publica'!$A$11:$A$23</c:f>
              <c:strCach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strCache>
            </c:strRef>
          </c:cat>
          <c:val>
            <c:numRef>
              <c:f>'Deuda Publica'!$B$11:$B$23</c:f>
              <c:numCache>
                <c:formatCode>#,##0.0</c:formatCode>
                <c:ptCount val="13"/>
                <c:pt idx="0">
                  <c:v>71887.679999999993</c:v>
                </c:pt>
                <c:pt idx="1">
                  <c:v>81366.89</c:v>
                </c:pt>
                <c:pt idx="2">
                  <c:v>88806.8</c:v>
                </c:pt>
                <c:pt idx="3">
                  <c:v>96960.33</c:v>
                </c:pt>
                <c:pt idx="4">
                  <c:v>104843.92</c:v>
                </c:pt>
                <c:pt idx="5">
                  <c:v>110904.06</c:v>
                </c:pt>
                <c:pt idx="6">
                  <c:v>118625.74</c:v>
                </c:pt>
                <c:pt idx="7">
                  <c:v>125676.09</c:v>
                </c:pt>
                <c:pt idx="8">
                  <c:v>132449.59</c:v>
                </c:pt>
                <c:pt idx="9">
                  <c:v>146020.6</c:v>
                </c:pt>
                <c:pt idx="10">
                  <c:v>157325.85</c:v>
                </c:pt>
                <c:pt idx="11">
                  <c:v>181318</c:v>
                </c:pt>
                <c:pt idx="12">
                  <c:v>199213.45</c:v>
                </c:pt>
              </c:numCache>
            </c:numRef>
          </c:val>
          <c:extLst>
            <c:ext xmlns:c16="http://schemas.microsoft.com/office/drawing/2014/chart" uri="{C3380CC4-5D6E-409C-BE32-E72D297353CC}">
              <c16:uniqueId val="{00000000-09FB-4792-8C87-724C82CD78D5}"/>
            </c:ext>
          </c:extLst>
        </c:ser>
        <c:dLbls>
          <c:showLegendKey val="0"/>
          <c:showVal val="0"/>
          <c:showCatName val="0"/>
          <c:showSerName val="0"/>
          <c:showPercent val="0"/>
          <c:showBubbleSize val="0"/>
        </c:dLbls>
        <c:gapWidth val="40"/>
        <c:axId val="491459712"/>
        <c:axId val="491461248"/>
      </c:barChart>
      <c:lineChart>
        <c:grouping val="standard"/>
        <c:varyColors val="0"/>
        <c:ser>
          <c:idx val="1"/>
          <c:order val="1"/>
          <c:tx>
            <c:strRef>
              <c:f>'Deuda Publica'!$C$10</c:f>
              <c:strCache>
                <c:ptCount val="1"/>
                <c:pt idx="0">
                  <c:v>% PIB</c:v>
                </c:pt>
              </c:strCache>
            </c:strRef>
          </c:tx>
          <c:marker>
            <c:symbol val="none"/>
          </c:marker>
          <c:dLbls>
            <c:dLbl>
              <c:idx val="0"/>
              <c:layout>
                <c:manualLayout>
                  <c:x val="-3.0853976122399582E-2"/>
                  <c:y val="0.332178115043394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FB-4792-8C87-724C82CD78D5}"/>
                </c:ext>
              </c:extLst>
            </c:dLbl>
            <c:dLbl>
              <c:idx val="1"/>
              <c:layout>
                <c:manualLayout>
                  <c:x val="-2.9782582795732915E-2"/>
                  <c:y val="0.30924267267380179"/>
                </c:manualLayout>
              </c:layout>
              <c:dLblPos val="r"/>
              <c:showLegendKey val="0"/>
              <c:showVal val="1"/>
              <c:showCatName val="0"/>
              <c:showSerName val="0"/>
              <c:showPercent val="0"/>
              <c:showBubbleSize val="0"/>
              <c:extLst>
                <c:ext xmlns:c15="http://schemas.microsoft.com/office/drawing/2012/chart" uri="{CE6537A1-D6FC-4f65-9D91-7224C49458BB}">
                  <c15:layout>
                    <c:manualLayout>
                      <c:w val="4.0090883682911388E-2"/>
                      <c:h val="5.7298004131437499E-2"/>
                    </c:manualLayout>
                  </c15:layout>
                </c:ext>
                <c:ext xmlns:c16="http://schemas.microsoft.com/office/drawing/2014/chart" uri="{C3380CC4-5D6E-409C-BE32-E72D297353CC}">
                  <c16:uniqueId val="{00000002-09FB-4792-8C87-724C82CD78D5}"/>
                </c:ext>
              </c:extLst>
            </c:dLbl>
            <c:dLbl>
              <c:idx val="2"/>
              <c:layout>
                <c:manualLayout>
                  <c:x val="-3.0763862850477025E-2"/>
                  <c:y val="0.2835839800103882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FB-4792-8C87-724C82CD78D5}"/>
                </c:ext>
              </c:extLst>
            </c:dLbl>
            <c:dLbl>
              <c:idx val="3"/>
              <c:layout>
                <c:manualLayout>
                  <c:x val="-3.2466774986460029E-2"/>
                  <c:y val="0.263615420853458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FB-4792-8C87-724C82CD78D5}"/>
                </c:ext>
              </c:extLst>
            </c:dLbl>
            <c:dLbl>
              <c:idx val="4"/>
              <c:layout>
                <c:manualLayout>
                  <c:x val="-3.1560464664139205E-2"/>
                  <c:y val="0.2336634449293443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FB-4792-8C87-724C82CD78D5}"/>
                </c:ext>
              </c:extLst>
            </c:dLbl>
            <c:dLbl>
              <c:idx val="5"/>
              <c:layout>
                <c:manualLayout>
                  <c:x val="-3.1140899054284962E-2"/>
                  <c:y val="0.1948086370860447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FB-4792-8C87-724C82CD78D5}"/>
                </c:ext>
              </c:extLst>
            </c:dLbl>
            <c:dLbl>
              <c:idx val="6"/>
              <c:layout>
                <c:manualLayout>
                  <c:x val="-3.0983106278381949E-2"/>
                  <c:y val="0.1583835058093083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FB-4792-8C87-724C82CD78D5}"/>
                </c:ext>
              </c:extLst>
            </c:dLbl>
            <c:dLbl>
              <c:idx val="7"/>
              <c:layout>
                <c:manualLayout>
                  <c:x val="-3.0945958144120954E-2"/>
                  <c:y val="0.132915732673455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FB-4792-8C87-724C82CD78D5}"/>
                </c:ext>
              </c:extLst>
            </c:dLbl>
            <c:dLbl>
              <c:idx val="8"/>
              <c:layout>
                <c:manualLayout>
                  <c:x val="-2.5962735890815367E-2"/>
                  <c:y val="7.63435097304097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9FB-4792-8C87-724C82CD78D5}"/>
                </c:ext>
              </c:extLst>
            </c:dLbl>
            <c:dLbl>
              <c:idx val="9"/>
              <c:layout>
                <c:manualLayout>
                  <c:x val="-3.0561110416753381E-2"/>
                  <c:y val="7.74162598511477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9FB-4792-8C87-724C82CD78D5}"/>
                </c:ext>
              </c:extLst>
            </c:dLbl>
            <c:spPr>
              <a:noFill/>
              <a:ln>
                <a:noFill/>
              </a:ln>
              <a:effectLst/>
            </c:spPr>
            <c:txPr>
              <a:bodyPr/>
              <a:lstStyle/>
              <a:p>
                <a:pPr>
                  <a:defRPr sz="700" b="1">
                    <a:solidFill>
                      <a:srgbClr val="C0000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 Publica'!$A$11:$A$23</c:f>
              <c:strCach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strCache>
            </c:strRef>
          </c:cat>
          <c:val>
            <c:numRef>
              <c:f>'Deuda Publica'!$C$11:$C$23</c:f>
              <c:numCache>
                <c:formatCode>0.0</c:formatCode>
                <c:ptCount val="13"/>
                <c:pt idx="0">
                  <c:v>23.3</c:v>
                </c:pt>
                <c:pt idx="1">
                  <c:v>24.4</c:v>
                </c:pt>
                <c:pt idx="2">
                  <c:v>24</c:v>
                </c:pt>
                <c:pt idx="3">
                  <c:v>24.8</c:v>
                </c:pt>
                <c:pt idx="4">
                  <c:v>25.2</c:v>
                </c:pt>
                <c:pt idx="5">
                  <c:v>24.8</c:v>
                </c:pt>
                <c:pt idx="6">
                  <c:v>24.9</c:v>
                </c:pt>
                <c:pt idx="7">
                  <c:v>25</c:v>
                </c:pt>
                <c:pt idx="8">
                  <c:v>25.2</c:v>
                </c:pt>
                <c:pt idx="9">
                  <c:v>26.5</c:v>
                </c:pt>
                <c:pt idx="10">
                  <c:v>26.5</c:v>
                </c:pt>
                <c:pt idx="11">
                  <c:v>31.6</c:v>
                </c:pt>
                <c:pt idx="12">
                  <c:v>31.3</c:v>
                </c:pt>
              </c:numCache>
            </c:numRef>
          </c:val>
          <c:smooth val="0"/>
          <c:extLst>
            <c:ext xmlns:c16="http://schemas.microsoft.com/office/drawing/2014/chart" uri="{C3380CC4-5D6E-409C-BE32-E72D297353CC}">
              <c16:uniqueId val="{0000000B-09FB-4792-8C87-724C82CD78D5}"/>
            </c:ext>
          </c:extLst>
        </c:ser>
        <c:dLbls>
          <c:showLegendKey val="0"/>
          <c:showVal val="0"/>
          <c:showCatName val="0"/>
          <c:showSerName val="0"/>
          <c:showPercent val="0"/>
          <c:showBubbleSize val="0"/>
        </c:dLbls>
        <c:marker val="1"/>
        <c:smooth val="0"/>
        <c:axId val="491480960"/>
        <c:axId val="491479424"/>
      </c:lineChart>
      <c:catAx>
        <c:axId val="491459712"/>
        <c:scaling>
          <c:orientation val="minMax"/>
        </c:scaling>
        <c:delete val="0"/>
        <c:axPos val="b"/>
        <c:numFmt formatCode="General" sourceLinked="1"/>
        <c:majorTickMark val="out"/>
        <c:minorTickMark val="none"/>
        <c:tickLblPos val="nextTo"/>
        <c:txPr>
          <a:bodyPr/>
          <a:lstStyle/>
          <a:p>
            <a:pPr>
              <a:defRPr sz="600" b="1"/>
            </a:pPr>
            <a:endParaRPr lang="es-GT"/>
          </a:p>
        </c:txPr>
        <c:crossAx val="491461248"/>
        <c:crosses val="autoZero"/>
        <c:auto val="1"/>
        <c:lblAlgn val="ctr"/>
        <c:lblOffset val="100"/>
        <c:noMultiLvlLbl val="0"/>
      </c:catAx>
      <c:valAx>
        <c:axId val="491461248"/>
        <c:scaling>
          <c:orientation val="minMax"/>
          <c:max val="200000"/>
          <c:min val="10000"/>
        </c:scaling>
        <c:delete val="0"/>
        <c:axPos val="l"/>
        <c:numFmt formatCode="#,##0.0" sourceLinked="1"/>
        <c:majorTickMark val="out"/>
        <c:minorTickMark val="none"/>
        <c:tickLblPos val="nextTo"/>
        <c:txPr>
          <a:bodyPr/>
          <a:lstStyle/>
          <a:p>
            <a:pPr>
              <a:defRPr sz="700"/>
            </a:pPr>
            <a:endParaRPr lang="es-GT"/>
          </a:p>
        </c:txPr>
        <c:crossAx val="491459712"/>
        <c:crosses val="autoZero"/>
        <c:crossBetween val="between"/>
        <c:majorUnit val="40000"/>
        <c:minorUnit val="6000"/>
      </c:valAx>
      <c:valAx>
        <c:axId val="491479424"/>
        <c:scaling>
          <c:orientation val="minMax"/>
        </c:scaling>
        <c:delete val="0"/>
        <c:axPos val="r"/>
        <c:numFmt formatCode="0.0" sourceLinked="1"/>
        <c:majorTickMark val="out"/>
        <c:minorTickMark val="none"/>
        <c:tickLblPos val="nextTo"/>
        <c:txPr>
          <a:bodyPr/>
          <a:lstStyle/>
          <a:p>
            <a:pPr>
              <a:defRPr sz="700"/>
            </a:pPr>
            <a:endParaRPr lang="es-GT"/>
          </a:p>
        </c:txPr>
        <c:crossAx val="491480960"/>
        <c:crosses val="max"/>
        <c:crossBetween val="between"/>
      </c:valAx>
      <c:catAx>
        <c:axId val="491480960"/>
        <c:scaling>
          <c:orientation val="minMax"/>
        </c:scaling>
        <c:delete val="1"/>
        <c:axPos val="b"/>
        <c:numFmt formatCode="General" sourceLinked="1"/>
        <c:majorTickMark val="out"/>
        <c:minorTickMark val="none"/>
        <c:tickLblPos val="nextTo"/>
        <c:crossAx val="491479424"/>
        <c:crosses val="autoZero"/>
        <c:auto val="1"/>
        <c:lblAlgn val="ctr"/>
        <c:lblOffset val="100"/>
        <c:noMultiLvlLbl val="0"/>
      </c:catAx>
    </c:plotArea>
    <c:legend>
      <c:legendPos val="b"/>
      <c:layout>
        <c:manualLayout>
          <c:xMode val="edge"/>
          <c:yMode val="edge"/>
          <c:x val="0.33937789026371706"/>
          <c:y val="0.91197495776538784"/>
          <c:w val="0.32124421947256593"/>
          <c:h val="7.9258879622295733E-2"/>
        </c:manualLayout>
      </c:layout>
      <c:overlay val="0"/>
      <c:txPr>
        <a:bodyPr/>
        <a:lstStyle/>
        <a:p>
          <a:pPr>
            <a:defRPr sz="900" b="1"/>
          </a:pPr>
          <a:endParaRPr lang="es-GT"/>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5462962962962962E-2"/>
          <c:y val="0"/>
          <c:w val="0.94907407407407407"/>
          <c:h val="0.87070500339177681"/>
        </c:manualLayout>
      </c:layout>
      <c:barChart>
        <c:barDir val="col"/>
        <c:grouping val="clustered"/>
        <c:varyColors val="0"/>
        <c:ser>
          <c:idx val="0"/>
          <c:order val="0"/>
          <c:tx>
            <c:strRef>
              <c:f>Hoja1!$B$1</c:f>
              <c:strCache>
                <c:ptCount val="1"/>
                <c:pt idx="0">
                  <c:v>Serie 1</c:v>
                </c:pt>
              </c:strCache>
            </c:strRef>
          </c:tx>
          <c:spPr>
            <a:solidFill>
              <a:srgbClr val="DEEBF7"/>
            </a:solidFill>
            <a:ln>
              <a:noFill/>
            </a:ln>
            <a:effectLst>
              <a:outerShdw blurRad="50800" dist="38100" dir="18900000" algn="bl" rotWithShape="0">
                <a:prstClr val="black">
                  <a:alpha val="40000"/>
                </a:prstClr>
              </a:outerShdw>
            </a:effectLst>
          </c:spPr>
          <c:invertIfNegative val="0"/>
          <c:dLbls>
            <c:dLbl>
              <c:idx val="0"/>
              <c:layout>
                <c:manualLayout>
                  <c:x val="0"/>
                  <c:y val="0.117612466921493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EE-477F-9B4D-722540BF7C6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Banco de Guatemala</c:v>
                </c:pt>
                <c:pt idx="1">
                  <c:v>FMI</c:v>
                </c:pt>
                <c:pt idx="2">
                  <c:v>BM</c:v>
                </c:pt>
                <c:pt idx="3">
                  <c:v>CEPAL</c:v>
                </c:pt>
              </c:strCache>
            </c:strRef>
          </c:cat>
          <c:val>
            <c:numRef>
              <c:f>Hoja1!$B$2:$B$5</c:f>
              <c:numCache>
                <c:formatCode>General</c:formatCode>
                <c:ptCount val="4"/>
                <c:pt idx="0" formatCode="_-* #,##0.0_-;\-* #,##0.0_-;_-* &quot;-&quot;??_-;_-@_-">
                  <c:v>6</c:v>
                </c:pt>
              </c:numCache>
            </c:numRef>
          </c:val>
          <c:extLst>
            <c:ext xmlns:c16="http://schemas.microsoft.com/office/drawing/2014/chart" uri="{C3380CC4-5D6E-409C-BE32-E72D297353CC}">
              <c16:uniqueId val="{00000001-7BEE-477F-9B4D-722540BF7C6F}"/>
            </c:ext>
          </c:extLst>
        </c:ser>
        <c:ser>
          <c:idx val="1"/>
          <c:order val="1"/>
          <c:tx>
            <c:strRef>
              <c:f>Hoja1!$C$1</c:f>
              <c:strCache>
                <c:ptCount val="1"/>
                <c:pt idx="0">
                  <c:v>Columna1</c:v>
                </c:pt>
              </c:strCache>
            </c:strRef>
          </c:tx>
          <c:spPr>
            <a:solidFill>
              <a:srgbClr val="9DC3E6"/>
            </a:solidFill>
            <a:ln>
              <a:noFill/>
            </a:ln>
            <a:effectLst/>
          </c:spPr>
          <c:invertIfNegative val="0"/>
          <c:dLbls>
            <c:dLbl>
              <c:idx val="0"/>
              <c:layout>
                <c:manualLayout>
                  <c:x val="0"/>
                  <c:y val="0.1293737136136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EE-477F-9B4D-722540BF7C6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Banco de Guatemala</c:v>
                </c:pt>
                <c:pt idx="1">
                  <c:v>FMI</c:v>
                </c:pt>
                <c:pt idx="2">
                  <c:v>BM</c:v>
                </c:pt>
                <c:pt idx="3">
                  <c:v>CEPAL</c:v>
                </c:pt>
              </c:strCache>
            </c:strRef>
          </c:cat>
          <c:val>
            <c:numRef>
              <c:f>Hoja1!$C$2:$C$5</c:f>
              <c:numCache>
                <c:formatCode>General</c:formatCode>
                <c:ptCount val="4"/>
                <c:pt idx="0" formatCode="_-* #,##0.0_-;\-* #,##0.0_-;_-* &quot;-&quot;??_-;_-@_-">
                  <c:v>5</c:v>
                </c:pt>
              </c:numCache>
            </c:numRef>
          </c:val>
          <c:extLst>
            <c:ext xmlns:c16="http://schemas.microsoft.com/office/drawing/2014/chart" uri="{C3380CC4-5D6E-409C-BE32-E72D297353CC}">
              <c16:uniqueId val="{00000003-7BEE-477F-9B4D-722540BF7C6F}"/>
            </c:ext>
          </c:extLst>
        </c:ser>
        <c:ser>
          <c:idx val="2"/>
          <c:order val="2"/>
          <c:tx>
            <c:strRef>
              <c:f>Hoja1!$D$1</c:f>
              <c:strCache>
                <c:ptCount val="1"/>
                <c:pt idx="0">
                  <c:v>Columna2</c:v>
                </c:pt>
              </c:strCache>
            </c:strRef>
          </c:tx>
          <c:spPr>
            <a:solidFill>
              <a:srgbClr val="5B9BD5"/>
            </a:solidFill>
            <a:ln>
              <a:noFill/>
            </a:ln>
            <a:effectLst>
              <a:outerShdw blurRad="50800" dist="38100" dir="18900000" algn="bl" rotWithShape="0">
                <a:prstClr val="black">
                  <a:alpha val="40000"/>
                </a:prstClr>
              </a:outerShdw>
            </a:effectLst>
          </c:spPr>
          <c:invertIfNegative val="0"/>
          <c:dPt>
            <c:idx val="0"/>
            <c:invertIfNegative val="0"/>
            <c:bubble3D val="0"/>
            <c:spPr>
              <a:solidFill>
                <a:srgbClr val="5B9BD5"/>
              </a:solidFill>
              <a:ln>
                <a:noFill/>
              </a:ln>
              <a:effectLst/>
            </c:spPr>
            <c:extLst>
              <c:ext xmlns:c16="http://schemas.microsoft.com/office/drawing/2014/chart" uri="{C3380CC4-5D6E-409C-BE32-E72D297353CC}">
                <c16:uniqueId val="{00000005-7BEE-477F-9B4D-722540BF7C6F}"/>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Banco de Guatemala</c:v>
                </c:pt>
                <c:pt idx="1">
                  <c:v>FMI</c:v>
                </c:pt>
                <c:pt idx="2">
                  <c:v>BM</c:v>
                </c:pt>
                <c:pt idx="3">
                  <c:v>CEPAL</c:v>
                </c:pt>
              </c:strCache>
            </c:strRef>
          </c:cat>
          <c:val>
            <c:numRef>
              <c:f>Hoja1!$D$2:$D$5</c:f>
              <c:numCache>
                <c:formatCode>_-* #,##0.0_-;\-* #,##0.0_-;_-* "-"??_-;_-@_-</c:formatCode>
                <c:ptCount val="4"/>
                <c:pt idx="0">
                  <c:v>4</c:v>
                </c:pt>
                <c:pt idx="1">
                  <c:v>4.5</c:v>
                </c:pt>
                <c:pt idx="2">
                  <c:v>3.6</c:v>
                </c:pt>
                <c:pt idx="3">
                  <c:v>3.5</c:v>
                </c:pt>
              </c:numCache>
            </c:numRef>
          </c:val>
          <c:extLst>
            <c:ext xmlns:c16="http://schemas.microsoft.com/office/drawing/2014/chart" uri="{C3380CC4-5D6E-409C-BE32-E72D297353CC}">
              <c16:uniqueId val="{00000006-7BEE-477F-9B4D-722540BF7C6F}"/>
            </c:ext>
          </c:extLst>
        </c:ser>
        <c:dLbls>
          <c:showLegendKey val="0"/>
          <c:showVal val="0"/>
          <c:showCatName val="0"/>
          <c:showSerName val="0"/>
          <c:showPercent val="0"/>
          <c:showBubbleSize val="0"/>
        </c:dLbls>
        <c:gapWidth val="70"/>
        <c:overlap val="100"/>
        <c:axId val="491908480"/>
        <c:axId val="491914368"/>
      </c:barChart>
      <c:catAx>
        <c:axId val="49190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1914368"/>
        <c:crosses val="autoZero"/>
        <c:auto val="1"/>
        <c:lblAlgn val="ctr"/>
        <c:lblOffset val="100"/>
        <c:noMultiLvlLbl val="0"/>
      </c:catAx>
      <c:valAx>
        <c:axId val="491914368"/>
        <c:scaling>
          <c:orientation val="minMax"/>
        </c:scaling>
        <c:delete val="1"/>
        <c:axPos val="l"/>
        <c:numFmt formatCode="_-* #,##0.0_-;\-* #,##0.0_-;_-* &quot;-&quot;??_-;_-@_-" sourceLinked="1"/>
        <c:majorTickMark val="none"/>
        <c:minorTickMark val="none"/>
        <c:tickLblPos val="nextTo"/>
        <c:crossAx val="491908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979257801108193E-2"/>
          <c:y val="2.3522493384298737E-2"/>
          <c:w val="0.91732611548556431"/>
          <c:h val="0.76312154600198645"/>
        </c:manualLayout>
      </c:layout>
      <c:lineChart>
        <c:grouping val="standard"/>
        <c:varyColors val="0"/>
        <c:ser>
          <c:idx val="0"/>
          <c:order val="0"/>
          <c:tx>
            <c:strRef>
              <c:f>Hoja1!$B$1</c:f>
              <c:strCache>
                <c:ptCount val="1"/>
                <c:pt idx="0">
                  <c:v>Inflación</c:v>
                </c:pt>
              </c:strCache>
            </c:strRef>
          </c:tx>
          <c:spPr>
            <a:ln w="28575" cap="rnd">
              <a:solidFill>
                <a:srgbClr val="0070C0"/>
              </a:solidFill>
              <a:round/>
            </a:ln>
            <a:effectLst>
              <a:outerShdw blurRad="50800" dist="38100" dir="18900000" algn="bl" rotWithShape="0">
                <a:prstClr val="black">
                  <a:alpha val="40000"/>
                </a:prstClr>
              </a:outerShdw>
            </a:effectLst>
          </c:spPr>
          <c:marker>
            <c:symbol val="circle"/>
            <c:size val="7"/>
            <c:spPr>
              <a:solidFill>
                <a:sysClr val="windowText" lastClr="000000"/>
              </a:solidFill>
              <a:ln w="9525">
                <a:noFill/>
              </a:ln>
              <a:effectLst>
                <a:outerShdw blurRad="50800" dist="38100" dir="18900000" algn="bl" rotWithShape="0">
                  <a:prstClr val="black">
                    <a:alpha val="40000"/>
                  </a:prstClr>
                </a:outerShdw>
              </a:effectLst>
            </c:spPr>
          </c:marker>
          <c:dLbls>
            <c:spPr>
              <a:noFill/>
              <a:ln>
                <a:noFill/>
              </a:ln>
              <a:effectLst/>
            </c:spPr>
            <c:txPr>
              <a:bodyPr rot="0" spcFirstLastPara="1" vertOverflow="ellipsis" vert="horz" wrap="square" anchor="ctr" anchorCtr="1"/>
              <a:lstStyle/>
              <a:p>
                <a:pPr>
                  <a:defRPr sz="900" b="1" i="0" u="none" strike="noStrike" kern="1200" baseline="0">
                    <a:ln>
                      <a:noFill/>
                    </a:ln>
                    <a:solidFill>
                      <a:srgbClr val="00206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Hoja1!$A$2:$A$7</c:f>
              <c:numCache>
                <c:formatCode>mmm\-yy</c:formatCode>
                <c:ptCount val="6"/>
                <c:pt idx="0">
                  <c:v>44197</c:v>
                </c:pt>
                <c:pt idx="1">
                  <c:v>44228</c:v>
                </c:pt>
                <c:pt idx="2">
                  <c:v>44256</c:v>
                </c:pt>
                <c:pt idx="3">
                  <c:v>44287</c:v>
                </c:pt>
                <c:pt idx="4">
                  <c:v>44317</c:v>
                </c:pt>
                <c:pt idx="5">
                  <c:v>44348</c:v>
                </c:pt>
              </c:numCache>
            </c:numRef>
          </c:cat>
          <c:val>
            <c:numRef>
              <c:f>Hoja1!$B$2:$B$7</c:f>
              <c:numCache>
                <c:formatCode>_(* #,##0.00_);_(* \(#,##0.00\);_(* "-"??_);_(@_)</c:formatCode>
                <c:ptCount val="6"/>
                <c:pt idx="0">
                  <c:v>5.24</c:v>
                </c:pt>
                <c:pt idx="1">
                  <c:v>6</c:v>
                </c:pt>
                <c:pt idx="2">
                  <c:v>5.84</c:v>
                </c:pt>
                <c:pt idx="3">
                  <c:v>5.2</c:v>
                </c:pt>
                <c:pt idx="4">
                  <c:v>5.17</c:v>
                </c:pt>
                <c:pt idx="5">
                  <c:v>3.91</c:v>
                </c:pt>
              </c:numCache>
            </c:numRef>
          </c:val>
          <c:smooth val="0"/>
          <c:extLst>
            <c:ext xmlns:c16="http://schemas.microsoft.com/office/drawing/2014/chart" uri="{C3380CC4-5D6E-409C-BE32-E72D297353CC}">
              <c16:uniqueId val="{00000000-C65F-416B-A9DF-26F54DE51FC9}"/>
            </c:ext>
          </c:extLst>
        </c:ser>
        <c:ser>
          <c:idx val="1"/>
          <c:order val="1"/>
          <c:tx>
            <c:strRef>
              <c:f>Hoja1!$C$1</c:f>
              <c:strCache>
                <c:ptCount val="1"/>
                <c:pt idx="0">
                  <c:v>Meta</c:v>
                </c:pt>
              </c:strCache>
            </c:strRef>
          </c:tx>
          <c:spPr>
            <a:ln w="28575" cap="rnd">
              <a:solidFill>
                <a:srgbClr val="C00000"/>
              </a:solidFill>
              <a:round/>
            </a:ln>
            <a:effectLst/>
          </c:spPr>
          <c:marker>
            <c:symbol val="none"/>
          </c:marker>
          <c:cat>
            <c:numRef>
              <c:f>Hoja1!$A$2:$A$7</c:f>
              <c:numCache>
                <c:formatCode>mmm\-yy</c:formatCode>
                <c:ptCount val="6"/>
                <c:pt idx="0">
                  <c:v>44197</c:v>
                </c:pt>
                <c:pt idx="1">
                  <c:v>44228</c:v>
                </c:pt>
                <c:pt idx="2">
                  <c:v>44256</c:v>
                </c:pt>
                <c:pt idx="3">
                  <c:v>44287</c:v>
                </c:pt>
                <c:pt idx="4">
                  <c:v>44317</c:v>
                </c:pt>
                <c:pt idx="5">
                  <c:v>44348</c:v>
                </c:pt>
              </c:numCache>
            </c:numRef>
          </c:cat>
          <c:val>
            <c:numRef>
              <c:f>Hoja1!$C$2:$C$7</c:f>
              <c:numCache>
                <c:formatCode>General</c:formatCode>
                <c:ptCount val="6"/>
                <c:pt idx="0">
                  <c:v>4</c:v>
                </c:pt>
                <c:pt idx="1">
                  <c:v>4</c:v>
                </c:pt>
                <c:pt idx="2">
                  <c:v>4</c:v>
                </c:pt>
                <c:pt idx="3">
                  <c:v>4</c:v>
                </c:pt>
                <c:pt idx="4">
                  <c:v>4</c:v>
                </c:pt>
                <c:pt idx="5">
                  <c:v>4</c:v>
                </c:pt>
              </c:numCache>
            </c:numRef>
          </c:val>
          <c:smooth val="0"/>
          <c:extLst>
            <c:ext xmlns:c16="http://schemas.microsoft.com/office/drawing/2014/chart" uri="{C3380CC4-5D6E-409C-BE32-E72D297353CC}">
              <c16:uniqueId val="{00000001-C65F-416B-A9DF-26F54DE51FC9}"/>
            </c:ext>
          </c:extLst>
        </c:ser>
        <c:ser>
          <c:idx val="2"/>
          <c:order val="2"/>
          <c:tx>
            <c:strRef>
              <c:f>Hoja1!$D$1</c:f>
              <c:strCache>
                <c:ptCount val="1"/>
                <c:pt idx="0">
                  <c:v>Columna2</c:v>
                </c:pt>
              </c:strCache>
            </c:strRef>
          </c:tx>
          <c:spPr>
            <a:ln w="28575" cap="rnd">
              <a:solidFill>
                <a:srgbClr val="C00000"/>
              </a:solidFill>
              <a:prstDash val="sysDash"/>
              <a:round/>
            </a:ln>
            <a:effectLst/>
          </c:spPr>
          <c:marker>
            <c:symbol val="none"/>
          </c:marker>
          <c:cat>
            <c:numRef>
              <c:f>Hoja1!$A$2:$A$7</c:f>
              <c:numCache>
                <c:formatCode>mmm\-yy</c:formatCode>
                <c:ptCount val="6"/>
                <c:pt idx="0">
                  <c:v>44197</c:v>
                </c:pt>
                <c:pt idx="1">
                  <c:v>44228</c:v>
                </c:pt>
                <c:pt idx="2">
                  <c:v>44256</c:v>
                </c:pt>
                <c:pt idx="3">
                  <c:v>44287</c:v>
                </c:pt>
                <c:pt idx="4">
                  <c:v>44317</c:v>
                </c:pt>
                <c:pt idx="5">
                  <c:v>44348</c:v>
                </c:pt>
              </c:numCache>
            </c:numRef>
          </c:cat>
          <c:val>
            <c:numRef>
              <c:f>Hoja1!$D$2:$D$7</c:f>
              <c:numCache>
                <c:formatCode>General</c:formatCode>
                <c:ptCount val="6"/>
                <c:pt idx="0">
                  <c:v>3</c:v>
                </c:pt>
                <c:pt idx="1">
                  <c:v>3</c:v>
                </c:pt>
                <c:pt idx="2">
                  <c:v>3</c:v>
                </c:pt>
                <c:pt idx="3">
                  <c:v>3</c:v>
                </c:pt>
                <c:pt idx="4">
                  <c:v>3</c:v>
                </c:pt>
                <c:pt idx="5">
                  <c:v>3</c:v>
                </c:pt>
              </c:numCache>
            </c:numRef>
          </c:val>
          <c:smooth val="0"/>
          <c:extLst>
            <c:ext xmlns:c16="http://schemas.microsoft.com/office/drawing/2014/chart" uri="{C3380CC4-5D6E-409C-BE32-E72D297353CC}">
              <c16:uniqueId val="{00000002-C65F-416B-A9DF-26F54DE51FC9}"/>
            </c:ext>
          </c:extLst>
        </c:ser>
        <c:ser>
          <c:idx val="3"/>
          <c:order val="3"/>
          <c:tx>
            <c:strRef>
              <c:f>Hoja1!$E$1</c:f>
              <c:strCache>
                <c:ptCount val="1"/>
                <c:pt idx="0">
                  <c:v>Columna3</c:v>
                </c:pt>
              </c:strCache>
            </c:strRef>
          </c:tx>
          <c:spPr>
            <a:ln w="28575" cap="rnd">
              <a:solidFill>
                <a:srgbClr val="C00000"/>
              </a:solidFill>
              <a:prstDash val="sysDash"/>
              <a:round/>
            </a:ln>
            <a:effectLst/>
          </c:spPr>
          <c:marker>
            <c:symbol val="none"/>
          </c:marker>
          <c:cat>
            <c:numRef>
              <c:f>Hoja1!$A$2:$A$7</c:f>
              <c:numCache>
                <c:formatCode>mmm\-yy</c:formatCode>
                <c:ptCount val="6"/>
                <c:pt idx="0">
                  <c:v>44197</c:v>
                </c:pt>
                <c:pt idx="1">
                  <c:v>44228</c:v>
                </c:pt>
                <c:pt idx="2">
                  <c:v>44256</c:v>
                </c:pt>
                <c:pt idx="3">
                  <c:v>44287</c:v>
                </c:pt>
                <c:pt idx="4">
                  <c:v>44317</c:v>
                </c:pt>
                <c:pt idx="5">
                  <c:v>44348</c:v>
                </c:pt>
              </c:numCache>
            </c:numRef>
          </c:cat>
          <c:val>
            <c:numRef>
              <c:f>Hoja1!$E$2:$E$7</c:f>
              <c:numCache>
                <c:formatCode>General</c:formatCode>
                <c:ptCount val="6"/>
                <c:pt idx="0">
                  <c:v>5</c:v>
                </c:pt>
                <c:pt idx="1">
                  <c:v>5</c:v>
                </c:pt>
                <c:pt idx="2">
                  <c:v>5</c:v>
                </c:pt>
                <c:pt idx="3">
                  <c:v>5</c:v>
                </c:pt>
                <c:pt idx="4">
                  <c:v>5</c:v>
                </c:pt>
                <c:pt idx="5">
                  <c:v>5</c:v>
                </c:pt>
              </c:numCache>
            </c:numRef>
          </c:val>
          <c:smooth val="0"/>
          <c:extLst>
            <c:ext xmlns:c16="http://schemas.microsoft.com/office/drawing/2014/chart" uri="{C3380CC4-5D6E-409C-BE32-E72D297353CC}">
              <c16:uniqueId val="{00000003-C65F-416B-A9DF-26F54DE51FC9}"/>
            </c:ext>
          </c:extLst>
        </c:ser>
        <c:dLbls>
          <c:showLegendKey val="0"/>
          <c:showVal val="0"/>
          <c:showCatName val="0"/>
          <c:showSerName val="0"/>
          <c:showPercent val="0"/>
          <c:showBubbleSize val="0"/>
        </c:dLbls>
        <c:marker val="1"/>
        <c:smooth val="0"/>
        <c:axId val="492008576"/>
        <c:axId val="492010112"/>
      </c:lineChart>
      <c:dateAx>
        <c:axId val="492008576"/>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010112"/>
        <c:crosses val="autoZero"/>
        <c:auto val="1"/>
        <c:lblOffset val="100"/>
        <c:baseTimeUnit val="months"/>
      </c:dateAx>
      <c:valAx>
        <c:axId val="492010112"/>
        <c:scaling>
          <c:orientation val="minMax"/>
          <c:min val="2"/>
        </c:scaling>
        <c:delete val="1"/>
        <c:axPos val="l"/>
        <c:numFmt formatCode="_(* #,##0.00_);_(* \(#,##0.00\);_(* &quot;-&quot;??_);_(@_)" sourceLinked="1"/>
        <c:majorTickMark val="out"/>
        <c:minorTickMark val="none"/>
        <c:tickLblPos val="nextTo"/>
        <c:crossAx val="492008576"/>
        <c:crosses val="autoZero"/>
        <c:crossBetween val="midCat"/>
      </c:valAx>
      <c:spPr>
        <a:noFill/>
        <a:ln>
          <a:noFill/>
        </a:ln>
        <a:effectLst/>
      </c:spPr>
    </c:plotArea>
    <c:legend>
      <c:legendPos val="b"/>
      <c:legendEntry>
        <c:idx val="2"/>
        <c:delete val="1"/>
      </c:legendEntry>
      <c:legendEntry>
        <c:idx val="3"/>
        <c:delete val="1"/>
      </c:legendEntry>
      <c:layout>
        <c:manualLayout>
          <c:xMode val="edge"/>
          <c:yMode val="edge"/>
          <c:x val="0.35355989355497225"/>
          <c:y val="0.89366119737826066"/>
          <c:w val="0.30213928988043159"/>
          <c:h val="0.10633880262173932"/>
        </c:manualLayout>
      </c:layout>
      <c:overlay val="0"/>
      <c:spPr>
        <a:noFill/>
        <a:ln>
          <a:noFill/>
        </a:ln>
        <a:effectLst/>
      </c:spPr>
      <c:txPr>
        <a:bodyPr rot="0" spcFirstLastPara="1" vertOverflow="ellipsis" vert="horz" wrap="square" anchor="ctr" anchorCtr="1"/>
        <a:lstStyle/>
        <a:p>
          <a:pPr>
            <a:defRPr sz="10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s-GT"/>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Hoja1!$B$1</c:f>
              <c:strCache>
                <c:ptCount val="1"/>
                <c:pt idx="0">
                  <c:v>Importaciones </c:v>
                </c:pt>
              </c:strCache>
            </c:strRef>
          </c:tx>
          <c:spPr>
            <a:ln w="28575" cap="rnd">
              <a:solidFill>
                <a:srgbClr val="002060"/>
              </a:solidFill>
              <a:round/>
            </a:ln>
            <a:effectLst>
              <a:outerShdw blurRad="50800" dist="38100" dir="18900000" algn="bl" rotWithShape="0">
                <a:prstClr val="black">
                  <a:alpha val="40000"/>
                </a:prstClr>
              </a:outerShdw>
            </a:effectLst>
          </c:spPr>
          <c:marker>
            <c:symbol val="none"/>
          </c:marker>
          <c:dPt>
            <c:idx val="4"/>
            <c:marker>
              <c:symbol val="circle"/>
              <c:size val="7"/>
              <c:spPr>
                <a:solidFill>
                  <a:srgbClr val="002060"/>
                </a:solidFill>
                <a:ln w="9525">
                  <a:noFill/>
                </a:ln>
                <a:effectLst/>
              </c:spPr>
            </c:marker>
            <c:bubble3D val="0"/>
            <c:extLst>
              <c:ext xmlns:c16="http://schemas.microsoft.com/office/drawing/2014/chart" uri="{C3380CC4-5D6E-409C-BE32-E72D297353CC}">
                <c16:uniqueId val="{00000000-5AE3-4AF5-99E7-1C8EA082F562}"/>
              </c:ext>
            </c:extLst>
          </c:dPt>
          <c:dLbls>
            <c:spPr>
              <a:noFill/>
              <a:ln>
                <a:noFill/>
              </a:ln>
              <a:effectLst/>
            </c:spPr>
            <c:txPr>
              <a:bodyPr rot="0" spcFirstLastPara="1" vertOverflow="ellipsis" vert="horz" wrap="square" anchor="ctr" anchorCtr="1"/>
              <a:lstStyle/>
              <a:p>
                <a:pPr>
                  <a:defRPr sz="1050" b="1" i="0" u="none" strike="noStrike" kern="1200" baseline="0">
                    <a:ln>
                      <a:noFill/>
                    </a:ln>
                    <a:solidFill>
                      <a:srgbClr val="00206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mmm\-yy</c:formatCode>
                <c:ptCount val="5"/>
                <c:pt idx="0">
                  <c:v>44197</c:v>
                </c:pt>
                <c:pt idx="1">
                  <c:v>44228</c:v>
                </c:pt>
                <c:pt idx="2">
                  <c:v>44256</c:v>
                </c:pt>
                <c:pt idx="3">
                  <c:v>44287</c:v>
                </c:pt>
                <c:pt idx="4">
                  <c:v>44317</c:v>
                </c:pt>
              </c:numCache>
            </c:numRef>
          </c:cat>
          <c:val>
            <c:numRef>
              <c:f>Hoja1!$B$2:$B$6</c:f>
              <c:numCache>
                <c:formatCode>_-* #,##0.0_-;\-* #,##0.0_-;_-* "-"??_-;_-@_-</c:formatCode>
                <c:ptCount val="5"/>
                <c:pt idx="0">
                  <c:v>-1.9120018428933294</c:v>
                </c:pt>
                <c:pt idx="1">
                  <c:v>5.9089796917054072</c:v>
                </c:pt>
                <c:pt idx="2">
                  <c:v>18.47592115814798</c:v>
                </c:pt>
                <c:pt idx="3">
                  <c:v>26.085816370013436</c:v>
                </c:pt>
                <c:pt idx="4">
                  <c:v>33.219752285142512</c:v>
                </c:pt>
              </c:numCache>
            </c:numRef>
          </c:val>
          <c:smooth val="1"/>
          <c:extLst>
            <c:ext xmlns:c16="http://schemas.microsoft.com/office/drawing/2014/chart" uri="{C3380CC4-5D6E-409C-BE32-E72D297353CC}">
              <c16:uniqueId val="{00000001-5AE3-4AF5-99E7-1C8EA082F562}"/>
            </c:ext>
          </c:extLst>
        </c:ser>
        <c:ser>
          <c:idx val="1"/>
          <c:order val="1"/>
          <c:tx>
            <c:strRef>
              <c:f>Hoja1!$C$1</c:f>
              <c:strCache>
                <c:ptCount val="1"/>
                <c:pt idx="0">
                  <c:v>Exportaciones</c:v>
                </c:pt>
              </c:strCache>
            </c:strRef>
          </c:tx>
          <c:spPr>
            <a:ln w="28575" cap="rnd">
              <a:solidFill>
                <a:srgbClr val="ED7D31"/>
              </a:solidFill>
              <a:round/>
            </a:ln>
            <a:effectLst/>
          </c:spPr>
          <c:marker>
            <c:symbol val="none"/>
          </c:marker>
          <c:dPt>
            <c:idx val="4"/>
            <c:marker>
              <c:symbol val="circle"/>
              <c:size val="7"/>
              <c:spPr>
                <a:solidFill>
                  <a:srgbClr val="ED7D31"/>
                </a:solidFill>
                <a:ln w="9525">
                  <a:solidFill>
                    <a:srgbClr val="ED7D31"/>
                  </a:solidFill>
                </a:ln>
                <a:effectLst/>
              </c:spPr>
            </c:marker>
            <c:bubble3D val="0"/>
            <c:extLst>
              <c:ext xmlns:c16="http://schemas.microsoft.com/office/drawing/2014/chart" uri="{C3380CC4-5D6E-409C-BE32-E72D297353CC}">
                <c16:uniqueId val="{00000002-5AE3-4AF5-99E7-1C8EA082F562}"/>
              </c:ext>
            </c:extLst>
          </c:dPt>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E3-4AF5-99E7-1C8EA082F562}"/>
                </c:ext>
              </c:extLst>
            </c:dLbl>
            <c:spPr>
              <a:noFill/>
              <a:ln>
                <a:noFill/>
              </a:ln>
              <a:effectLst/>
            </c:spPr>
            <c:txPr>
              <a:bodyPr rot="0" spcFirstLastPara="1" vertOverflow="ellipsis" vert="horz" wrap="square" anchor="ctr" anchorCtr="1"/>
              <a:lstStyle/>
              <a:p>
                <a:pPr>
                  <a:defRPr sz="1050" b="1" i="0" u="none" strike="noStrike" kern="1200" baseline="0">
                    <a:ln>
                      <a:noFill/>
                    </a:ln>
                    <a:solidFill>
                      <a:srgbClr val="ED7D31"/>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mmm\-yy</c:formatCode>
                <c:ptCount val="5"/>
                <c:pt idx="0">
                  <c:v>44197</c:v>
                </c:pt>
                <c:pt idx="1">
                  <c:v>44228</c:v>
                </c:pt>
                <c:pt idx="2">
                  <c:v>44256</c:v>
                </c:pt>
                <c:pt idx="3">
                  <c:v>44287</c:v>
                </c:pt>
                <c:pt idx="4">
                  <c:v>44317</c:v>
                </c:pt>
              </c:numCache>
            </c:numRef>
          </c:cat>
          <c:val>
            <c:numRef>
              <c:f>Hoja1!$C$2:$C$6</c:f>
              <c:numCache>
                <c:formatCode>General</c:formatCode>
                <c:ptCount val="5"/>
                <c:pt idx="0">
                  <c:v>7.4</c:v>
                </c:pt>
                <c:pt idx="1">
                  <c:v>5.5</c:v>
                </c:pt>
                <c:pt idx="2">
                  <c:v>12.3</c:v>
                </c:pt>
                <c:pt idx="3">
                  <c:v>15.1</c:v>
                </c:pt>
                <c:pt idx="4">
                  <c:v>16.600000000000001</c:v>
                </c:pt>
              </c:numCache>
            </c:numRef>
          </c:val>
          <c:smooth val="0"/>
          <c:extLst>
            <c:ext xmlns:c16="http://schemas.microsoft.com/office/drawing/2014/chart" uri="{C3380CC4-5D6E-409C-BE32-E72D297353CC}">
              <c16:uniqueId val="{00000004-5AE3-4AF5-99E7-1C8EA082F562}"/>
            </c:ext>
          </c:extLst>
        </c:ser>
        <c:dLbls>
          <c:showLegendKey val="0"/>
          <c:showVal val="0"/>
          <c:showCatName val="0"/>
          <c:showSerName val="0"/>
          <c:showPercent val="0"/>
          <c:showBubbleSize val="0"/>
        </c:dLbls>
        <c:smooth val="0"/>
        <c:axId val="492118016"/>
        <c:axId val="492119552"/>
      </c:lineChart>
      <c:dateAx>
        <c:axId val="492118016"/>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119552"/>
        <c:crosses val="autoZero"/>
        <c:auto val="1"/>
        <c:lblOffset val="100"/>
        <c:baseTimeUnit val="months"/>
      </c:dateAx>
      <c:valAx>
        <c:axId val="492119552"/>
        <c:scaling>
          <c:orientation val="minMax"/>
        </c:scaling>
        <c:delete val="1"/>
        <c:axPos val="l"/>
        <c:numFmt formatCode="_-* #,##0.0_-;\-* #,##0.0_-;_-* &quot;-&quot;??_-;_-@_-" sourceLinked="1"/>
        <c:majorTickMark val="none"/>
        <c:minorTickMark val="none"/>
        <c:tickLblPos val="nextTo"/>
        <c:crossAx val="4921180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s-G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4.1198501872659173E-2"/>
          <c:w val="0.93097348090922594"/>
          <c:h val="0.91571647645167953"/>
        </c:manualLayout>
      </c:layout>
      <c:lineChart>
        <c:grouping val="standard"/>
        <c:varyColors val="0"/>
        <c:ser>
          <c:idx val="0"/>
          <c:order val="0"/>
          <c:tx>
            <c:strRef>
              <c:f>ICAE!$B$3</c:f>
              <c:strCache>
                <c:ptCount val="1"/>
              </c:strCache>
            </c:strRef>
          </c:tx>
          <c:marker>
            <c:symbol val="none"/>
          </c:marker>
          <c:dLbls>
            <c:dLbl>
              <c:idx val="5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75-4AD4-94C0-3403085BE306}"/>
                </c:ext>
              </c:extLst>
            </c:dLbl>
            <c:dLbl>
              <c:idx val="65"/>
              <c:layout>
                <c:manualLayout>
                  <c:x val="0"/>
                  <c:y val="-3.26416414082536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75-4AD4-94C0-3403085BE306}"/>
                </c:ext>
              </c:extLst>
            </c:dLbl>
            <c:spPr>
              <a:noFill/>
              <a:ln>
                <a:noFill/>
              </a:ln>
              <a:effectLst/>
            </c:spPr>
            <c:txPr>
              <a:bodyPr wrap="square" lIns="38100" tIns="19050" rIns="38100" bIns="19050" anchor="ctr">
                <a:spAutoFit/>
              </a:bodyPr>
              <a:lstStyle/>
              <a:p>
                <a:pPr>
                  <a:defRPr sz="800"/>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ICAE!$A$16:$A$81</c:f>
              <c:numCache>
                <c:formatCode>mmm\-yy</c:formatCode>
                <c:ptCount val="66"/>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numCache>
            </c:numRef>
          </c:cat>
          <c:val>
            <c:numRef>
              <c:f>ICAE!$B$16:$B$81</c:f>
              <c:numCache>
                <c:formatCode>0.0</c:formatCode>
                <c:ptCount val="66"/>
                <c:pt idx="0">
                  <c:v>67</c:v>
                </c:pt>
                <c:pt idx="1">
                  <c:v>60.7</c:v>
                </c:pt>
                <c:pt idx="2">
                  <c:v>61.5</c:v>
                </c:pt>
                <c:pt idx="3">
                  <c:v>62.5</c:v>
                </c:pt>
                <c:pt idx="4">
                  <c:v>61.7</c:v>
                </c:pt>
                <c:pt idx="5">
                  <c:v>50.9</c:v>
                </c:pt>
                <c:pt idx="6">
                  <c:v>45</c:v>
                </c:pt>
                <c:pt idx="7">
                  <c:v>37.5</c:v>
                </c:pt>
                <c:pt idx="8">
                  <c:v>38.9</c:v>
                </c:pt>
                <c:pt idx="9">
                  <c:v>45.1</c:v>
                </c:pt>
                <c:pt idx="10">
                  <c:v>43.5</c:v>
                </c:pt>
                <c:pt idx="11">
                  <c:v>57</c:v>
                </c:pt>
                <c:pt idx="12">
                  <c:v>58.04</c:v>
                </c:pt>
                <c:pt idx="13">
                  <c:v>55</c:v>
                </c:pt>
                <c:pt idx="14">
                  <c:v>50</c:v>
                </c:pt>
                <c:pt idx="15">
                  <c:v>54.17</c:v>
                </c:pt>
                <c:pt idx="16">
                  <c:v>53.58</c:v>
                </c:pt>
                <c:pt idx="17">
                  <c:v>50</c:v>
                </c:pt>
                <c:pt idx="18">
                  <c:v>46.67</c:v>
                </c:pt>
                <c:pt idx="19">
                  <c:v>44.45</c:v>
                </c:pt>
                <c:pt idx="20">
                  <c:v>25</c:v>
                </c:pt>
                <c:pt idx="21">
                  <c:v>20.84</c:v>
                </c:pt>
                <c:pt idx="22">
                  <c:v>30.15</c:v>
                </c:pt>
                <c:pt idx="23">
                  <c:v>33.340000000000003</c:v>
                </c:pt>
                <c:pt idx="24" formatCode="General">
                  <c:v>49.22</c:v>
                </c:pt>
                <c:pt idx="25" formatCode="General">
                  <c:v>46.83</c:v>
                </c:pt>
                <c:pt idx="26" formatCode="General">
                  <c:v>47.31</c:v>
                </c:pt>
                <c:pt idx="27" formatCode="General">
                  <c:v>42.88</c:v>
                </c:pt>
                <c:pt idx="28" formatCode="General">
                  <c:v>41.25</c:v>
                </c:pt>
                <c:pt idx="29" formatCode="General">
                  <c:v>44.28</c:v>
                </c:pt>
                <c:pt idx="30" formatCode="General">
                  <c:v>39.58</c:v>
                </c:pt>
                <c:pt idx="31" formatCode="General">
                  <c:v>44.17</c:v>
                </c:pt>
                <c:pt idx="32" formatCode="General">
                  <c:v>44</c:v>
                </c:pt>
                <c:pt idx="33" formatCode="General">
                  <c:v>44.82</c:v>
                </c:pt>
                <c:pt idx="34" formatCode="General">
                  <c:v>45.27</c:v>
                </c:pt>
                <c:pt idx="35" formatCode="General">
                  <c:v>48.81</c:v>
                </c:pt>
                <c:pt idx="36" formatCode="General">
                  <c:v>47.76</c:v>
                </c:pt>
                <c:pt idx="37" formatCode="General">
                  <c:v>43.29</c:v>
                </c:pt>
                <c:pt idx="38" formatCode="General">
                  <c:v>44.58</c:v>
                </c:pt>
                <c:pt idx="39" formatCode="General">
                  <c:v>44.61</c:v>
                </c:pt>
                <c:pt idx="40" formatCode="General">
                  <c:v>46.96</c:v>
                </c:pt>
                <c:pt idx="41" formatCode="General">
                  <c:v>37.520000000000003</c:v>
                </c:pt>
                <c:pt idx="42" formatCode="General">
                  <c:v>42.5</c:v>
                </c:pt>
                <c:pt idx="43" formatCode="General">
                  <c:v>46.7</c:v>
                </c:pt>
                <c:pt idx="44" formatCode="General">
                  <c:v>47.08</c:v>
                </c:pt>
                <c:pt idx="45" formatCode="General">
                  <c:v>52.92</c:v>
                </c:pt>
                <c:pt idx="46" formatCode="General">
                  <c:v>58.16</c:v>
                </c:pt>
                <c:pt idx="47" formatCode="General">
                  <c:v>59.27</c:v>
                </c:pt>
                <c:pt idx="48" formatCode="General">
                  <c:v>66.5</c:v>
                </c:pt>
                <c:pt idx="49" formatCode="General">
                  <c:v>71.069999999999993</c:v>
                </c:pt>
                <c:pt idx="50" formatCode="General">
                  <c:v>57.52</c:v>
                </c:pt>
                <c:pt idx="51" formatCode="General">
                  <c:v>32.64</c:v>
                </c:pt>
                <c:pt idx="52" formatCode="General">
                  <c:v>38.840000000000003</c:v>
                </c:pt>
                <c:pt idx="53" formatCode="General">
                  <c:v>36.4</c:v>
                </c:pt>
                <c:pt idx="54" formatCode="General">
                  <c:v>38.68</c:v>
                </c:pt>
                <c:pt idx="55" formatCode="General">
                  <c:v>47.88</c:v>
                </c:pt>
                <c:pt idx="56" formatCode="General">
                  <c:v>53.38</c:v>
                </c:pt>
                <c:pt idx="57" formatCode="General">
                  <c:v>52.24</c:v>
                </c:pt>
                <c:pt idx="58" formatCode="General">
                  <c:v>49.03</c:v>
                </c:pt>
                <c:pt idx="59" formatCode="General">
                  <c:v>49.84</c:v>
                </c:pt>
                <c:pt idx="60" formatCode="General">
                  <c:v>51.18</c:v>
                </c:pt>
                <c:pt idx="61" formatCode="General">
                  <c:v>57.19</c:v>
                </c:pt>
                <c:pt idx="62" formatCode="General">
                  <c:v>57.4</c:v>
                </c:pt>
                <c:pt idx="63" formatCode="General">
                  <c:v>72.760000000000005</c:v>
                </c:pt>
                <c:pt idx="64" formatCode="General">
                  <c:v>73.52</c:v>
                </c:pt>
                <c:pt idx="65" formatCode="General">
                  <c:v>76.069999999999993</c:v>
                </c:pt>
              </c:numCache>
            </c:numRef>
          </c:val>
          <c:smooth val="0"/>
          <c:extLst>
            <c:ext xmlns:c16="http://schemas.microsoft.com/office/drawing/2014/chart" uri="{C3380CC4-5D6E-409C-BE32-E72D297353CC}">
              <c16:uniqueId val="{00000002-4375-4AD4-94C0-3403085BE306}"/>
            </c:ext>
          </c:extLst>
        </c:ser>
        <c:ser>
          <c:idx val="1"/>
          <c:order val="1"/>
          <c:tx>
            <c:strRef>
              <c:f>ICAE!$C$3</c:f>
              <c:strCache>
                <c:ptCount val="1"/>
              </c:strCache>
            </c:strRef>
          </c:tx>
          <c:marker>
            <c:symbol val="none"/>
          </c:marker>
          <c:cat>
            <c:numRef>
              <c:f>ICAE!$A$16:$A$81</c:f>
              <c:numCache>
                <c:formatCode>mmm\-yy</c:formatCode>
                <c:ptCount val="66"/>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numCache>
            </c:numRef>
          </c:cat>
          <c:val>
            <c:numRef>
              <c:f>ICAE!$C$4:$C$81</c:f>
              <c:numCache>
                <c:formatCode>General</c:formatCode>
                <c:ptCount val="78"/>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numCache>
            </c:numRef>
          </c:val>
          <c:smooth val="0"/>
          <c:extLst>
            <c:ext xmlns:c16="http://schemas.microsoft.com/office/drawing/2014/chart" uri="{C3380CC4-5D6E-409C-BE32-E72D297353CC}">
              <c16:uniqueId val="{00000003-4375-4AD4-94C0-3403085BE306}"/>
            </c:ext>
          </c:extLst>
        </c:ser>
        <c:dLbls>
          <c:showLegendKey val="0"/>
          <c:showVal val="0"/>
          <c:showCatName val="0"/>
          <c:showSerName val="0"/>
          <c:showPercent val="0"/>
          <c:showBubbleSize val="0"/>
        </c:dLbls>
        <c:smooth val="0"/>
        <c:axId val="451440640"/>
        <c:axId val="451442176"/>
      </c:lineChart>
      <c:dateAx>
        <c:axId val="451440640"/>
        <c:scaling>
          <c:orientation val="minMax"/>
        </c:scaling>
        <c:delete val="0"/>
        <c:axPos val="b"/>
        <c:numFmt formatCode="mmm\-yy" sourceLinked="1"/>
        <c:majorTickMark val="out"/>
        <c:minorTickMark val="none"/>
        <c:tickLblPos val="nextTo"/>
        <c:txPr>
          <a:bodyPr rot="-5400000" vert="horz"/>
          <a:lstStyle/>
          <a:p>
            <a:pPr>
              <a:defRPr sz="800"/>
            </a:pPr>
            <a:endParaRPr lang="es-GT"/>
          </a:p>
        </c:txPr>
        <c:crossAx val="451442176"/>
        <c:crosses val="autoZero"/>
        <c:auto val="1"/>
        <c:lblOffset val="100"/>
        <c:baseTimeUnit val="months"/>
      </c:dateAx>
      <c:valAx>
        <c:axId val="451442176"/>
        <c:scaling>
          <c:orientation val="minMax"/>
          <c:max val="80"/>
        </c:scaling>
        <c:delete val="0"/>
        <c:axPos val="l"/>
        <c:numFmt formatCode="0.0" sourceLinked="1"/>
        <c:majorTickMark val="out"/>
        <c:minorTickMark val="none"/>
        <c:tickLblPos val="nextTo"/>
        <c:crossAx val="451440640"/>
        <c:crosses val="autoZero"/>
        <c:crossBetween val="between"/>
        <c:majorUnit val="15"/>
      </c:valAx>
    </c:plotArea>
    <c:plotVisOnly val="1"/>
    <c:dispBlanksAs val="gap"/>
    <c:showDLblsOverMax val="0"/>
  </c:chart>
  <c:spPr>
    <a:ln>
      <a:no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74095210575743"/>
          <c:y val="0.11445406283932237"/>
          <c:w val="0.80249316047914621"/>
          <c:h val="0.67770433429723076"/>
        </c:manualLayout>
      </c:layout>
      <c:lineChart>
        <c:grouping val="standard"/>
        <c:varyColors val="0"/>
        <c:ser>
          <c:idx val="0"/>
          <c:order val="0"/>
          <c:tx>
            <c:strRef>
              <c:f>Hoja1!$B$1</c:f>
              <c:strCache>
                <c:ptCount val="1"/>
                <c:pt idx="0">
                  <c:v>Serie 1</c:v>
                </c:pt>
              </c:strCache>
            </c:strRef>
          </c:tx>
          <c:spPr>
            <a:ln w="28575" cap="rnd">
              <a:solidFill>
                <a:srgbClr val="C00000"/>
              </a:solidFill>
              <a:round/>
            </a:ln>
            <a:effectLst>
              <a:outerShdw blurRad="50800" dist="38100" dir="18900000" algn="bl" rotWithShape="0">
                <a:prstClr val="black">
                  <a:alpha val="40000"/>
                </a:prstClr>
              </a:outerShdw>
            </a:effectLst>
          </c:spPr>
          <c:marker>
            <c:symbol val="none"/>
          </c:marker>
          <c:dPt>
            <c:idx val="5"/>
            <c:marker>
              <c:symbol val="circle"/>
              <c:size val="7"/>
              <c:spPr>
                <a:solidFill>
                  <a:srgbClr val="C00000"/>
                </a:solidFill>
                <a:ln w="9525">
                  <a:noFill/>
                </a:ln>
                <a:effectLst/>
              </c:spPr>
            </c:marker>
            <c:bubble3D val="0"/>
            <c:extLst>
              <c:ext xmlns:c16="http://schemas.microsoft.com/office/drawing/2014/chart" uri="{C3380CC4-5D6E-409C-BE32-E72D297353CC}">
                <c16:uniqueId val="{00000000-5195-4648-8ABE-D16A16B977A4}"/>
              </c:ext>
            </c:extLst>
          </c:dPt>
          <c:dLbls>
            <c:dLbl>
              <c:idx val="1"/>
              <c:layout>
                <c:manualLayout>
                  <c:x val="-2.1394873276690846E-2"/>
                  <c:y val="5.7012874860798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95-4648-8ABE-D16A16B977A4}"/>
                </c:ext>
              </c:extLst>
            </c:dLbl>
            <c:dLbl>
              <c:idx val="2"/>
              <c:layout>
                <c:manualLayout>
                  <c:x val="-0.12489993091018876"/>
                  <c:y val="-0.1194058255214423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95-4648-8ABE-D16A16B977A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mmm\-yy</c:formatCode>
                <c:ptCount val="6"/>
                <c:pt idx="0">
                  <c:v>44197</c:v>
                </c:pt>
                <c:pt idx="1">
                  <c:v>44228</c:v>
                </c:pt>
                <c:pt idx="2">
                  <c:v>44256</c:v>
                </c:pt>
                <c:pt idx="3">
                  <c:v>44287</c:v>
                </c:pt>
                <c:pt idx="4">
                  <c:v>44317</c:v>
                </c:pt>
                <c:pt idx="5">
                  <c:v>44348</c:v>
                </c:pt>
              </c:numCache>
            </c:numRef>
          </c:cat>
          <c:val>
            <c:numRef>
              <c:f>Hoja1!$B$2:$B$7</c:f>
              <c:numCache>
                <c:formatCode>_-* #,##0.0_-;\-* #,##0.0_-;_-* "-"??_-;_-@_-</c:formatCode>
                <c:ptCount val="6"/>
                <c:pt idx="0">
                  <c:v>8.6500719377568203</c:v>
                </c:pt>
                <c:pt idx="1">
                  <c:v>12.605691413763175</c:v>
                </c:pt>
                <c:pt idx="2">
                  <c:v>31.214309076196489</c:v>
                </c:pt>
                <c:pt idx="3">
                  <c:v>41.775454342161296</c:v>
                </c:pt>
                <c:pt idx="4">
                  <c:v>43.061245143096812</c:v>
                </c:pt>
                <c:pt idx="5" formatCode="General">
                  <c:v>42.7</c:v>
                </c:pt>
              </c:numCache>
            </c:numRef>
          </c:val>
          <c:smooth val="1"/>
          <c:extLst>
            <c:ext xmlns:c16="http://schemas.microsoft.com/office/drawing/2014/chart" uri="{C3380CC4-5D6E-409C-BE32-E72D297353CC}">
              <c16:uniqueId val="{00000003-5195-4648-8ABE-D16A16B977A4}"/>
            </c:ext>
          </c:extLst>
        </c:ser>
        <c:dLbls>
          <c:showLegendKey val="0"/>
          <c:showVal val="0"/>
          <c:showCatName val="0"/>
          <c:showSerName val="0"/>
          <c:showPercent val="0"/>
          <c:showBubbleSize val="0"/>
        </c:dLbls>
        <c:smooth val="0"/>
        <c:axId val="492331008"/>
        <c:axId val="492332544"/>
      </c:lineChart>
      <c:dateAx>
        <c:axId val="492331008"/>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332544"/>
        <c:crosses val="autoZero"/>
        <c:auto val="1"/>
        <c:lblOffset val="100"/>
        <c:baseTimeUnit val="months"/>
        <c:majorUnit val="1"/>
        <c:majorTimeUnit val="months"/>
      </c:dateAx>
      <c:valAx>
        <c:axId val="492332544"/>
        <c:scaling>
          <c:orientation val="minMax"/>
        </c:scaling>
        <c:delete val="1"/>
        <c:axPos val="l"/>
        <c:numFmt formatCode="_-* #,##0.0_-;\-* #,##0.0_-;_-* &quot;-&quot;??_-;_-@_-" sourceLinked="1"/>
        <c:majorTickMark val="none"/>
        <c:minorTickMark val="none"/>
        <c:tickLblPos val="nextTo"/>
        <c:crossAx val="4923310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42688241951406"/>
          <c:y val="3.6673573698024584E-2"/>
          <c:w val="0.82216356688653158"/>
          <c:h val="0.85907295080937851"/>
        </c:manualLayout>
      </c:layout>
      <c:lineChart>
        <c:grouping val="standard"/>
        <c:varyColors val="0"/>
        <c:ser>
          <c:idx val="0"/>
          <c:order val="0"/>
          <c:tx>
            <c:strRef>
              <c:f>Hoja1!$B$1</c:f>
              <c:strCache>
                <c:ptCount val="1"/>
                <c:pt idx="0">
                  <c:v>Serie 1</c:v>
                </c:pt>
              </c:strCache>
            </c:strRef>
          </c:tx>
          <c:spPr>
            <a:ln w="28575" cap="rnd">
              <a:solidFill>
                <a:srgbClr val="385723"/>
              </a:solidFill>
              <a:round/>
            </a:ln>
            <a:effectLst>
              <a:outerShdw blurRad="50800" dist="38100" dir="18900000" algn="bl" rotWithShape="0">
                <a:prstClr val="black">
                  <a:alpha val="40000"/>
                </a:prstClr>
              </a:outerShdw>
            </a:effectLst>
          </c:spPr>
          <c:marker>
            <c:symbol val="none"/>
          </c:marker>
          <c:dPt>
            <c:idx val="180"/>
            <c:marker>
              <c:symbol val="circle"/>
              <c:size val="5"/>
              <c:spPr>
                <a:solidFill>
                  <a:schemeClr val="accent6">
                    <a:lumMod val="50000"/>
                  </a:schemeClr>
                </a:solidFill>
                <a:ln w="9525">
                  <a:noFill/>
                </a:ln>
                <a:effectLst>
                  <a:outerShdw blurRad="50800" dist="38100" dir="18900000" algn="bl" rotWithShape="0">
                    <a:prstClr val="black">
                      <a:alpha val="40000"/>
                    </a:prstClr>
                  </a:outerShdw>
                </a:effectLst>
              </c:spPr>
            </c:marker>
            <c:bubble3D val="0"/>
            <c:extLst>
              <c:ext xmlns:c16="http://schemas.microsoft.com/office/drawing/2014/chart" uri="{C3380CC4-5D6E-409C-BE32-E72D297353CC}">
                <c16:uniqueId val="{00000000-35AD-4F00-AF3D-392C341DEFAB}"/>
              </c:ext>
            </c:extLst>
          </c:dPt>
          <c:cat>
            <c:numRef>
              <c:f>Hoja1!$A$2:$A$182</c:f>
              <c:numCache>
                <c:formatCode>mmm\-yy</c:formatCode>
                <c:ptCount val="181"/>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pt idx="31">
                  <c:v>44228</c:v>
                </c:pt>
                <c:pt idx="32">
                  <c:v>44229</c:v>
                </c:pt>
                <c:pt idx="33">
                  <c:v>44230</c:v>
                </c:pt>
                <c:pt idx="34">
                  <c:v>44231</c:v>
                </c:pt>
                <c:pt idx="35">
                  <c:v>44232</c:v>
                </c:pt>
                <c:pt idx="36">
                  <c:v>44233</c:v>
                </c:pt>
                <c:pt idx="37">
                  <c:v>44234</c:v>
                </c:pt>
                <c:pt idx="38">
                  <c:v>44235</c:v>
                </c:pt>
                <c:pt idx="39">
                  <c:v>44236</c:v>
                </c:pt>
                <c:pt idx="40">
                  <c:v>44237</c:v>
                </c:pt>
                <c:pt idx="41">
                  <c:v>44238</c:v>
                </c:pt>
                <c:pt idx="42">
                  <c:v>44239</c:v>
                </c:pt>
                <c:pt idx="43">
                  <c:v>44240</c:v>
                </c:pt>
                <c:pt idx="44">
                  <c:v>44241</c:v>
                </c:pt>
                <c:pt idx="45">
                  <c:v>44242</c:v>
                </c:pt>
                <c:pt idx="46">
                  <c:v>44243</c:v>
                </c:pt>
                <c:pt idx="47">
                  <c:v>44244</c:v>
                </c:pt>
                <c:pt idx="48">
                  <c:v>44245</c:v>
                </c:pt>
                <c:pt idx="49">
                  <c:v>44246</c:v>
                </c:pt>
                <c:pt idx="50">
                  <c:v>44247</c:v>
                </c:pt>
                <c:pt idx="51">
                  <c:v>44248</c:v>
                </c:pt>
                <c:pt idx="52">
                  <c:v>44249</c:v>
                </c:pt>
                <c:pt idx="53">
                  <c:v>44250</c:v>
                </c:pt>
                <c:pt idx="54">
                  <c:v>44251</c:v>
                </c:pt>
                <c:pt idx="55">
                  <c:v>44252</c:v>
                </c:pt>
                <c:pt idx="56">
                  <c:v>44253</c:v>
                </c:pt>
                <c:pt idx="57">
                  <c:v>44254</c:v>
                </c:pt>
                <c:pt idx="58">
                  <c:v>44255</c:v>
                </c:pt>
                <c:pt idx="59">
                  <c:v>44256</c:v>
                </c:pt>
                <c:pt idx="60">
                  <c:v>44257</c:v>
                </c:pt>
                <c:pt idx="61">
                  <c:v>44258</c:v>
                </c:pt>
                <c:pt idx="62">
                  <c:v>44259</c:v>
                </c:pt>
                <c:pt idx="63">
                  <c:v>44260</c:v>
                </c:pt>
                <c:pt idx="64">
                  <c:v>44261</c:v>
                </c:pt>
                <c:pt idx="65">
                  <c:v>44262</c:v>
                </c:pt>
                <c:pt idx="66">
                  <c:v>44263</c:v>
                </c:pt>
                <c:pt idx="67">
                  <c:v>44264</c:v>
                </c:pt>
                <c:pt idx="68">
                  <c:v>44265</c:v>
                </c:pt>
                <c:pt idx="69">
                  <c:v>44266</c:v>
                </c:pt>
                <c:pt idx="70">
                  <c:v>44267</c:v>
                </c:pt>
                <c:pt idx="71">
                  <c:v>44268</c:v>
                </c:pt>
                <c:pt idx="72">
                  <c:v>44269</c:v>
                </c:pt>
                <c:pt idx="73">
                  <c:v>44270</c:v>
                </c:pt>
                <c:pt idx="74">
                  <c:v>44271</c:v>
                </c:pt>
                <c:pt idx="75">
                  <c:v>44272</c:v>
                </c:pt>
                <c:pt idx="76">
                  <c:v>44273</c:v>
                </c:pt>
                <c:pt idx="77">
                  <c:v>44274</c:v>
                </c:pt>
                <c:pt idx="78">
                  <c:v>44275</c:v>
                </c:pt>
                <c:pt idx="79">
                  <c:v>44276</c:v>
                </c:pt>
                <c:pt idx="80">
                  <c:v>44277</c:v>
                </c:pt>
                <c:pt idx="81">
                  <c:v>44278</c:v>
                </c:pt>
                <c:pt idx="82">
                  <c:v>44279</c:v>
                </c:pt>
                <c:pt idx="83">
                  <c:v>44280</c:v>
                </c:pt>
                <c:pt idx="84">
                  <c:v>44281</c:v>
                </c:pt>
                <c:pt idx="85">
                  <c:v>44282</c:v>
                </c:pt>
                <c:pt idx="86">
                  <c:v>44283</c:v>
                </c:pt>
                <c:pt idx="87">
                  <c:v>44284</c:v>
                </c:pt>
                <c:pt idx="88">
                  <c:v>44285</c:v>
                </c:pt>
                <c:pt idx="89">
                  <c:v>44286</c:v>
                </c:pt>
                <c:pt idx="90">
                  <c:v>44287</c:v>
                </c:pt>
                <c:pt idx="91">
                  <c:v>44288</c:v>
                </c:pt>
                <c:pt idx="92">
                  <c:v>44289</c:v>
                </c:pt>
                <c:pt idx="93">
                  <c:v>44290</c:v>
                </c:pt>
                <c:pt idx="94">
                  <c:v>44291</c:v>
                </c:pt>
                <c:pt idx="95">
                  <c:v>44292</c:v>
                </c:pt>
                <c:pt idx="96">
                  <c:v>44293</c:v>
                </c:pt>
                <c:pt idx="97">
                  <c:v>44294</c:v>
                </c:pt>
                <c:pt idx="98">
                  <c:v>44295</c:v>
                </c:pt>
                <c:pt idx="99">
                  <c:v>44296</c:v>
                </c:pt>
                <c:pt idx="100">
                  <c:v>44297</c:v>
                </c:pt>
                <c:pt idx="101">
                  <c:v>44298</c:v>
                </c:pt>
                <c:pt idx="102">
                  <c:v>44299</c:v>
                </c:pt>
                <c:pt idx="103">
                  <c:v>44300</c:v>
                </c:pt>
                <c:pt idx="104">
                  <c:v>44301</c:v>
                </c:pt>
                <c:pt idx="105">
                  <c:v>44302</c:v>
                </c:pt>
                <c:pt idx="106">
                  <c:v>44303</c:v>
                </c:pt>
                <c:pt idx="107">
                  <c:v>44304</c:v>
                </c:pt>
                <c:pt idx="108">
                  <c:v>44305</c:v>
                </c:pt>
                <c:pt idx="109">
                  <c:v>44306</c:v>
                </c:pt>
                <c:pt idx="110">
                  <c:v>44307</c:v>
                </c:pt>
                <c:pt idx="111">
                  <c:v>44308</c:v>
                </c:pt>
                <c:pt idx="112">
                  <c:v>44309</c:v>
                </c:pt>
                <c:pt idx="113">
                  <c:v>44310</c:v>
                </c:pt>
                <c:pt idx="114">
                  <c:v>44311</c:v>
                </c:pt>
                <c:pt idx="115">
                  <c:v>44312</c:v>
                </c:pt>
                <c:pt idx="116">
                  <c:v>44313</c:v>
                </c:pt>
                <c:pt idx="117">
                  <c:v>44314</c:v>
                </c:pt>
                <c:pt idx="118">
                  <c:v>44315</c:v>
                </c:pt>
                <c:pt idx="119">
                  <c:v>44316</c:v>
                </c:pt>
                <c:pt idx="120">
                  <c:v>44317</c:v>
                </c:pt>
                <c:pt idx="121">
                  <c:v>44318</c:v>
                </c:pt>
                <c:pt idx="122">
                  <c:v>44319</c:v>
                </c:pt>
                <c:pt idx="123">
                  <c:v>44320</c:v>
                </c:pt>
                <c:pt idx="124">
                  <c:v>44321</c:v>
                </c:pt>
                <c:pt idx="125">
                  <c:v>44322</c:v>
                </c:pt>
                <c:pt idx="126">
                  <c:v>44323</c:v>
                </c:pt>
                <c:pt idx="127">
                  <c:v>44324</c:v>
                </c:pt>
                <c:pt idx="128">
                  <c:v>44325</c:v>
                </c:pt>
                <c:pt idx="129">
                  <c:v>44326</c:v>
                </c:pt>
                <c:pt idx="130">
                  <c:v>44327</c:v>
                </c:pt>
                <c:pt idx="131">
                  <c:v>44328</c:v>
                </c:pt>
                <c:pt idx="132">
                  <c:v>44329</c:v>
                </c:pt>
                <c:pt idx="133">
                  <c:v>44330</c:v>
                </c:pt>
                <c:pt idx="134">
                  <c:v>44331</c:v>
                </c:pt>
                <c:pt idx="135">
                  <c:v>44332</c:v>
                </c:pt>
                <c:pt idx="136">
                  <c:v>44333</c:v>
                </c:pt>
                <c:pt idx="137">
                  <c:v>44334</c:v>
                </c:pt>
                <c:pt idx="138">
                  <c:v>44335</c:v>
                </c:pt>
                <c:pt idx="139">
                  <c:v>44336</c:v>
                </c:pt>
                <c:pt idx="140">
                  <c:v>44337</c:v>
                </c:pt>
                <c:pt idx="141">
                  <c:v>44338</c:v>
                </c:pt>
                <c:pt idx="142">
                  <c:v>44339</c:v>
                </c:pt>
                <c:pt idx="143">
                  <c:v>44340</c:v>
                </c:pt>
                <c:pt idx="144">
                  <c:v>44341</c:v>
                </c:pt>
                <c:pt idx="145">
                  <c:v>44342</c:v>
                </c:pt>
                <c:pt idx="146">
                  <c:v>44343</c:v>
                </c:pt>
                <c:pt idx="147">
                  <c:v>44344</c:v>
                </c:pt>
                <c:pt idx="148">
                  <c:v>44345</c:v>
                </c:pt>
                <c:pt idx="149">
                  <c:v>44346</c:v>
                </c:pt>
                <c:pt idx="150">
                  <c:v>44347</c:v>
                </c:pt>
                <c:pt idx="151">
                  <c:v>44348</c:v>
                </c:pt>
                <c:pt idx="152">
                  <c:v>44349</c:v>
                </c:pt>
                <c:pt idx="153">
                  <c:v>44350</c:v>
                </c:pt>
                <c:pt idx="154">
                  <c:v>44351</c:v>
                </c:pt>
                <c:pt idx="155">
                  <c:v>44352</c:v>
                </c:pt>
                <c:pt idx="156">
                  <c:v>44353</c:v>
                </c:pt>
                <c:pt idx="157">
                  <c:v>44354</c:v>
                </c:pt>
                <c:pt idx="158">
                  <c:v>44355</c:v>
                </c:pt>
                <c:pt idx="159">
                  <c:v>44356</c:v>
                </c:pt>
                <c:pt idx="160">
                  <c:v>44357</c:v>
                </c:pt>
                <c:pt idx="161">
                  <c:v>44358</c:v>
                </c:pt>
                <c:pt idx="162">
                  <c:v>44359</c:v>
                </c:pt>
                <c:pt idx="163">
                  <c:v>44360</c:v>
                </c:pt>
                <c:pt idx="164">
                  <c:v>44361</c:v>
                </c:pt>
                <c:pt idx="165">
                  <c:v>44362</c:v>
                </c:pt>
                <c:pt idx="166">
                  <c:v>44363</c:v>
                </c:pt>
                <c:pt idx="167">
                  <c:v>44364</c:v>
                </c:pt>
                <c:pt idx="168">
                  <c:v>44365</c:v>
                </c:pt>
                <c:pt idx="169">
                  <c:v>44366</c:v>
                </c:pt>
                <c:pt idx="170">
                  <c:v>44367</c:v>
                </c:pt>
                <c:pt idx="171">
                  <c:v>44368</c:v>
                </c:pt>
                <c:pt idx="172">
                  <c:v>44369</c:v>
                </c:pt>
                <c:pt idx="173">
                  <c:v>44370</c:v>
                </c:pt>
                <c:pt idx="174">
                  <c:v>44371</c:v>
                </c:pt>
                <c:pt idx="175">
                  <c:v>44372</c:v>
                </c:pt>
                <c:pt idx="176">
                  <c:v>44373</c:v>
                </c:pt>
                <c:pt idx="177">
                  <c:v>44374</c:v>
                </c:pt>
                <c:pt idx="178">
                  <c:v>44375</c:v>
                </c:pt>
                <c:pt idx="179">
                  <c:v>44376</c:v>
                </c:pt>
                <c:pt idx="180">
                  <c:v>44377</c:v>
                </c:pt>
              </c:numCache>
            </c:numRef>
          </c:cat>
          <c:val>
            <c:numRef>
              <c:f>Hoja1!$B$2:$B$182</c:f>
              <c:numCache>
                <c:formatCode>General</c:formatCode>
                <c:ptCount val="181"/>
                <c:pt idx="0">
                  <c:v>7.79</c:v>
                </c:pt>
                <c:pt idx="1">
                  <c:v>7.79</c:v>
                </c:pt>
                <c:pt idx="2">
                  <c:v>7.79</c:v>
                </c:pt>
                <c:pt idx="3">
                  <c:v>7.79</c:v>
                </c:pt>
                <c:pt idx="4">
                  <c:v>7.79</c:v>
                </c:pt>
                <c:pt idx="5">
                  <c:v>7.8</c:v>
                </c:pt>
                <c:pt idx="6">
                  <c:v>7.79</c:v>
                </c:pt>
                <c:pt idx="7">
                  <c:v>7.8</c:v>
                </c:pt>
                <c:pt idx="8">
                  <c:v>7.8</c:v>
                </c:pt>
                <c:pt idx="9">
                  <c:v>7.8</c:v>
                </c:pt>
                <c:pt idx="10">
                  <c:v>7.8</c:v>
                </c:pt>
                <c:pt idx="11">
                  <c:v>7.8</c:v>
                </c:pt>
                <c:pt idx="12">
                  <c:v>7.8</c:v>
                </c:pt>
                <c:pt idx="13">
                  <c:v>7.79</c:v>
                </c:pt>
                <c:pt idx="14">
                  <c:v>7.79</c:v>
                </c:pt>
                <c:pt idx="15">
                  <c:v>7.79</c:v>
                </c:pt>
                <c:pt idx="16">
                  <c:v>7.79</c:v>
                </c:pt>
                <c:pt idx="17">
                  <c:v>7.79</c:v>
                </c:pt>
                <c:pt idx="18">
                  <c:v>7.79</c:v>
                </c:pt>
                <c:pt idx="19">
                  <c:v>7.79</c:v>
                </c:pt>
                <c:pt idx="20">
                  <c:v>7.78</c:v>
                </c:pt>
                <c:pt idx="21">
                  <c:v>7.78</c:v>
                </c:pt>
                <c:pt idx="22">
                  <c:v>7.78</c:v>
                </c:pt>
                <c:pt idx="23">
                  <c:v>7.78</c:v>
                </c:pt>
                <c:pt idx="24">
                  <c:v>7.78</c:v>
                </c:pt>
                <c:pt idx="25">
                  <c:v>7.78</c:v>
                </c:pt>
                <c:pt idx="26">
                  <c:v>7.78</c:v>
                </c:pt>
                <c:pt idx="27">
                  <c:v>7.78</c:v>
                </c:pt>
                <c:pt idx="28">
                  <c:v>7.79</c:v>
                </c:pt>
                <c:pt idx="29">
                  <c:v>7.79</c:v>
                </c:pt>
                <c:pt idx="30">
                  <c:v>7.79</c:v>
                </c:pt>
                <c:pt idx="31">
                  <c:v>7.78</c:v>
                </c:pt>
                <c:pt idx="32">
                  <c:v>7.78</c:v>
                </c:pt>
                <c:pt idx="33">
                  <c:v>7.78</c:v>
                </c:pt>
                <c:pt idx="34">
                  <c:v>7.78</c:v>
                </c:pt>
                <c:pt idx="35">
                  <c:v>7.77</c:v>
                </c:pt>
                <c:pt idx="36">
                  <c:v>7.77</c:v>
                </c:pt>
                <c:pt idx="37">
                  <c:v>7.77</c:v>
                </c:pt>
                <c:pt idx="38">
                  <c:v>7.77</c:v>
                </c:pt>
                <c:pt idx="39">
                  <c:v>7.76</c:v>
                </c:pt>
                <c:pt idx="40">
                  <c:v>7.76</c:v>
                </c:pt>
                <c:pt idx="41">
                  <c:v>7.76</c:v>
                </c:pt>
                <c:pt idx="42">
                  <c:v>7.75</c:v>
                </c:pt>
                <c:pt idx="43">
                  <c:v>7.75</c:v>
                </c:pt>
                <c:pt idx="44">
                  <c:v>7.75</c:v>
                </c:pt>
                <c:pt idx="45">
                  <c:v>7.75</c:v>
                </c:pt>
                <c:pt idx="46">
                  <c:v>7.75</c:v>
                </c:pt>
                <c:pt idx="47">
                  <c:v>7.74</c:v>
                </c:pt>
                <c:pt idx="48">
                  <c:v>7.74</c:v>
                </c:pt>
                <c:pt idx="49">
                  <c:v>7.73</c:v>
                </c:pt>
                <c:pt idx="50">
                  <c:v>7.73</c:v>
                </c:pt>
                <c:pt idx="51">
                  <c:v>7.73</c:v>
                </c:pt>
                <c:pt idx="52">
                  <c:v>7.72</c:v>
                </c:pt>
                <c:pt idx="53">
                  <c:v>7.72</c:v>
                </c:pt>
                <c:pt idx="54">
                  <c:v>7.72</c:v>
                </c:pt>
                <c:pt idx="55">
                  <c:v>7.71</c:v>
                </c:pt>
                <c:pt idx="56">
                  <c:v>7.71</c:v>
                </c:pt>
                <c:pt idx="57">
                  <c:v>7.71</c:v>
                </c:pt>
                <c:pt idx="58">
                  <c:v>7.71</c:v>
                </c:pt>
                <c:pt idx="59">
                  <c:v>7.71</c:v>
                </c:pt>
                <c:pt idx="60">
                  <c:v>7.7</c:v>
                </c:pt>
                <c:pt idx="61">
                  <c:v>7.71</c:v>
                </c:pt>
                <c:pt idx="62">
                  <c:v>7.71</c:v>
                </c:pt>
                <c:pt idx="63">
                  <c:v>7.72</c:v>
                </c:pt>
                <c:pt idx="64">
                  <c:v>7.72</c:v>
                </c:pt>
                <c:pt idx="65">
                  <c:v>7.72</c:v>
                </c:pt>
                <c:pt idx="66">
                  <c:v>7.71</c:v>
                </c:pt>
                <c:pt idx="67">
                  <c:v>7.72</c:v>
                </c:pt>
                <c:pt idx="68">
                  <c:v>7.73</c:v>
                </c:pt>
                <c:pt idx="69">
                  <c:v>7.72</c:v>
                </c:pt>
                <c:pt idx="70">
                  <c:v>7.73</c:v>
                </c:pt>
                <c:pt idx="71">
                  <c:v>7.73</c:v>
                </c:pt>
                <c:pt idx="72">
                  <c:v>7.73</c:v>
                </c:pt>
                <c:pt idx="73">
                  <c:v>7.72</c:v>
                </c:pt>
                <c:pt idx="74">
                  <c:v>7.72</c:v>
                </c:pt>
                <c:pt idx="75">
                  <c:v>7.72</c:v>
                </c:pt>
                <c:pt idx="76">
                  <c:v>7.72</c:v>
                </c:pt>
                <c:pt idx="77">
                  <c:v>7.72</c:v>
                </c:pt>
                <c:pt idx="78">
                  <c:v>7.72</c:v>
                </c:pt>
                <c:pt idx="79">
                  <c:v>7.72</c:v>
                </c:pt>
                <c:pt idx="80">
                  <c:v>7.72</c:v>
                </c:pt>
                <c:pt idx="81">
                  <c:v>7.72</c:v>
                </c:pt>
                <c:pt idx="82">
                  <c:v>7.73</c:v>
                </c:pt>
                <c:pt idx="83">
                  <c:v>7.73</c:v>
                </c:pt>
                <c:pt idx="84">
                  <c:v>7.72</c:v>
                </c:pt>
                <c:pt idx="85">
                  <c:v>7.72</c:v>
                </c:pt>
                <c:pt idx="86">
                  <c:v>7.72</c:v>
                </c:pt>
                <c:pt idx="87">
                  <c:v>7.72</c:v>
                </c:pt>
                <c:pt idx="88">
                  <c:v>7.72</c:v>
                </c:pt>
                <c:pt idx="89">
                  <c:v>7.71</c:v>
                </c:pt>
                <c:pt idx="90">
                  <c:v>7.71</c:v>
                </c:pt>
                <c:pt idx="91">
                  <c:v>7.71</c:v>
                </c:pt>
                <c:pt idx="92">
                  <c:v>7.71</c:v>
                </c:pt>
                <c:pt idx="93">
                  <c:v>7.71</c:v>
                </c:pt>
                <c:pt idx="94">
                  <c:v>7.72</c:v>
                </c:pt>
                <c:pt idx="95">
                  <c:v>7.72</c:v>
                </c:pt>
                <c:pt idx="96">
                  <c:v>7.72</c:v>
                </c:pt>
                <c:pt idx="97">
                  <c:v>7.72</c:v>
                </c:pt>
                <c:pt idx="98">
                  <c:v>7.72</c:v>
                </c:pt>
                <c:pt idx="99">
                  <c:v>7.72</c:v>
                </c:pt>
                <c:pt idx="100">
                  <c:v>7.72</c:v>
                </c:pt>
                <c:pt idx="101">
                  <c:v>7.72</c:v>
                </c:pt>
                <c:pt idx="102">
                  <c:v>7.71</c:v>
                </c:pt>
                <c:pt idx="103">
                  <c:v>7.72</c:v>
                </c:pt>
                <c:pt idx="104">
                  <c:v>7.72</c:v>
                </c:pt>
                <c:pt idx="105">
                  <c:v>7.72</c:v>
                </c:pt>
                <c:pt idx="106">
                  <c:v>7.72</c:v>
                </c:pt>
                <c:pt idx="107">
                  <c:v>7.72</c:v>
                </c:pt>
                <c:pt idx="108">
                  <c:v>7.71</c:v>
                </c:pt>
                <c:pt idx="109">
                  <c:v>7.71</c:v>
                </c:pt>
                <c:pt idx="110">
                  <c:v>7.71</c:v>
                </c:pt>
                <c:pt idx="111">
                  <c:v>7.71</c:v>
                </c:pt>
                <c:pt idx="112">
                  <c:v>7.71</c:v>
                </c:pt>
                <c:pt idx="113">
                  <c:v>7.71</c:v>
                </c:pt>
                <c:pt idx="114">
                  <c:v>7.71</c:v>
                </c:pt>
                <c:pt idx="115">
                  <c:v>7.71</c:v>
                </c:pt>
                <c:pt idx="116">
                  <c:v>7.71</c:v>
                </c:pt>
                <c:pt idx="117">
                  <c:v>7.72</c:v>
                </c:pt>
                <c:pt idx="118">
                  <c:v>7.72</c:v>
                </c:pt>
                <c:pt idx="119">
                  <c:v>7.72</c:v>
                </c:pt>
                <c:pt idx="120">
                  <c:v>7.72</c:v>
                </c:pt>
                <c:pt idx="121">
                  <c:v>7.72</c:v>
                </c:pt>
                <c:pt idx="122">
                  <c:v>7.72</c:v>
                </c:pt>
                <c:pt idx="123">
                  <c:v>7.71</c:v>
                </c:pt>
                <c:pt idx="124">
                  <c:v>7.71</c:v>
                </c:pt>
                <c:pt idx="125">
                  <c:v>7.71</c:v>
                </c:pt>
                <c:pt idx="126">
                  <c:v>7.71</c:v>
                </c:pt>
                <c:pt idx="127">
                  <c:v>7.71</c:v>
                </c:pt>
                <c:pt idx="128">
                  <c:v>7.71</c:v>
                </c:pt>
                <c:pt idx="129">
                  <c:v>7.71</c:v>
                </c:pt>
                <c:pt idx="130">
                  <c:v>7.71</c:v>
                </c:pt>
                <c:pt idx="131">
                  <c:v>7.71</c:v>
                </c:pt>
                <c:pt idx="132">
                  <c:v>7.71</c:v>
                </c:pt>
                <c:pt idx="133">
                  <c:v>7.71</c:v>
                </c:pt>
                <c:pt idx="134">
                  <c:v>7.71</c:v>
                </c:pt>
                <c:pt idx="135">
                  <c:v>7.71</c:v>
                </c:pt>
                <c:pt idx="136">
                  <c:v>7.71</c:v>
                </c:pt>
                <c:pt idx="137">
                  <c:v>7.71</c:v>
                </c:pt>
                <c:pt idx="138">
                  <c:v>7.71</c:v>
                </c:pt>
                <c:pt idx="139">
                  <c:v>7.71</c:v>
                </c:pt>
                <c:pt idx="140">
                  <c:v>7.72</c:v>
                </c:pt>
                <c:pt idx="141">
                  <c:v>7.72</c:v>
                </c:pt>
                <c:pt idx="142">
                  <c:v>7.72</c:v>
                </c:pt>
                <c:pt idx="143">
                  <c:v>7.72</c:v>
                </c:pt>
                <c:pt idx="144">
                  <c:v>7.72</c:v>
                </c:pt>
                <c:pt idx="145">
                  <c:v>7.72</c:v>
                </c:pt>
                <c:pt idx="146">
                  <c:v>7.72</c:v>
                </c:pt>
                <c:pt idx="147">
                  <c:v>7.72</c:v>
                </c:pt>
                <c:pt idx="148">
                  <c:v>7.72</c:v>
                </c:pt>
                <c:pt idx="149">
                  <c:v>7.72</c:v>
                </c:pt>
                <c:pt idx="150">
                  <c:v>7.72</c:v>
                </c:pt>
                <c:pt idx="151">
                  <c:v>7.73</c:v>
                </c:pt>
                <c:pt idx="152">
                  <c:v>7.72</c:v>
                </c:pt>
                <c:pt idx="153">
                  <c:v>7.73</c:v>
                </c:pt>
                <c:pt idx="154">
                  <c:v>7.73</c:v>
                </c:pt>
                <c:pt idx="155">
                  <c:v>7.73</c:v>
                </c:pt>
                <c:pt idx="156">
                  <c:v>7.73</c:v>
                </c:pt>
                <c:pt idx="157">
                  <c:v>7.72</c:v>
                </c:pt>
                <c:pt idx="158">
                  <c:v>7.72</c:v>
                </c:pt>
                <c:pt idx="159">
                  <c:v>7.73</c:v>
                </c:pt>
                <c:pt idx="160">
                  <c:v>7.74</c:v>
                </c:pt>
                <c:pt idx="161">
                  <c:v>7.74</c:v>
                </c:pt>
                <c:pt idx="162">
                  <c:v>7.74</c:v>
                </c:pt>
                <c:pt idx="163">
                  <c:v>7.74</c:v>
                </c:pt>
                <c:pt idx="164">
                  <c:v>7.74</c:v>
                </c:pt>
                <c:pt idx="165">
                  <c:v>7.74</c:v>
                </c:pt>
                <c:pt idx="166">
                  <c:v>7.74</c:v>
                </c:pt>
                <c:pt idx="167">
                  <c:v>7.74</c:v>
                </c:pt>
                <c:pt idx="168">
                  <c:v>7.74</c:v>
                </c:pt>
                <c:pt idx="169">
                  <c:v>7.74</c:v>
                </c:pt>
                <c:pt idx="170">
                  <c:v>7.74</c:v>
                </c:pt>
                <c:pt idx="171">
                  <c:v>7.74</c:v>
                </c:pt>
                <c:pt idx="172">
                  <c:v>7.74</c:v>
                </c:pt>
                <c:pt idx="173">
                  <c:v>7.74</c:v>
                </c:pt>
                <c:pt idx="174">
                  <c:v>7.74</c:v>
                </c:pt>
                <c:pt idx="175">
                  <c:v>7.75</c:v>
                </c:pt>
                <c:pt idx="176">
                  <c:v>7.75</c:v>
                </c:pt>
                <c:pt idx="177">
                  <c:v>7.75</c:v>
                </c:pt>
                <c:pt idx="178">
                  <c:v>7.75</c:v>
                </c:pt>
                <c:pt idx="179">
                  <c:v>7.75</c:v>
                </c:pt>
                <c:pt idx="180">
                  <c:v>7.74</c:v>
                </c:pt>
              </c:numCache>
            </c:numRef>
          </c:val>
          <c:smooth val="0"/>
          <c:extLst>
            <c:ext xmlns:c16="http://schemas.microsoft.com/office/drawing/2014/chart" uri="{C3380CC4-5D6E-409C-BE32-E72D297353CC}">
              <c16:uniqueId val="{00000001-35AD-4F00-AF3D-392C341DEFAB}"/>
            </c:ext>
          </c:extLst>
        </c:ser>
        <c:dLbls>
          <c:showLegendKey val="0"/>
          <c:showVal val="0"/>
          <c:showCatName val="0"/>
          <c:showSerName val="0"/>
          <c:showPercent val="0"/>
          <c:showBubbleSize val="0"/>
        </c:dLbls>
        <c:smooth val="0"/>
        <c:axId val="492378368"/>
        <c:axId val="492388352"/>
      </c:lineChart>
      <c:dateAx>
        <c:axId val="492378368"/>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388352"/>
        <c:crosses val="autoZero"/>
        <c:auto val="1"/>
        <c:lblOffset val="100"/>
        <c:baseTimeUnit val="days"/>
      </c:dateAx>
      <c:valAx>
        <c:axId val="492388352"/>
        <c:scaling>
          <c:orientation val="minMax"/>
          <c:min val="7.6599999999999993"/>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378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321286144807051E-2"/>
          <c:y val="2.5140087154177492E-2"/>
          <c:w val="0.83196839280058232"/>
          <c:h val="0.80230217634278966"/>
        </c:manualLayout>
      </c:layout>
      <c:lineChart>
        <c:grouping val="standard"/>
        <c:varyColors val="0"/>
        <c:ser>
          <c:idx val="0"/>
          <c:order val="0"/>
          <c:tx>
            <c:strRef>
              <c:f>Hoja1!$B$1</c:f>
              <c:strCache>
                <c:ptCount val="1"/>
                <c:pt idx="0">
                  <c:v>Serie 1</c:v>
                </c:pt>
              </c:strCache>
            </c:strRef>
          </c:tx>
          <c:spPr>
            <a:ln w="28575" cap="rnd">
              <a:solidFill>
                <a:srgbClr val="FFC000"/>
              </a:solidFill>
              <a:round/>
            </a:ln>
            <a:effectLst>
              <a:outerShdw blurRad="50800" dist="38100" dir="18900000" algn="bl" rotWithShape="0">
                <a:prstClr val="black">
                  <a:alpha val="40000"/>
                </a:prstClr>
              </a:outerShdw>
            </a:effectLst>
          </c:spPr>
          <c:marker>
            <c:symbol val="none"/>
          </c:marker>
          <c:dPt>
            <c:idx val="5"/>
            <c:marker>
              <c:symbol val="circle"/>
              <c:size val="7"/>
              <c:spPr>
                <a:solidFill>
                  <a:srgbClr val="FFC000"/>
                </a:solidFill>
                <a:ln w="9525">
                  <a:noFill/>
                </a:ln>
                <a:effectLst/>
              </c:spPr>
            </c:marker>
            <c:bubble3D val="0"/>
            <c:extLst>
              <c:ext xmlns:c16="http://schemas.microsoft.com/office/drawing/2014/chart" uri="{C3380CC4-5D6E-409C-BE32-E72D297353CC}">
                <c16:uniqueId val="{00000000-D4B7-4BD8-BF7B-D0956681E298}"/>
              </c:ext>
            </c:extLst>
          </c:dPt>
          <c:dLbls>
            <c:dLbl>
              <c:idx val="1"/>
              <c:layout>
                <c:manualLayout>
                  <c:x val="-2.1394873276690846E-2"/>
                  <c:y val="5.7012874860798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B7-4BD8-BF7B-D0956681E298}"/>
                </c:ext>
              </c:extLst>
            </c:dLbl>
            <c:dLbl>
              <c:idx val="2"/>
              <c:layout>
                <c:manualLayout>
                  <c:x val="-0.12489993091018876"/>
                  <c:y val="-0.1194058255214423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B7-4BD8-BF7B-D0956681E298}"/>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FFC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mmm\-yy</c:formatCode>
                <c:ptCount val="6"/>
                <c:pt idx="0">
                  <c:v>44197</c:v>
                </c:pt>
                <c:pt idx="1">
                  <c:v>44228</c:v>
                </c:pt>
                <c:pt idx="2">
                  <c:v>44256</c:v>
                </c:pt>
                <c:pt idx="3">
                  <c:v>44287</c:v>
                </c:pt>
                <c:pt idx="4">
                  <c:v>44317</c:v>
                </c:pt>
                <c:pt idx="5">
                  <c:v>44348</c:v>
                </c:pt>
              </c:numCache>
            </c:numRef>
          </c:cat>
          <c:val>
            <c:numRef>
              <c:f>Hoja1!$B$2:$B$7</c:f>
              <c:numCache>
                <c:formatCode>_-* #,##0.0_-;\-* #,##0.0_-;_-* "-"??_-;_-@_-</c:formatCode>
                <c:ptCount val="6"/>
                <c:pt idx="0">
                  <c:v>52</c:v>
                </c:pt>
                <c:pt idx="1">
                  <c:v>59.04</c:v>
                </c:pt>
                <c:pt idx="2">
                  <c:v>62.33</c:v>
                </c:pt>
                <c:pt idx="3">
                  <c:v>61.72</c:v>
                </c:pt>
                <c:pt idx="4">
                  <c:v>65.17</c:v>
                </c:pt>
                <c:pt idx="5" formatCode="General">
                  <c:v>71.38</c:v>
                </c:pt>
              </c:numCache>
            </c:numRef>
          </c:val>
          <c:smooth val="1"/>
          <c:extLst>
            <c:ext xmlns:c16="http://schemas.microsoft.com/office/drawing/2014/chart" uri="{C3380CC4-5D6E-409C-BE32-E72D297353CC}">
              <c16:uniqueId val="{00000003-D4B7-4BD8-BF7B-D0956681E298}"/>
            </c:ext>
          </c:extLst>
        </c:ser>
        <c:dLbls>
          <c:showLegendKey val="0"/>
          <c:showVal val="0"/>
          <c:showCatName val="0"/>
          <c:showSerName val="0"/>
          <c:showPercent val="0"/>
          <c:showBubbleSize val="0"/>
        </c:dLbls>
        <c:smooth val="0"/>
        <c:axId val="492463616"/>
        <c:axId val="492465152"/>
      </c:lineChart>
      <c:dateAx>
        <c:axId val="492463616"/>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465152"/>
        <c:crosses val="autoZero"/>
        <c:auto val="1"/>
        <c:lblOffset val="100"/>
        <c:baseTimeUnit val="months"/>
        <c:majorUnit val="1"/>
        <c:majorTimeUnit val="months"/>
      </c:dateAx>
      <c:valAx>
        <c:axId val="492465152"/>
        <c:scaling>
          <c:orientation val="minMax"/>
          <c:min val="40"/>
        </c:scaling>
        <c:delete val="1"/>
        <c:axPos val="l"/>
        <c:numFmt formatCode="_-* #,##0.0_-;\-* #,##0.0_-;_-* &quot;-&quot;??_-;_-@_-" sourceLinked="1"/>
        <c:majorTickMark val="out"/>
        <c:minorTickMark val="none"/>
        <c:tickLblPos val="nextTo"/>
        <c:crossAx val="4924636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Serie 1</c:v>
                </c:pt>
              </c:strCache>
            </c:strRef>
          </c:tx>
          <c:spPr>
            <a:solidFill>
              <a:schemeClr val="bg1">
                <a:lumMod val="50000"/>
              </a:schemeClr>
            </a:solidFill>
            <a:ln>
              <a:noFill/>
            </a:ln>
            <a:effectLst>
              <a:outerShdw blurRad="50800" dist="38100" dir="18900000" algn="bl" rotWithShape="0">
                <a:prstClr val="black">
                  <a:alpha val="40000"/>
                </a:prstClr>
              </a:outerShdw>
            </a:effectLst>
          </c:spPr>
          <c:invertIfNegative val="0"/>
          <c:dLbls>
            <c:dLbl>
              <c:idx val="0"/>
              <c:layout>
                <c:manualLayout>
                  <c:x val="4.6296296296296294E-3"/>
                  <c:y val="2.75600381412988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09-471C-AB82-65BAFBF0919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PIB</c:v>
                </c:pt>
                <c:pt idx="1">
                  <c:v>PIB nominal</c:v>
                </c:pt>
                <c:pt idx="2">
                  <c:v>Exportaciones FOB</c:v>
                </c:pt>
                <c:pt idx="3">
                  <c:v>Importaciones FOB</c:v>
                </c:pt>
                <c:pt idx="4">
                  <c:v>Inflación</c:v>
                </c:pt>
              </c:strCache>
            </c:strRef>
          </c:cat>
          <c:val>
            <c:numRef>
              <c:f>Hoja1!$B$2:$B$6</c:f>
              <c:numCache>
                <c:formatCode>_-* #,##0.0_-;\-* #,##0.0_-;_-* "-"??_-;_-@_-</c:formatCode>
                <c:ptCount val="5"/>
                <c:pt idx="0">
                  <c:v>6</c:v>
                </c:pt>
                <c:pt idx="1">
                  <c:v>9.6999999999999993</c:v>
                </c:pt>
                <c:pt idx="2">
                  <c:v>13.5</c:v>
                </c:pt>
                <c:pt idx="3">
                  <c:v>21.5</c:v>
                </c:pt>
                <c:pt idx="4">
                  <c:v>5</c:v>
                </c:pt>
              </c:numCache>
            </c:numRef>
          </c:val>
          <c:extLst>
            <c:ext xmlns:c16="http://schemas.microsoft.com/office/drawing/2014/chart" uri="{C3380CC4-5D6E-409C-BE32-E72D297353CC}">
              <c16:uniqueId val="{00000001-9109-471C-AB82-65BAFBF09192}"/>
            </c:ext>
          </c:extLst>
        </c:ser>
        <c:ser>
          <c:idx val="1"/>
          <c:order val="1"/>
          <c:tx>
            <c:strRef>
              <c:f>Hoja1!$C$1</c:f>
              <c:strCache>
                <c:ptCount val="1"/>
                <c:pt idx="0">
                  <c:v>Columna1</c:v>
                </c:pt>
              </c:strCache>
            </c:strRef>
          </c:tx>
          <c:spPr>
            <a:solidFill>
              <a:srgbClr val="92D050"/>
            </a:solidFill>
            <a:ln>
              <a:noFill/>
            </a:ln>
            <a:effectLst/>
          </c:spPr>
          <c:invertIfNegative val="0"/>
          <c:dLbls>
            <c:dLbl>
              <c:idx val="0"/>
              <c:layout>
                <c:manualLayout>
                  <c:x val="0"/>
                  <c:y val="7.49063670411985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BA-4F78-8F41-915F3A591421}"/>
                </c:ext>
              </c:extLst>
            </c:dLbl>
            <c:dLbl>
              <c:idx val="1"/>
              <c:layout>
                <c:manualLayout>
                  <c:x val="2.3148148148148147E-3"/>
                  <c:y val="7.56048387096773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97-4E66-94FA-36481CA34E16}"/>
                </c:ext>
              </c:extLst>
            </c:dLbl>
            <c:dLbl>
              <c:idx val="2"/>
              <c:layout>
                <c:manualLayout>
                  <c:x val="-2.3148148148148147E-3"/>
                  <c:y val="8.9889986029972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497-4E66-94FA-36481CA34E16}"/>
                </c:ext>
              </c:extLst>
            </c:dLbl>
            <c:dLbl>
              <c:idx val="3"/>
              <c:layout>
                <c:manualLayout>
                  <c:x val="-2.3148148148148997E-3"/>
                  <c:y val="8.82093501911202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97-4E66-94FA-36481CA34E16}"/>
                </c:ext>
              </c:extLst>
            </c:dLbl>
            <c:dLbl>
              <c:idx val="4"/>
              <c:layout>
                <c:manualLayout>
                  <c:x val="0"/>
                  <c:y val="7.39272447294894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97-4E66-94FA-36481CA34E1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PIB</c:v>
                </c:pt>
                <c:pt idx="1">
                  <c:v>PIB nominal</c:v>
                </c:pt>
                <c:pt idx="2">
                  <c:v>Exportaciones FOB</c:v>
                </c:pt>
                <c:pt idx="3">
                  <c:v>Importaciones FOB</c:v>
                </c:pt>
                <c:pt idx="4">
                  <c:v>Inflación</c:v>
                </c:pt>
              </c:strCache>
            </c:strRef>
          </c:cat>
          <c:val>
            <c:numRef>
              <c:f>Hoja1!$C$2:$C$6</c:f>
              <c:numCache>
                <c:formatCode>_-* #,##0.0_-;\-* #,##0.0_-;_-* "-"??_-;_-@_-</c:formatCode>
                <c:ptCount val="5"/>
                <c:pt idx="0">
                  <c:v>5</c:v>
                </c:pt>
                <c:pt idx="1">
                  <c:v>8.6999999999999993</c:v>
                </c:pt>
                <c:pt idx="2">
                  <c:v>12</c:v>
                </c:pt>
                <c:pt idx="3">
                  <c:v>20</c:v>
                </c:pt>
                <c:pt idx="4">
                  <c:v>4</c:v>
                </c:pt>
              </c:numCache>
            </c:numRef>
          </c:val>
          <c:extLst>
            <c:ext xmlns:c16="http://schemas.microsoft.com/office/drawing/2014/chart" uri="{C3380CC4-5D6E-409C-BE32-E72D297353CC}">
              <c16:uniqueId val="{00000003-9109-471C-AB82-65BAFBF09192}"/>
            </c:ext>
          </c:extLst>
        </c:ser>
        <c:ser>
          <c:idx val="2"/>
          <c:order val="2"/>
          <c:tx>
            <c:strRef>
              <c:f>Hoja1!$D$1</c:f>
              <c:strCache>
                <c:ptCount val="1"/>
                <c:pt idx="0">
                  <c:v>Columna2</c:v>
                </c:pt>
              </c:strCache>
            </c:strRef>
          </c:tx>
          <c:spPr>
            <a:solidFill>
              <a:srgbClr val="FFFF00"/>
            </a:solidFill>
            <a:ln>
              <a:noFill/>
            </a:ln>
            <a:effectLst>
              <a:outerShdw blurRad="50800" dist="38100" dir="18900000" algn="bl" rotWithShape="0">
                <a:prstClr val="black">
                  <a:alpha val="40000"/>
                </a:prstClr>
              </a:outerShdw>
            </a:effectLst>
          </c:spPr>
          <c:invertIfNegative val="0"/>
          <c:dPt>
            <c:idx val="0"/>
            <c:invertIfNegative val="0"/>
            <c:bubble3D val="0"/>
            <c:spPr>
              <a:solidFill>
                <a:srgbClr val="FFFF00"/>
              </a:solidFill>
              <a:ln>
                <a:noFill/>
              </a:ln>
              <a:effectLst/>
            </c:spPr>
            <c:extLst>
              <c:ext xmlns:c16="http://schemas.microsoft.com/office/drawing/2014/chart" uri="{C3380CC4-5D6E-409C-BE32-E72D297353CC}">
                <c16:uniqueId val="{00000005-9109-471C-AB82-65BAFBF09192}"/>
              </c:ext>
            </c:extLst>
          </c:dPt>
          <c:dLbls>
            <c:dLbl>
              <c:idx val="0"/>
              <c:layout>
                <c:manualLayout>
                  <c:x val="1.060944534001666E-17"/>
                  <c:y val="9.00169862839725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109-471C-AB82-65BAFBF09192}"/>
                </c:ext>
              </c:extLst>
            </c:dLbl>
            <c:dLbl>
              <c:idx val="4"/>
              <c:layout>
                <c:manualLayout>
                  <c:x val="-1.6975112544026657E-16"/>
                  <c:y val="7.81333343916687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497-4E66-94FA-36481CA34E1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PIB</c:v>
                </c:pt>
                <c:pt idx="1">
                  <c:v>PIB nominal</c:v>
                </c:pt>
                <c:pt idx="2">
                  <c:v>Exportaciones FOB</c:v>
                </c:pt>
                <c:pt idx="3">
                  <c:v>Importaciones FOB</c:v>
                </c:pt>
                <c:pt idx="4">
                  <c:v>Inflación</c:v>
                </c:pt>
              </c:strCache>
            </c:strRef>
          </c:cat>
          <c:val>
            <c:numRef>
              <c:f>Hoja1!$D$2:$D$6</c:f>
              <c:numCache>
                <c:formatCode>_-* #,##0.0_-;\-* #,##0.0_-;_-* "-"??_-;_-@_-</c:formatCode>
                <c:ptCount val="5"/>
                <c:pt idx="0">
                  <c:v>4</c:v>
                </c:pt>
                <c:pt idx="1">
                  <c:v>7.7</c:v>
                </c:pt>
                <c:pt idx="2">
                  <c:v>10.5</c:v>
                </c:pt>
                <c:pt idx="3">
                  <c:v>18.5</c:v>
                </c:pt>
                <c:pt idx="4">
                  <c:v>3</c:v>
                </c:pt>
              </c:numCache>
            </c:numRef>
          </c:val>
          <c:extLst>
            <c:ext xmlns:c16="http://schemas.microsoft.com/office/drawing/2014/chart" uri="{C3380CC4-5D6E-409C-BE32-E72D297353CC}">
              <c16:uniqueId val="{00000006-9109-471C-AB82-65BAFBF09192}"/>
            </c:ext>
          </c:extLst>
        </c:ser>
        <c:dLbls>
          <c:showLegendKey val="0"/>
          <c:showVal val="0"/>
          <c:showCatName val="0"/>
          <c:showSerName val="0"/>
          <c:showPercent val="0"/>
          <c:showBubbleSize val="0"/>
        </c:dLbls>
        <c:gapWidth val="70"/>
        <c:overlap val="100"/>
        <c:axId val="492583552"/>
        <c:axId val="492794240"/>
      </c:barChart>
      <c:catAx>
        <c:axId val="49258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794240"/>
        <c:crosses val="autoZero"/>
        <c:auto val="1"/>
        <c:lblAlgn val="ctr"/>
        <c:lblOffset val="100"/>
        <c:noMultiLvlLbl val="0"/>
      </c:catAx>
      <c:valAx>
        <c:axId val="492794240"/>
        <c:scaling>
          <c:orientation val="minMax"/>
          <c:max val="22"/>
          <c:min val="2"/>
        </c:scaling>
        <c:delete val="1"/>
        <c:axPos val="l"/>
        <c:numFmt formatCode="_-* #,##0.0_-;\-* #,##0.0_-;_-* &quot;-&quot;??_-;_-@_-" sourceLinked="1"/>
        <c:majorTickMark val="out"/>
        <c:minorTickMark val="none"/>
        <c:tickLblPos val="nextTo"/>
        <c:crossAx val="492583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11018037638911"/>
          <c:y val="3.1475757507388943E-2"/>
          <c:w val="0.88010789076897311"/>
          <c:h val="0.82785347483738447"/>
        </c:manualLayout>
      </c:layout>
      <c:barChart>
        <c:barDir val="col"/>
        <c:grouping val="stacked"/>
        <c:varyColors val="0"/>
        <c:ser>
          <c:idx val="0"/>
          <c:order val="0"/>
          <c:tx>
            <c:strRef>
              <c:f>Hoja1!$B$1</c:f>
              <c:strCache>
                <c:ptCount val="1"/>
                <c:pt idx="0">
                  <c:v>SAT</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E1-4801-A780-21DF1FA176E5}"/>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E1-4801-A780-21DF1FA176E5}"/>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E1-4801-A780-21DF1FA176E5}"/>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Observado 20</c:v>
                </c:pt>
                <c:pt idx="1">
                  <c:v>Observado 21</c:v>
                </c:pt>
                <c:pt idx="2">
                  <c:v>Meta </c:v>
                </c:pt>
              </c:strCache>
            </c:strRef>
          </c:cat>
          <c:val>
            <c:numRef>
              <c:f>Hoja1!$B$2:$B$4</c:f>
              <c:numCache>
                <c:formatCode>#,##0.0</c:formatCode>
                <c:ptCount val="3"/>
                <c:pt idx="0">
                  <c:v>28263.384073820005</c:v>
                </c:pt>
                <c:pt idx="1">
                  <c:v>35855.622922689996</c:v>
                </c:pt>
                <c:pt idx="2">
                  <c:v>30382.788430149998</c:v>
                </c:pt>
              </c:numCache>
            </c:numRef>
          </c:val>
          <c:extLst>
            <c:ext xmlns:c16="http://schemas.microsoft.com/office/drawing/2014/chart" uri="{C3380CC4-5D6E-409C-BE32-E72D297353CC}">
              <c16:uniqueId val="{00000003-40E1-4801-A780-21DF1FA176E5}"/>
            </c:ext>
          </c:extLst>
        </c:ser>
        <c:ser>
          <c:idx val="1"/>
          <c:order val="1"/>
          <c:tx>
            <c:strRef>
              <c:f>Hoja1!$C$1</c:f>
              <c:strCache>
                <c:ptCount val="1"/>
                <c:pt idx="0">
                  <c:v>No administrado por SAT</c:v>
                </c:pt>
              </c:strCache>
            </c:strRef>
          </c:tx>
          <c:spPr>
            <a:solidFill>
              <a:srgbClr val="FF0000"/>
            </a:solidFill>
            <a:ln>
              <a:noFill/>
            </a:ln>
            <a:effectLst/>
          </c:spPr>
          <c:invertIfNegative val="0"/>
          <c:dLbls>
            <c:dLbl>
              <c:idx val="0"/>
              <c:layout>
                <c:manualLayout>
                  <c:x val="0"/>
                  <c:y val="-4.01146131805157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E1-4801-A780-21DF1FA176E5}"/>
                </c:ext>
              </c:extLst>
            </c:dLbl>
            <c:dLbl>
              <c:idx val="1"/>
              <c:layout>
                <c:manualLayout>
                  <c:x val="-9.0333193138944519E-17"/>
                  <c:y val="-5.1575931232091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E1-4801-A780-21DF1FA176E5}"/>
                </c:ext>
              </c:extLst>
            </c:dLbl>
            <c:dLbl>
              <c:idx val="2"/>
              <c:layout>
                <c:manualLayout>
                  <c:x val="0"/>
                  <c:y val="-5.1575931232091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0E1-4801-A780-21DF1FA176E5}"/>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Observado 20</c:v>
                </c:pt>
                <c:pt idx="1">
                  <c:v>Observado 21</c:v>
                </c:pt>
                <c:pt idx="2">
                  <c:v>Meta </c:v>
                </c:pt>
              </c:strCache>
            </c:strRef>
          </c:cat>
          <c:val>
            <c:numRef>
              <c:f>Hoja1!$C$2:$C$4</c:f>
              <c:numCache>
                <c:formatCode>#,##0.0</c:formatCode>
                <c:ptCount val="3"/>
                <c:pt idx="0">
                  <c:v>201.67924748000002</c:v>
                </c:pt>
                <c:pt idx="1">
                  <c:v>163.66019180000001</c:v>
                </c:pt>
                <c:pt idx="2">
                  <c:v>287.71174417160762</c:v>
                </c:pt>
              </c:numCache>
            </c:numRef>
          </c:val>
          <c:extLst>
            <c:ext xmlns:c16="http://schemas.microsoft.com/office/drawing/2014/chart" uri="{C3380CC4-5D6E-409C-BE32-E72D297353CC}">
              <c16:uniqueId val="{00000007-40E1-4801-A780-21DF1FA176E5}"/>
            </c:ext>
          </c:extLst>
        </c:ser>
        <c:dLbls>
          <c:showLegendKey val="0"/>
          <c:showVal val="0"/>
          <c:showCatName val="0"/>
          <c:showSerName val="0"/>
          <c:showPercent val="0"/>
          <c:showBubbleSize val="0"/>
        </c:dLbls>
        <c:gapWidth val="25"/>
        <c:overlap val="100"/>
        <c:axId val="492817408"/>
        <c:axId val="493008768"/>
      </c:barChart>
      <c:catAx>
        <c:axId val="4928174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3008768"/>
        <c:crosses val="autoZero"/>
        <c:auto val="1"/>
        <c:lblAlgn val="ctr"/>
        <c:lblOffset val="100"/>
        <c:noMultiLvlLbl val="0"/>
      </c:catAx>
      <c:valAx>
        <c:axId val="493008768"/>
        <c:scaling>
          <c:orientation val="minMax"/>
          <c:min val="10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2817408"/>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2007483107164796"/>
          <c:y val="0.92818486462038197"/>
          <c:w val="0.67661287350167698"/>
          <c:h val="6.690489119894496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33230054643816"/>
          <c:y val="3.6022059742532177E-2"/>
          <c:w val="0.85408738285743357"/>
          <c:h val="0.8260231846019247"/>
        </c:manualLayout>
      </c:layout>
      <c:lineChart>
        <c:grouping val="standard"/>
        <c:varyColors val="0"/>
        <c:ser>
          <c:idx val="0"/>
          <c:order val="0"/>
          <c:tx>
            <c:strRef>
              <c:f>Hoja1!$B$1</c:f>
              <c:strCache>
                <c:ptCount val="1"/>
                <c:pt idx="0">
                  <c:v>ISR/PIB</c:v>
                </c:pt>
              </c:strCache>
            </c:strRef>
          </c:tx>
          <c:spPr>
            <a:ln>
              <a:solidFill>
                <a:srgbClr val="0070C0"/>
              </a:solidFill>
            </a:ln>
          </c:spPr>
          <c:marker>
            <c:symbol val="circle"/>
            <c:size val="6"/>
            <c:spPr>
              <a:solidFill>
                <a:schemeClr val="bg1"/>
              </a:solidFill>
              <a:ln>
                <a:solidFill>
                  <a:srgbClr val="0070C0"/>
                </a:solidFill>
              </a:ln>
            </c:spPr>
          </c:marker>
          <c:dLbls>
            <c:dLbl>
              <c:idx val="0"/>
              <c:layout>
                <c:manualLayout>
                  <c:x val="-6.7505374429165654E-2"/>
                  <c:y val="-9.15275590551181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21-4499-8633-F6245844521C}"/>
                </c:ext>
              </c:extLst>
            </c:dLbl>
            <c:dLbl>
              <c:idx val="2"/>
              <c:layout>
                <c:manualLayout>
                  <c:x val="-0.10096948705321367"/>
                  <c:y val="-0.1415275590551181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21-4499-8633-F6245844521C}"/>
                </c:ext>
              </c:extLst>
            </c:dLbl>
            <c:dLbl>
              <c:idx val="3"/>
              <c:layout>
                <c:manualLayout>
                  <c:x val="1.7307206550715895E-3"/>
                  <c:y val="8.472440944881889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21-4499-8633-F6245844521C}"/>
                </c:ext>
              </c:extLst>
            </c:dLbl>
            <c:dLbl>
              <c:idx val="5"/>
              <c:layout>
                <c:manualLayout>
                  <c:x val="-1.6732238034058343E-2"/>
                  <c:y val="-2.48608923884514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21-4499-8633-F6245844521C}"/>
                </c:ext>
              </c:extLst>
            </c:dLbl>
            <c:dLbl>
              <c:idx val="6"/>
              <c:layout>
                <c:manualLayout>
                  <c:x val="-3.0579457050905878E-2"/>
                  <c:y val="-5.2638670166229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21-4499-8633-F6245844521C}"/>
                </c:ext>
              </c:extLst>
            </c:dLbl>
            <c:dLbl>
              <c:idx val="7"/>
              <c:layout>
                <c:manualLayout>
                  <c:x val="-8.788368336025848E-2"/>
                  <c:y val="3.0694663167104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21-4499-8633-F6245844521C}"/>
                </c:ext>
              </c:extLst>
            </c:dLbl>
            <c:dLbl>
              <c:idx val="8"/>
              <c:layout>
                <c:manualLayout>
                  <c:x val="-5.8273895084600694E-2"/>
                  <c:y val="-0.1137497812773403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21-4499-8633-F6245844521C}"/>
                </c:ext>
              </c:extLst>
            </c:dLbl>
            <c:dLbl>
              <c:idx val="9"/>
              <c:layout>
                <c:manualLayout>
                  <c:x val="-1.7886172952128965E-2"/>
                  <c:y val="-4.15275590551181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21-4499-8633-F6245844521C}"/>
                </c:ext>
              </c:extLst>
            </c:dLbl>
            <c:dLbl>
              <c:idx val="10"/>
              <c:layout>
                <c:manualLayout>
                  <c:x val="-0.12942534041080084"/>
                  <c:y val="6.40279965004373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21-4499-8633-F6245844521C}"/>
                </c:ext>
              </c:extLst>
            </c:dLbl>
            <c:dLbl>
              <c:idx val="11"/>
              <c:layout>
                <c:manualLayout>
                  <c:x val="-7.7890788691801244E-2"/>
                  <c:y val="-6.9305336832895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21-4499-8633-F6245844521C}"/>
                </c:ext>
              </c:extLst>
            </c:dLbl>
            <c:dLbl>
              <c:idx val="12"/>
              <c:layout>
                <c:manualLayout>
                  <c:x val="-2.2142102996414625E-2"/>
                  <c:y val="0.108472440944881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21-4499-8633-F6245844521C}"/>
                </c:ext>
              </c:extLst>
            </c:dLbl>
            <c:dLbl>
              <c:idx val="13"/>
              <c:layout>
                <c:manualLayout>
                  <c:x val="-2.3078698361412586E-2"/>
                  <c:y val="-5.2638670166229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21-4499-8633-F6245844521C}"/>
                </c:ext>
              </c:extLst>
            </c:dLbl>
            <c:spPr>
              <a:noFill/>
              <a:ln>
                <a:noFill/>
              </a:ln>
              <a:effectLst/>
            </c:spPr>
            <c:txPr>
              <a:bodyPr wrap="square" lIns="38100" tIns="19050" rIns="38100" bIns="19050" anchor="ctr">
                <a:spAutoFit/>
              </a:bodyPr>
              <a:lstStyle/>
              <a:p>
                <a:pPr>
                  <a:defRPr sz="7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Hoja1!$B$2:$B$15</c:f>
              <c:numCache>
                <c:formatCode>0.0%</c:formatCode>
                <c:ptCount val="14"/>
                <c:pt idx="0">
                  <c:v>0.13557736973020251</c:v>
                </c:pt>
                <c:pt idx="1">
                  <c:v>-5.2905637092034552E-2</c:v>
                </c:pt>
                <c:pt idx="2">
                  <c:v>5.7255074606299194E-2</c:v>
                </c:pt>
                <c:pt idx="3">
                  <c:v>0.36117336347311157</c:v>
                </c:pt>
                <c:pt idx="4">
                  <c:v>2.0758134567743003E-2</c:v>
                </c:pt>
                <c:pt idx="5">
                  <c:v>0.24034502774009381</c:v>
                </c:pt>
                <c:pt idx="6">
                  <c:v>0.10061698551592269</c:v>
                </c:pt>
                <c:pt idx="7">
                  <c:v>-3.2840168703465511E-2</c:v>
                </c:pt>
                <c:pt idx="8">
                  <c:v>0.13155045891703909</c:v>
                </c:pt>
                <c:pt idx="9">
                  <c:v>9.520092054982765E-2</c:v>
                </c:pt>
                <c:pt idx="10">
                  <c:v>-2.02635063964276E-2</c:v>
                </c:pt>
                <c:pt idx="11">
                  <c:v>6.2352781370633714E-3</c:v>
                </c:pt>
                <c:pt idx="12">
                  <c:v>-1.5333904515749675E-3</c:v>
                </c:pt>
                <c:pt idx="13">
                  <c:v>0.22481243934390482</c:v>
                </c:pt>
              </c:numCache>
            </c:numRef>
          </c:val>
          <c:smooth val="1"/>
          <c:extLst>
            <c:ext xmlns:c16="http://schemas.microsoft.com/office/drawing/2014/chart" uri="{C3380CC4-5D6E-409C-BE32-E72D297353CC}">
              <c16:uniqueId val="{0000000C-E121-4499-8633-F6245844521C}"/>
            </c:ext>
          </c:extLst>
        </c:ser>
        <c:dLbls>
          <c:showLegendKey val="0"/>
          <c:showVal val="0"/>
          <c:showCatName val="0"/>
          <c:showSerName val="0"/>
          <c:showPercent val="0"/>
          <c:showBubbleSize val="0"/>
        </c:dLbls>
        <c:marker val="1"/>
        <c:smooth val="0"/>
        <c:axId val="493046784"/>
        <c:axId val="493073152"/>
      </c:lineChart>
      <c:catAx>
        <c:axId val="493046784"/>
        <c:scaling>
          <c:orientation val="minMax"/>
        </c:scaling>
        <c:delete val="0"/>
        <c:axPos val="b"/>
        <c:numFmt formatCode="General" sourceLinked="1"/>
        <c:majorTickMark val="out"/>
        <c:minorTickMark val="none"/>
        <c:tickLblPos val="low"/>
        <c:txPr>
          <a:bodyPr/>
          <a:lstStyle/>
          <a:p>
            <a:pPr>
              <a:defRPr sz="800" b="1"/>
            </a:pPr>
            <a:endParaRPr lang="es-GT"/>
          </a:p>
        </c:txPr>
        <c:crossAx val="493073152"/>
        <c:crosses val="autoZero"/>
        <c:auto val="1"/>
        <c:lblAlgn val="ctr"/>
        <c:lblOffset val="100"/>
        <c:noMultiLvlLbl val="0"/>
      </c:catAx>
      <c:valAx>
        <c:axId val="493073152"/>
        <c:scaling>
          <c:orientation val="minMax"/>
        </c:scaling>
        <c:delete val="0"/>
        <c:axPos val="l"/>
        <c:numFmt formatCode="0%" sourceLinked="0"/>
        <c:majorTickMark val="out"/>
        <c:minorTickMark val="none"/>
        <c:tickLblPos val="nextTo"/>
        <c:txPr>
          <a:bodyPr/>
          <a:lstStyle/>
          <a:p>
            <a:pPr>
              <a:defRPr sz="800" b="0"/>
            </a:pPr>
            <a:endParaRPr lang="es-GT"/>
          </a:p>
        </c:txPr>
        <c:crossAx val="49304678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48547404918487"/>
          <c:y val="6.168066491688539E-2"/>
          <c:w val="0.86979579895001014"/>
          <c:h val="0.68160411198600179"/>
        </c:manualLayout>
      </c:layout>
      <c:lineChart>
        <c:grouping val="standard"/>
        <c:varyColors val="0"/>
        <c:ser>
          <c:idx val="0"/>
          <c:order val="0"/>
          <c:tx>
            <c:strRef>
              <c:f>Hoja1!$B$1</c:f>
              <c:strCache>
                <c:ptCount val="1"/>
                <c:pt idx="0">
                  <c:v>20/19</c:v>
                </c:pt>
              </c:strCache>
            </c:strRef>
          </c:tx>
          <c:spPr>
            <a:ln>
              <a:solidFill>
                <a:srgbClr val="0070C0"/>
              </a:solidFill>
            </a:ln>
          </c:spPr>
          <c:marker>
            <c:symbol val="circle"/>
            <c:size val="6"/>
            <c:spPr>
              <a:solidFill>
                <a:schemeClr val="bg1"/>
              </a:solidFill>
              <a:ln>
                <a:solidFill>
                  <a:srgbClr val="0070C0"/>
                </a:solidFill>
              </a:ln>
            </c:spPr>
          </c:marker>
          <c:dLbls>
            <c:dLbl>
              <c:idx val="1"/>
              <c:layout>
                <c:manualLayout>
                  <c:x val="-8.5968333118295631E-2"/>
                  <c:y val="0.11958355205599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78-44BB-906D-D5FCCCFEC721}"/>
                </c:ext>
              </c:extLst>
            </c:dLbl>
            <c:numFmt formatCode="0.0%" sourceLinked="0"/>
            <c:spPr>
              <a:noFill/>
              <a:ln>
                <a:noFill/>
              </a:ln>
              <a:effectLst/>
            </c:spPr>
            <c:txPr>
              <a:bodyPr wrap="square" lIns="38100" tIns="19050" rIns="38100" bIns="19050" anchor="ctr">
                <a:spAutoFit/>
              </a:bodyPr>
              <a:lstStyle/>
              <a:p>
                <a:pPr>
                  <a:defRPr sz="7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Hoja1!$A$2:$A$6</c:f>
              <c:strCache>
                <c:ptCount val="5"/>
                <c:pt idx="0">
                  <c:v>Rentas de 
Actividades Lucrativas</c:v>
                </c:pt>
                <c:pt idx="1">
                  <c:v>Relación 
de dependencia</c:v>
                </c:pt>
                <c:pt idx="2">
                  <c:v>Retención 
a no Domiciliados</c:v>
                </c:pt>
                <c:pt idx="3">
                  <c:v>Otros Ingresos</c:v>
                </c:pt>
                <c:pt idx="4">
                  <c:v>Impuesto sobre 
Productos Financieros y Rentas de Capital</c:v>
                </c:pt>
              </c:strCache>
            </c:strRef>
          </c:cat>
          <c:val>
            <c:numRef>
              <c:f>Hoja1!$B$2:$B$6</c:f>
              <c:numCache>
                <c:formatCode>0.0%</c:formatCode>
                <c:ptCount val="5"/>
                <c:pt idx="0">
                  <c:v>-5.352375526347064E-2</c:v>
                </c:pt>
                <c:pt idx="1">
                  <c:v>0.11465290934280968</c:v>
                </c:pt>
                <c:pt idx="2">
                  <c:v>7.6678470791464726E-2</c:v>
                </c:pt>
                <c:pt idx="3">
                  <c:v>2.2383165537058103E-2</c:v>
                </c:pt>
                <c:pt idx="4">
                  <c:v>8.3929054926762378E-2</c:v>
                </c:pt>
              </c:numCache>
            </c:numRef>
          </c:val>
          <c:smooth val="1"/>
          <c:extLst>
            <c:ext xmlns:c16="http://schemas.microsoft.com/office/drawing/2014/chart" uri="{C3380CC4-5D6E-409C-BE32-E72D297353CC}">
              <c16:uniqueId val="{00000001-D978-44BB-906D-D5FCCCFEC721}"/>
            </c:ext>
          </c:extLst>
        </c:ser>
        <c:ser>
          <c:idx val="1"/>
          <c:order val="1"/>
          <c:tx>
            <c:strRef>
              <c:f>Hoja1!$C$1</c:f>
              <c:strCache>
                <c:ptCount val="1"/>
                <c:pt idx="0">
                  <c:v>21/20</c:v>
                </c:pt>
              </c:strCache>
            </c:strRef>
          </c:tx>
          <c:spPr>
            <a:ln>
              <a:solidFill>
                <a:srgbClr val="FF0000"/>
              </a:solidFill>
            </a:ln>
          </c:spPr>
          <c:marker>
            <c:symbol val="circle"/>
            <c:size val="7"/>
            <c:spPr>
              <a:solidFill>
                <a:schemeClr val="bg1"/>
              </a:solidFill>
              <a:ln>
                <a:solidFill>
                  <a:srgbClr val="FF0000"/>
                </a:solidFill>
              </a:ln>
            </c:spPr>
          </c:marker>
          <c:dLbls>
            <c:dLbl>
              <c:idx val="4"/>
              <c:layout>
                <c:manualLayout>
                  <c:x val="-4.2232200781041306E-4"/>
                  <c:y val="-8.90275590551181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78-44BB-906D-D5FCCCFEC721}"/>
                </c:ext>
              </c:extLst>
            </c:dLbl>
            <c:numFmt formatCode="0.0%" sourceLinked="0"/>
            <c:spPr>
              <a:noFill/>
              <a:ln>
                <a:noFill/>
              </a:ln>
              <a:effectLst/>
            </c:spPr>
            <c:txPr>
              <a:bodyPr wrap="square" lIns="38100" tIns="19050" rIns="38100" bIns="19050" anchor="ctr">
                <a:spAutoFit/>
              </a:bodyPr>
              <a:lstStyle/>
              <a:p>
                <a:pPr>
                  <a:defRPr sz="7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Hoja1!$A$2:$A$6</c:f>
              <c:strCache>
                <c:ptCount val="5"/>
                <c:pt idx="0">
                  <c:v>Rentas de 
Actividades Lucrativas</c:v>
                </c:pt>
                <c:pt idx="1">
                  <c:v>Relación 
de dependencia</c:v>
                </c:pt>
                <c:pt idx="2">
                  <c:v>Retención 
a no Domiciliados</c:v>
                </c:pt>
                <c:pt idx="3">
                  <c:v>Otros Ingresos</c:v>
                </c:pt>
                <c:pt idx="4">
                  <c:v>Impuesto sobre 
Productos Financieros y Rentas de Capital</c:v>
                </c:pt>
              </c:strCache>
            </c:strRef>
          </c:cat>
          <c:val>
            <c:numRef>
              <c:f>Hoja1!$C$2:$C$6</c:f>
              <c:numCache>
                <c:formatCode>General</c:formatCode>
                <c:ptCount val="5"/>
                <c:pt idx="0">
                  <c:v>0.25016298089615585</c:v>
                </c:pt>
                <c:pt idx="1">
                  <c:v>6.9530220597426196E-2</c:v>
                </c:pt>
                <c:pt idx="2" formatCode="0.0%">
                  <c:v>0.22232953076521889</c:v>
                </c:pt>
                <c:pt idx="3" formatCode="0%">
                  <c:v>0.62373704483450432</c:v>
                </c:pt>
                <c:pt idx="4" formatCode="0.0%">
                  <c:v>0.18719938598625707</c:v>
                </c:pt>
              </c:numCache>
            </c:numRef>
          </c:val>
          <c:smooth val="1"/>
          <c:extLst>
            <c:ext xmlns:c16="http://schemas.microsoft.com/office/drawing/2014/chart" uri="{C3380CC4-5D6E-409C-BE32-E72D297353CC}">
              <c16:uniqueId val="{00000003-D978-44BB-906D-D5FCCCFEC721}"/>
            </c:ext>
          </c:extLst>
        </c:ser>
        <c:dLbls>
          <c:showLegendKey val="0"/>
          <c:showVal val="0"/>
          <c:showCatName val="0"/>
          <c:showSerName val="0"/>
          <c:showPercent val="0"/>
          <c:showBubbleSize val="0"/>
        </c:dLbls>
        <c:marker val="1"/>
        <c:smooth val="0"/>
        <c:axId val="494136320"/>
        <c:axId val="494469888"/>
      </c:lineChart>
      <c:catAx>
        <c:axId val="494136320"/>
        <c:scaling>
          <c:orientation val="minMax"/>
        </c:scaling>
        <c:delete val="0"/>
        <c:axPos val="b"/>
        <c:numFmt formatCode="General" sourceLinked="0"/>
        <c:majorTickMark val="out"/>
        <c:minorTickMark val="none"/>
        <c:tickLblPos val="low"/>
        <c:txPr>
          <a:bodyPr rot="0" vert="horz"/>
          <a:lstStyle/>
          <a:p>
            <a:pPr>
              <a:defRPr sz="600" b="1"/>
            </a:pPr>
            <a:endParaRPr lang="es-GT"/>
          </a:p>
        </c:txPr>
        <c:crossAx val="494469888"/>
        <c:crosses val="autoZero"/>
        <c:auto val="1"/>
        <c:lblAlgn val="ctr"/>
        <c:lblOffset val="100"/>
        <c:noMultiLvlLbl val="0"/>
      </c:catAx>
      <c:valAx>
        <c:axId val="494469888"/>
        <c:scaling>
          <c:orientation val="minMax"/>
          <c:min val="-0.2"/>
        </c:scaling>
        <c:delete val="0"/>
        <c:axPos val="l"/>
        <c:numFmt formatCode="0%" sourceLinked="0"/>
        <c:majorTickMark val="out"/>
        <c:minorTickMark val="none"/>
        <c:tickLblPos val="nextTo"/>
        <c:txPr>
          <a:bodyPr/>
          <a:lstStyle/>
          <a:p>
            <a:pPr>
              <a:defRPr sz="800" b="0"/>
            </a:pPr>
            <a:endParaRPr lang="es-GT"/>
          </a:p>
        </c:txPr>
        <c:crossAx val="494136320"/>
        <c:crosses val="autoZero"/>
        <c:crossBetween val="between"/>
      </c:valAx>
    </c:plotArea>
    <c:legend>
      <c:legendPos val="t"/>
      <c:layout>
        <c:manualLayout>
          <c:xMode val="edge"/>
          <c:yMode val="edge"/>
          <c:x val="0.26612028908341223"/>
          <c:y val="3.3333333333333333E-2"/>
          <c:w val="0.26928261592502878"/>
          <c:h val="0.15984033245844273"/>
        </c:manualLayout>
      </c:layout>
      <c:overlay val="0"/>
      <c:txPr>
        <a:bodyPr/>
        <a:lstStyle/>
        <a:p>
          <a:pPr>
            <a:defRPr sz="700" b="1"/>
          </a:pPr>
          <a:endParaRPr lang="es-GT"/>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none" spc="0" normalizeH="0" baseline="0">
                <a:solidFill>
                  <a:schemeClr val="tx1"/>
                </a:solidFill>
                <a:effectLst/>
                <a:latin typeface="Times New Roman" panose="02020603050405020304" pitchFamily="18" charset="0"/>
                <a:ea typeface="+mj-ea"/>
                <a:cs typeface="Times New Roman" panose="02020603050405020304" pitchFamily="18" charset="0"/>
              </a:defRPr>
            </a:pPr>
            <a:r>
              <a:rPr lang="es-GT" sz="1200">
                <a:solidFill>
                  <a:schemeClr val="tx1"/>
                </a:solidFill>
              </a:rPr>
              <a:t>IVA Doméstico </a:t>
            </a:r>
          </a:p>
          <a:p>
            <a:pPr>
              <a:defRPr sz="800" b="1" i="0" u="none" strike="noStrike" kern="1200" cap="none" spc="0" normalizeH="0" baseline="0">
                <a:solidFill>
                  <a:schemeClr val="tx1"/>
                </a:solidFill>
                <a:effectLst/>
                <a:latin typeface="Times New Roman" panose="02020603050405020304" pitchFamily="18" charset="0"/>
                <a:ea typeface="+mj-ea"/>
                <a:cs typeface="Times New Roman" panose="02020603050405020304" pitchFamily="18" charset="0"/>
              </a:defRPr>
            </a:pPr>
            <a:r>
              <a:rPr lang="es-GT" sz="900" b="1">
                <a:solidFill>
                  <a:schemeClr val="tx1"/>
                </a:solidFill>
              </a:rPr>
              <a:t>Millones de Quetzales</a:t>
            </a:r>
          </a:p>
        </c:rich>
      </c:tx>
      <c:layout>
        <c:manualLayout>
          <c:xMode val="edge"/>
          <c:yMode val="edge"/>
          <c:x val="0.29437961993474815"/>
          <c:y val="0"/>
        </c:manualLayout>
      </c:layout>
      <c:overlay val="0"/>
      <c:spPr>
        <a:noFill/>
        <a:ln>
          <a:noFill/>
        </a:ln>
        <a:effectLst/>
      </c:spPr>
    </c:title>
    <c:autoTitleDeleted val="0"/>
    <c:plotArea>
      <c:layout>
        <c:manualLayout>
          <c:layoutTarget val="inner"/>
          <c:xMode val="edge"/>
          <c:yMode val="edge"/>
          <c:x val="0.15934117221962935"/>
          <c:y val="0.18706770658407035"/>
          <c:w val="0.81675825416660397"/>
          <c:h val="0.59747036359791517"/>
        </c:manualLayout>
      </c:layout>
      <c:lineChart>
        <c:grouping val="standard"/>
        <c:varyColors val="0"/>
        <c:ser>
          <c:idx val="0"/>
          <c:order val="0"/>
          <c:tx>
            <c:strRef>
              <c:f>Hoja1!$B$1</c:f>
              <c:strCache>
                <c:ptCount val="1"/>
                <c:pt idx="0">
                  <c:v>Obs</c:v>
                </c:pt>
              </c:strCache>
            </c:strRef>
          </c:tx>
          <c:spPr>
            <a:ln>
              <a:solidFill>
                <a:srgbClr val="C00000"/>
              </a:solidFill>
            </a:ln>
            <a:effectLst/>
          </c:spPr>
          <c:marker>
            <c:symbol val="circle"/>
            <c:size val="6"/>
            <c:spPr>
              <a:solidFill>
                <a:schemeClr val="bg1"/>
              </a:solidFill>
            </c:spPr>
          </c:marker>
          <c:dLbls>
            <c:dLbl>
              <c:idx val="3"/>
              <c:layout>
                <c:manualLayout>
                  <c:x val="-9.3875726419311661E-2"/>
                  <c:y val="-8.21394460362942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58-4B2C-B021-16C1BCE857FF}"/>
                </c:ext>
              </c:extLst>
            </c:dLbl>
            <c:dLbl>
              <c:idx val="4"/>
              <c:layout>
                <c:manualLayout>
                  <c:x val="-9.8345999105945547E-2"/>
                  <c:y val="-0.1076090417064630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58-4B2C-B021-16C1BCE857FF}"/>
                </c:ext>
              </c:extLst>
            </c:dLbl>
            <c:dLbl>
              <c:idx val="5"/>
              <c:layout>
                <c:manualLayout>
                  <c:x val="-2.4909626573835178E-2"/>
                  <c:y val="-8.21394460362942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58-4B2C-B021-16C1BCE857FF}"/>
                </c:ext>
              </c:extLst>
            </c:dLbl>
            <c:numFmt formatCode="#,##0.0" sourceLinked="0"/>
            <c:spPr>
              <a:noFill/>
              <a:ln>
                <a:noFill/>
              </a:ln>
              <a:effectLst/>
            </c:spPr>
            <c:txPr>
              <a:bodyPr wrap="square" lIns="38100" tIns="19050" rIns="38100" bIns="19050" anchor="ctr">
                <a:spAutoFit/>
              </a:bodyPr>
              <a:lstStyle/>
              <a:p>
                <a:pPr>
                  <a:defRPr sz="800" b="1">
                    <a:solidFill>
                      <a:srgbClr val="FF000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Hoja1!$B$2:$B$7</c:f>
              <c:numCache>
                <c:formatCode>_(* #,##0.00_);_(* \(#,##0.00\);_(* "-"??_);_(@_)</c:formatCode>
                <c:ptCount val="6"/>
                <c:pt idx="0">
                  <c:v>1783.26978343</c:v>
                </c:pt>
                <c:pt idx="1">
                  <c:v>1305.67516069</c:v>
                </c:pt>
                <c:pt idx="2">
                  <c:v>1248.5375669</c:v>
                </c:pt>
                <c:pt idx="3">
                  <c:v>1362.78040895</c:v>
                </c:pt>
                <c:pt idx="4">
                  <c:v>1289.8672116300002</c:v>
                </c:pt>
                <c:pt idx="5">
                  <c:v>1329.93324968</c:v>
                </c:pt>
              </c:numCache>
            </c:numRef>
          </c:val>
          <c:smooth val="1"/>
          <c:extLst>
            <c:ext xmlns:c16="http://schemas.microsoft.com/office/drawing/2014/chart" uri="{C3380CC4-5D6E-409C-BE32-E72D297353CC}">
              <c16:uniqueId val="{00000003-D558-4B2C-B021-16C1BCE857FF}"/>
            </c:ext>
          </c:extLst>
        </c:ser>
        <c:ser>
          <c:idx val="1"/>
          <c:order val="1"/>
          <c:tx>
            <c:strRef>
              <c:f>Hoja1!$C$1</c:f>
              <c:strCache>
                <c:ptCount val="1"/>
                <c:pt idx="0">
                  <c:v>Meta</c:v>
                </c:pt>
              </c:strCache>
            </c:strRef>
          </c:tx>
          <c:spPr>
            <a:ln>
              <a:solidFill>
                <a:schemeClr val="tx1"/>
              </a:solidFill>
              <a:prstDash val="sysDot"/>
            </a:ln>
            <a:effectLst>
              <a:glow rad="50800">
                <a:schemeClr val="accent6">
                  <a:satMod val="175000"/>
                  <a:alpha val="40000"/>
                </a:schemeClr>
              </a:glow>
            </a:effectLst>
          </c:spPr>
          <c:marker>
            <c:symbol val="star"/>
            <c:size val="6"/>
            <c:spPr>
              <a:solidFill>
                <a:schemeClr val="bg1"/>
              </a:solidFill>
              <a:ln>
                <a:solidFill>
                  <a:schemeClr val="tx1"/>
                </a:solidFill>
              </a:ln>
              <a:effectLst>
                <a:glow rad="50800">
                  <a:schemeClr val="accent6">
                    <a:satMod val="175000"/>
                    <a:alpha val="40000"/>
                  </a:schemeClr>
                </a:glow>
              </a:effectLst>
            </c:spPr>
          </c:marker>
          <c:dLbls>
            <c:dLbl>
              <c:idx val="3"/>
              <c:layout>
                <c:manualLayout>
                  <c:x val="-8.4935181046043806E-2"/>
                  <c:y val="8.8506844953836358E-2"/>
                </c:manualLayout>
              </c:layout>
              <c:numFmt formatCode="#,##0.0" sourceLinked="0"/>
              <c:spPr>
                <a:noFill/>
                <a:ln>
                  <a:noFill/>
                </a:ln>
                <a:effectLst/>
              </c:spPr>
              <c:txPr>
                <a:bodyPr wrap="square" lIns="38100" tIns="19050" rIns="38100" bIns="19050" anchor="ctr">
                  <a:noAutofit/>
                </a:bodyPr>
                <a:lstStyle/>
                <a:p>
                  <a:pPr>
                    <a:defRPr sz="800" b="1"/>
                  </a:pPr>
                  <a:endParaRPr lang="es-GT"/>
                </a:p>
              </c:txPr>
              <c:dLblPos val="r"/>
              <c:showLegendKey val="0"/>
              <c:showVal val="1"/>
              <c:showCatName val="0"/>
              <c:showSerName val="0"/>
              <c:showPercent val="0"/>
              <c:showBubbleSize val="0"/>
              <c:extLst>
                <c:ext xmlns:c15="http://schemas.microsoft.com/office/drawing/2012/chart" uri="{CE6537A1-D6FC-4f65-9D91-7224C49458BB}">
                  <c15:layout>
                    <c:manualLayout>
                      <c:w val="0.13410818059901655"/>
                      <c:h val="9.0417064629099014E-2"/>
                    </c:manualLayout>
                  </c15:layout>
                </c:ext>
                <c:ext xmlns:c16="http://schemas.microsoft.com/office/drawing/2014/chart" uri="{C3380CC4-5D6E-409C-BE32-E72D297353CC}">
                  <c16:uniqueId val="{00000004-D558-4B2C-B021-16C1BCE857FF}"/>
                </c:ext>
              </c:extLst>
            </c:dLbl>
            <c:dLbl>
              <c:idx val="5"/>
              <c:layout>
                <c:manualLayout>
                  <c:x val="-2.4909626573835178E-2"/>
                  <c:y val="-7.06781279847182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558-4B2C-B021-16C1BCE857FF}"/>
                </c:ext>
              </c:extLst>
            </c:dLbl>
            <c:numFmt formatCode="#,##0.0" sourceLinked="0"/>
            <c:spPr>
              <a:noFill/>
              <a:ln>
                <a:noFill/>
              </a:ln>
              <a:effectLst/>
            </c:spPr>
            <c:txPr>
              <a:bodyPr wrap="square" lIns="38100" tIns="19050" rIns="38100" bIns="19050" anchor="ctr">
                <a:spAutoFit/>
              </a:bodyPr>
              <a:lstStyle/>
              <a:p>
                <a:pPr>
                  <a:defRPr sz="800" b="1"/>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Hoja1!$C$2:$C$7</c:f>
              <c:numCache>
                <c:formatCode>_(* #,##0.00_);_(* \(#,##0.00\);_(* "-"??_);_(@_)</c:formatCode>
                <c:ptCount val="6"/>
                <c:pt idx="0">
                  <c:v>1713.81485163</c:v>
                </c:pt>
                <c:pt idx="1">
                  <c:v>1256.34319355</c:v>
                </c:pt>
                <c:pt idx="2">
                  <c:v>1277.316438221312</c:v>
                </c:pt>
                <c:pt idx="3">
                  <c:v>1187.2072146635221</c:v>
                </c:pt>
                <c:pt idx="4">
                  <c:v>1033.5488965951658</c:v>
                </c:pt>
                <c:pt idx="5">
                  <c:v>1083.9363004900001</c:v>
                </c:pt>
              </c:numCache>
            </c:numRef>
          </c:val>
          <c:smooth val="1"/>
          <c:extLst>
            <c:ext xmlns:c16="http://schemas.microsoft.com/office/drawing/2014/chart" uri="{C3380CC4-5D6E-409C-BE32-E72D297353CC}">
              <c16:uniqueId val="{00000006-D558-4B2C-B021-16C1BCE857FF}"/>
            </c:ext>
          </c:extLst>
        </c:ser>
        <c:dLbls>
          <c:showLegendKey val="0"/>
          <c:showVal val="0"/>
          <c:showCatName val="0"/>
          <c:showSerName val="0"/>
          <c:showPercent val="0"/>
          <c:showBubbleSize val="0"/>
        </c:dLbls>
        <c:marker val="1"/>
        <c:smooth val="0"/>
        <c:axId val="494527616"/>
        <c:axId val="494529152"/>
      </c:lineChart>
      <c:catAx>
        <c:axId val="4945276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494529152"/>
        <c:crosses val="autoZero"/>
        <c:auto val="1"/>
        <c:lblAlgn val="ctr"/>
        <c:lblOffset val="100"/>
        <c:noMultiLvlLbl val="0"/>
      </c:catAx>
      <c:valAx>
        <c:axId val="494529152"/>
        <c:scaling>
          <c:orientation val="minMax"/>
          <c:min val="1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crossAx val="49452761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1.6704036269047044E-2"/>
          <c:y val="0.89006437713201147"/>
          <c:w val="0.98329596373095296"/>
          <c:h val="9.4054503931994174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effectLst/>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s-GT" sz="1200">
                <a:solidFill>
                  <a:schemeClr val="tx1"/>
                </a:solidFill>
              </a:rPr>
              <a:t>IVA Importaciones</a:t>
            </a:r>
          </a:p>
          <a:p>
            <a:pPr>
              <a:defRPr sz="8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s-GT" sz="900" b="1">
                <a:solidFill>
                  <a:schemeClr val="tx1"/>
                </a:solidFill>
              </a:rPr>
              <a:t>Millones de Quetzales</a:t>
            </a:r>
          </a:p>
        </c:rich>
      </c:tx>
      <c:layout>
        <c:manualLayout>
          <c:xMode val="edge"/>
          <c:yMode val="edge"/>
          <c:x val="0.3254969325153374"/>
          <c:y val="0"/>
        </c:manualLayout>
      </c:layout>
      <c:overlay val="0"/>
      <c:spPr>
        <a:noFill/>
        <a:ln>
          <a:noFill/>
        </a:ln>
        <a:effectLst/>
      </c:spPr>
    </c:title>
    <c:autoTitleDeleted val="0"/>
    <c:plotArea>
      <c:layout>
        <c:manualLayout>
          <c:layoutTarget val="inner"/>
          <c:xMode val="edge"/>
          <c:yMode val="edge"/>
          <c:x val="0.15934117221962935"/>
          <c:y val="0.16179124528865171"/>
          <c:w val="0.81675825416660397"/>
          <c:h val="0.62274682489333388"/>
        </c:manualLayout>
      </c:layout>
      <c:lineChart>
        <c:grouping val="standard"/>
        <c:varyColors val="0"/>
        <c:ser>
          <c:idx val="0"/>
          <c:order val="0"/>
          <c:tx>
            <c:strRef>
              <c:f>Hoja1!$B$1</c:f>
              <c:strCache>
                <c:ptCount val="1"/>
                <c:pt idx="0">
                  <c:v>Obs</c:v>
                </c:pt>
              </c:strCache>
            </c:strRef>
          </c:tx>
          <c:spPr>
            <a:ln>
              <a:solidFill>
                <a:srgbClr val="C00000"/>
              </a:solidFill>
            </a:ln>
            <a:effectLst/>
          </c:spPr>
          <c:marker>
            <c:symbol val="circle"/>
            <c:size val="5"/>
            <c:spPr>
              <a:solidFill>
                <a:schemeClr val="bg1"/>
              </a:solidFill>
            </c:spPr>
          </c:marker>
          <c:dLbls>
            <c:numFmt formatCode="#,##0.0" sourceLinked="0"/>
            <c:spPr>
              <a:noFill/>
              <a:ln>
                <a:noFill/>
              </a:ln>
              <a:effectLst/>
            </c:spPr>
            <c:txPr>
              <a:bodyPr wrap="square" lIns="38100" tIns="19050" rIns="38100" bIns="19050" anchor="ctr">
                <a:spAutoFit/>
              </a:bodyPr>
              <a:lstStyle/>
              <a:p>
                <a:pPr>
                  <a:defRPr b="1">
                    <a:solidFill>
                      <a:srgbClr val="FF000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Hoja1!$B$2:$B$7</c:f>
              <c:numCache>
                <c:formatCode>#,##0.0</c:formatCode>
                <c:ptCount val="6"/>
                <c:pt idx="0">
                  <c:v>1291.2720185799999</c:v>
                </c:pt>
                <c:pt idx="1">
                  <c:v>1365.0249397800001</c:v>
                </c:pt>
                <c:pt idx="2" formatCode="General">
                  <c:v>1627.61941723</c:v>
                </c:pt>
                <c:pt idx="3" formatCode="General">
                  <c:v>1550.31562773</c:v>
                </c:pt>
                <c:pt idx="4" formatCode="General">
                  <c:v>1600.8261482</c:v>
                </c:pt>
                <c:pt idx="5" formatCode="General">
                  <c:v>1614.2593027600001</c:v>
                </c:pt>
              </c:numCache>
            </c:numRef>
          </c:val>
          <c:smooth val="1"/>
          <c:extLst>
            <c:ext xmlns:c16="http://schemas.microsoft.com/office/drawing/2014/chart" uri="{C3380CC4-5D6E-409C-BE32-E72D297353CC}">
              <c16:uniqueId val="{00000000-D12C-48F1-9984-6BE1B1E8ADE4}"/>
            </c:ext>
          </c:extLst>
        </c:ser>
        <c:ser>
          <c:idx val="1"/>
          <c:order val="1"/>
          <c:tx>
            <c:strRef>
              <c:f>Hoja1!$C$1</c:f>
              <c:strCache>
                <c:ptCount val="1"/>
                <c:pt idx="0">
                  <c:v>Meta</c:v>
                </c:pt>
              </c:strCache>
            </c:strRef>
          </c:tx>
          <c:spPr>
            <a:ln>
              <a:solidFill>
                <a:schemeClr val="tx1"/>
              </a:solidFill>
            </a:ln>
            <a:effectLst>
              <a:glow rad="50800">
                <a:schemeClr val="accent6">
                  <a:satMod val="175000"/>
                  <a:alpha val="40000"/>
                </a:schemeClr>
              </a:glow>
            </a:effectLst>
          </c:spPr>
          <c:marker>
            <c:symbol val="star"/>
            <c:size val="6"/>
            <c:spPr>
              <a:solidFill>
                <a:schemeClr val="bg1"/>
              </a:solidFill>
              <a:ln>
                <a:solidFill>
                  <a:schemeClr val="tx1"/>
                </a:solidFill>
                <a:prstDash val="sysDot"/>
              </a:ln>
              <a:effectLst>
                <a:glow rad="50800">
                  <a:schemeClr val="accent6">
                    <a:satMod val="175000"/>
                    <a:alpha val="40000"/>
                  </a:schemeClr>
                </a:glow>
              </a:effectLst>
            </c:spPr>
          </c:marker>
          <c:dLbls>
            <c:numFmt formatCode="#,##0.0" sourceLinked="0"/>
            <c:spPr>
              <a:noFill/>
              <a:ln>
                <a:noFill/>
              </a:ln>
              <a:effectLst/>
            </c:spPr>
            <c:txPr>
              <a:bodyPr wrap="square" lIns="38100" tIns="19050" rIns="38100" bIns="19050" anchor="ctr">
                <a:spAutoFit/>
              </a:bodyPr>
              <a:lstStyle/>
              <a:p>
                <a:pPr>
                  <a:defRPr b="1"/>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c:v>
                </c:pt>
                <c:pt idx="2">
                  <c:v>Mar</c:v>
                </c:pt>
                <c:pt idx="3">
                  <c:v>Abr</c:v>
                </c:pt>
                <c:pt idx="4">
                  <c:v>May</c:v>
                </c:pt>
                <c:pt idx="5">
                  <c:v>Jun</c:v>
                </c:pt>
              </c:strCache>
            </c:strRef>
          </c:cat>
          <c:val>
            <c:numRef>
              <c:f>Hoja1!$C$2:$C$7</c:f>
              <c:numCache>
                <c:formatCode>#,##0.0</c:formatCode>
                <c:ptCount val="6"/>
                <c:pt idx="0">
                  <c:v>1359.27860212</c:v>
                </c:pt>
                <c:pt idx="1">
                  <c:v>1359.3726979600001</c:v>
                </c:pt>
                <c:pt idx="2" formatCode="General">
                  <c:v>1255.3298079699998</c:v>
                </c:pt>
                <c:pt idx="3" formatCode="General">
                  <c:v>1165.0886189999999</c:v>
                </c:pt>
                <c:pt idx="4" formatCode="General">
                  <c:v>1143.661437</c:v>
                </c:pt>
                <c:pt idx="5" formatCode="General">
                  <c:v>1175.40595613</c:v>
                </c:pt>
              </c:numCache>
            </c:numRef>
          </c:val>
          <c:smooth val="1"/>
          <c:extLst>
            <c:ext xmlns:c16="http://schemas.microsoft.com/office/drawing/2014/chart" uri="{C3380CC4-5D6E-409C-BE32-E72D297353CC}">
              <c16:uniqueId val="{00000001-D12C-48F1-9984-6BE1B1E8ADE4}"/>
            </c:ext>
          </c:extLst>
        </c:ser>
        <c:dLbls>
          <c:showLegendKey val="0"/>
          <c:showVal val="0"/>
          <c:showCatName val="0"/>
          <c:showSerName val="0"/>
          <c:showPercent val="0"/>
          <c:showBubbleSize val="0"/>
        </c:dLbls>
        <c:marker val="1"/>
        <c:smooth val="0"/>
        <c:axId val="495342720"/>
        <c:axId val="495344256"/>
      </c:lineChart>
      <c:catAx>
        <c:axId val="4953427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5344256"/>
        <c:crosses val="autoZero"/>
        <c:auto val="1"/>
        <c:lblAlgn val="ctr"/>
        <c:lblOffset val="100"/>
        <c:noMultiLvlLbl val="0"/>
      </c:catAx>
      <c:valAx>
        <c:axId val="495344256"/>
        <c:scaling>
          <c:orientation val="minMax"/>
          <c:min val="1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5342720"/>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7.3766900292665408E-4"/>
          <c:y val="0.89006437713201147"/>
          <c:w val="0.9992623309970734"/>
          <c:h val="9.740362573372690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45006450464879"/>
          <c:y val="3.082080649009783E-2"/>
          <c:w val="0.80987196939365635"/>
          <c:h val="0.78671519001301304"/>
        </c:manualLayout>
      </c:layout>
      <c:lineChart>
        <c:grouping val="standard"/>
        <c:varyColors val="0"/>
        <c:ser>
          <c:idx val="0"/>
          <c:order val="0"/>
          <c:tx>
            <c:strRef>
              <c:f>Hoja1!$B$1</c:f>
              <c:strCache>
                <c:ptCount val="1"/>
                <c:pt idx="0">
                  <c:v>Productividad IVA A junio</c:v>
                </c:pt>
              </c:strCache>
            </c:strRef>
          </c:tx>
          <c:spPr>
            <a:ln>
              <a:solidFill>
                <a:srgbClr val="0070C0"/>
              </a:solidFill>
            </a:ln>
          </c:spPr>
          <c:marker>
            <c:symbol val="circle"/>
            <c:size val="7"/>
            <c:spPr>
              <a:solidFill>
                <a:schemeClr val="bg1"/>
              </a:solidFill>
              <a:ln>
                <a:solidFill>
                  <a:srgbClr val="0070C0"/>
                </a:solidFill>
              </a:ln>
            </c:spPr>
          </c:marker>
          <c:dLbls>
            <c:dLbl>
              <c:idx val="0"/>
              <c:layout>
                <c:manualLayout>
                  <c:x val="-5.0282663819564928E-2"/>
                  <c:y val="-6.07321243935417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90-40C1-A88D-51095C75747B}"/>
                </c:ext>
              </c:extLst>
            </c:dLbl>
            <c:dLbl>
              <c:idx val="1"/>
              <c:layout>
                <c:manualLayout>
                  <c:x val="-7.909604519774012E-2"/>
                  <c:y val="5.7575757575757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90-40C1-A88D-51095C75747B}"/>
                </c:ext>
              </c:extLst>
            </c:dLbl>
            <c:dLbl>
              <c:idx val="2"/>
              <c:layout>
                <c:manualLayout>
                  <c:x val="-2.4858757062146894E-2"/>
                  <c:y val="5.25252525252525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90-40C1-A88D-51095C75747B}"/>
                </c:ext>
              </c:extLst>
            </c:dLbl>
            <c:dLbl>
              <c:idx val="3"/>
              <c:layout>
                <c:manualLayout>
                  <c:x val="-5.19774011299435E-2"/>
                  <c:y val="6.26262626262626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90-40C1-A88D-51095C75747B}"/>
                </c:ext>
              </c:extLst>
            </c:dLbl>
            <c:dLbl>
              <c:idx val="4"/>
              <c:layout>
                <c:manualLayout>
                  <c:x val="-8.8135593220338981E-2"/>
                  <c:y val="-7.37373737373737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90-40C1-A88D-51095C75747B}"/>
                </c:ext>
              </c:extLst>
            </c:dLbl>
            <c:dLbl>
              <c:idx val="5"/>
              <c:layout>
                <c:manualLayout>
                  <c:x val="-3.84180790960452E-2"/>
                  <c:y val="-6.3636363636363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F90-40C1-A88D-51095C75747B}"/>
                </c:ext>
              </c:extLst>
            </c:dLbl>
            <c:dLbl>
              <c:idx val="6"/>
              <c:layout>
                <c:manualLayout>
                  <c:x val="-3.84180790960452E-2"/>
                  <c:y val="-4.84848484848484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F90-40C1-A88D-51095C75747B}"/>
                </c:ext>
              </c:extLst>
            </c:dLbl>
            <c:dLbl>
              <c:idx val="7"/>
              <c:layout>
                <c:manualLayout>
                  <c:x val="-0.16497175141242937"/>
                  <c:y val="-8.080808080808172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F90-40C1-A88D-51095C75747B}"/>
                </c:ext>
              </c:extLst>
            </c:dLbl>
            <c:dLbl>
              <c:idx val="8"/>
              <c:layout>
                <c:manualLayout>
                  <c:x val="-2.2393878731260287E-2"/>
                  <c:y val="5.25252525252525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F90-40C1-A88D-51095C75747B}"/>
                </c:ext>
              </c:extLst>
            </c:dLbl>
            <c:dLbl>
              <c:idx val="9"/>
              <c:layout>
                <c:manualLayout>
                  <c:x val="-0.14519791805685306"/>
                  <c:y val="-4.55806092420266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F90-40C1-A88D-51095C75747B}"/>
                </c:ext>
              </c:extLst>
            </c:dLbl>
            <c:dLbl>
              <c:idx val="11"/>
              <c:layout>
                <c:manualLayout>
                  <c:x val="-5.4802437830864525E-2"/>
                  <c:y val="-5.06311142925316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F90-40C1-A88D-51095C75747B}"/>
                </c:ext>
              </c:extLst>
            </c:dLbl>
            <c:dLbl>
              <c:idx val="12"/>
              <c:layout>
                <c:manualLayout>
                  <c:x val="-7.9427376662662932E-2"/>
                  <c:y val="6.55305018690844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F90-40C1-A88D-51095C75747B}"/>
                </c:ext>
              </c:extLst>
            </c:dLbl>
            <c:spPr>
              <a:noFill/>
              <a:ln>
                <a:noFill/>
              </a:ln>
              <a:effectLst/>
            </c:spPr>
            <c:txPr>
              <a:bodyPr/>
              <a:lstStyle/>
              <a:p>
                <a:pPr>
                  <a:defRPr sz="7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Hoja1!$B$2:$B$15</c:f>
              <c:numCache>
                <c:formatCode>0.0%</c:formatCode>
                <c:ptCount val="14"/>
                <c:pt idx="0">
                  <c:v>0.22446952545380128</c:v>
                </c:pt>
                <c:pt idx="1">
                  <c:v>0.19348260890389346</c:v>
                </c:pt>
                <c:pt idx="2">
                  <c:v>0.20192293803544037</c:v>
                </c:pt>
                <c:pt idx="3">
                  <c:v>0.21625843142052756</c:v>
                </c:pt>
                <c:pt idx="4">
                  <c:v>0.21901384618241038</c:v>
                </c:pt>
                <c:pt idx="5">
                  <c:v>0.21527257108344697</c:v>
                </c:pt>
                <c:pt idx="6">
                  <c:v>0.21087937059338849</c:v>
                </c:pt>
                <c:pt idx="7">
                  <c:v>0.2016891775417628</c:v>
                </c:pt>
                <c:pt idx="8">
                  <c:v>0.19701756305278878</c:v>
                </c:pt>
                <c:pt idx="9">
                  <c:v>0.20176193202787757</c:v>
                </c:pt>
                <c:pt idx="10">
                  <c:v>0.2043480816068157</c:v>
                </c:pt>
                <c:pt idx="11">
                  <c:v>0.20049626636164672</c:v>
                </c:pt>
                <c:pt idx="12">
                  <c:v>0.18599987043263705</c:v>
                </c:pt>
                <c:pt idx="13">
                  <c:v>0.22426394692018969</c:v>
                </c:pt>
              </c:numCache>
            </c:numRef>
          </c:val>
          <c:smooth val="1"/>
          <c:extLst>
            <c:ext xmlns:c16="http://schemas.microsoft.com/office/drawing/2014/chart" uri="{C3380CC4-5D6E-409C-BE32-E72D297353CC}">
              <c16:uniqueId val="{0000000C-EF90-40C1-A88D-51095C75747B}"/>
            </c:ext>
          </c:extLst>
        </c:ser>
        <c:dLbls>
          <c:showLegendKey val="0"/>
          <c:showVal val="0"/>
          <c:showCatName val="0"/>
          <c:showSerName val="0"/>
          <c:showPercent val="0"/>
          <c:showBubbleSize val="0"/>
        </c:dLbls>
        <c:marker val="1"/>
        <c:smooth val="0"/>
        <c:axId val="495382912"/>
        <c:axId val="495384448"/>
      </c:lineChart>
      <c:catAx>
        <c:axId val="495382912"/>
        <c:scaling>
          <c:orientation val="minMax"/>
        </c:scaling>
        <c:delete val="0"/>
        <c:axPos val="b"/>
        <c:numFmt formatCode="General" sourceLinked="1"/>
        <c:majorTickMark val="out"/>
        <c:minorTickMark val="none"/>
        <c:tickLblPos val="nextTo"/>
        <c:txPr>
          <a:bodyPr rot="-5400000" vert="horz"/>
          <a:lstStyle/>
          <a:p>
            <a:pPr>
              <a:defRPr sz="800"/>
            </a:pPr>
            <a:endParaRPr lang="es-GT"/>
          </a:p>
        </c:txPr>
        <c:crossAx val="495384448"/>
        <c:crosses val="autoZero"/>
        <c:auto val="1"/>
        <c:lblAlgn val="ctr"/>
        <c:lblOffset val="100"/>
        <c:noMultiLvlLbl val="0"/>
      </c:catAx>
      <c:valAx>
        <c:axId val="495384448"/>
        <c:scaling>
          <c:orientation val="minMax"/>
          <c:min val="0.17"/>
        </c:scaling>
        <c:delete val="0"/>
        <c:axPos val="l"/>
        <c:numFmt formatCode="0%" sourceLinked="0"/>
        <c:majorTickMark val="out"/>
        <c:minorTickMark val="none"/>
        <c:tickLblPos val="nextTo"/>
        <c:txPr>
          <a:bodyPr/>
          <a:lstStyle/>
          <a:p>
            <a:pPr>
              <a:defRPr sz="800"/>
            </a:pPr>
            <a:endParaRPr lang="es-GT"/>
          </a:p>
        </c:txPr>
        <c:crossAx val="495382912"/>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19822944930456E-2"/>
          <c:y val="3.5974137768277792E-2"/>
          <c:w val="0.89342601084379147"/>
          <c:h val="0.74611829251304618"/>
        </c:manualLayout>
      </c:layout>
      <c:lineChart>
        <c:grouping val="standard"/>
        <c:varyColors val="0"/>
        <c:ser>
          <c:idx val="0"/>
          <c:order val="0"/>
          <c:spPr>
            <a:ln>
              <a:solidFill>
                <a:schemeClr val="accent2">
                  <a:lumMod val="75000"/>
                </a:schemeClr>
              </a:solidFill>
            </a:ln>
          </c:spPr>
          <c:marker>
            <c:symbol val="none"/>
          </c:marker>
          <c:cat>
            <c:numRef>
              <c:f>'Inflación '!$A$44:$A$145</c:f>
              <c:numCache>
                <c:formatCode>mmm\-yy</c:formatCode>
                <c:ptCount val="102"/>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pt idx="90">
                  <c:v>44013</c:v>
                </c:pt>
                <c:pt idx="91">
                  <c:v>44044</c:v>
                </c:pt>
                <c:pt idx="92">
                  <c:v>44075</c:v>
                </c:pt>
                <c:pt idx="93">
                  <c:v>44105</c:v>
                </c:pt>
                <c:pt idx="94">
                  <c:v>44136</c:v>
                </c:pt>
                <c:pt idx="95">
                  <c:v>44166</c:v>
                </c:pt>
                <c:pt idx="96">
                  <c:v>44197</c:v>
                </c:pt>
                <c:pt idx="97">
                  <c:v>44228</c:v>
                </c:pt>
                <c:pt idx="98">
                  <c:v>44256</c:v>
                </c:pt>
                <c:pt idx="99">
                  <c:v>44287</c:v>
                </c:pt>
                <c:pt idx="100">
                  <c:v>44317</c:v>
                </c:pt>
                <c:pt idx="101">
                  <c:v>44348</c:v>
                </c:pt>
              </c:numCache>
            </c:numRef>
          </c:cat>
          <c:val>
            <c:numRef>
              <c:f>'Inflación '!$B$44:$B$145</c:f>
              <c:numCache>
                <c:formatCode>0.00</c:formatCode>
                <c:ptCount val="102"/>
                <c:pt idx="0">
                  <c:v>3.35</c:v>
                </c:pt>
                <c:pt idx="1">
                  <c:v>3.12</c:v>
                </c:pt>
                <c:pt idx="2">
                  <c:v>3.06</c:v>
                </c:pt>
                <c:pt idx="3">
                  <c:v>3.08</c:v>
                </c:pt>
                <c:pt idx="4">
                  <c:v>3.02</c:v>
                </c:pt>
                <c:pt idx="5">
                  <c:v>2.94</c:v>
                </c:pt>
                <c:pt idx="6">
                  <c:v>3.04</c:v>
                </c:pt>
                <c:pt idx="7">
                  <c:v>3.23</c:v>
                </c:pt>
                <c:pt idx="8">
                  <c:v>3.28</c:v>
                </c:pt>
                <c:pt idx="9">
                  <c:v>3.32</c:v>
                </c:pt>
                <c:pt idx="10">
                  <c:v>3.2</c:v>
                </c:pt>
                <c:pt idx="11">
                  <c:v>3.25</c:v>
                </c:pt>
                <c:pt idx="12">
                  <c:v>3.23</c:v>
                </c:pt>
                <c:pt idx="13">
                  <c:v>3.26</c:v>
                </c:pt>
                <c:pt idx="14">
                  <c:v>3.19</c:v>
                </c:pt>
                <c:pt idx="15">
                  <c:v>3.18</c:v>
                </c:pt>
                <c:pt idx="16">
                  <c:v>3.21</c:v>
                </c:pt>
                <c:pt idx="17">
                  <c:v>3.23</c:v>
                </c:pt>
                <c:pt idx="18">
                  <c:v>3.27</c:v>
                </c:pt>
                <c:pt idx="19">
                  <c:v>3.2</c:v>
                </c:pt>
                <c:pt idx="20">
                  <c:v>3.1</c:v>
                </c:pt>
                <c:pt idx="21">
                  <c:v>3.11</c:v>
                </c:pt>
                <c:pt idx="22">
                  <c:v>3.13</c:v>
                </c:pt>
                <c:pt idx="23">
                  <c:v>3.15</c:v>
                </c:pt>
                <c:pt idx="24">
                  <c:v>3.17</c:v>
                </c:pt>
                <c:pt idx="25">
                  <c:v>3.2</c:v>
                </c:pt>
                <c:pt idx="26">
                  <c:v>3.24</c:v>
                </c:pt>
                <c:pt idx="27">
                  <c:v>3.18</c:v>
                </c:pt>
                <c:pt idx="28">
                  <c:v>3.26</c:v>
                </c:pt>
                <c:pt idx="29">
                  <c:v>3.18</c:v>
                </c:pt>
                <c:pt idx="30">
                  <c:v>3.15</c:v>
                </c:pt>
                <c:pt idx="31">
                  <c:v>3.03</c:v>
                </c:pt>
                <c:pt idx="32">
                  <c:v>2.94</c:v>
                </c:pt>
                <c:pt idx="33">
                  <c:v>3</c:v>
                </c:pt>
                <c:pt idx="34">
                  <c:v>3.06</c:v>
                </c:pt>
                <c:pt idx="35">
                  <c:v>3.05</c:v>
                </c:pt>
                <c:pt idx="36">
                  <c:v>3.16</c:v>
                </c:pt>
                <c:pt idx="37">
                  <c:v>3.1</c:v>
                </c:pt>
                <c:pt idx="38">
                  <c:v>3.08</c:v>
                </c:pt>
                <c:pt idx="39">
                  <c:v>3.03</c:v>
                </c:pt>
                <c:pt idx="40">
                  <c:v>2.87</c:v>
                </c:pt>
                <c:pt idx="41">
                  <c:v>2.94</c:v>
                </c:pt>
                <c:pt idx="42">
                  <c:v>2.92</c:v>
                </c:pt>
                <c:pt idx="43">
                  <c:v>2.76</c:v>
                </c:pt>
                <c:pt idx="44">
                  <c:v>2.84</c:v>
                </c:pt>
                <c:pt idx="45">
                  <c:v>2.9</c:v>
                </c:pt>
                <c:pt idx="46">
                  <c:v>2.94</c:v>
                </c:pt>
                <c:pt idx="47">
                  <c:v>2.96</c:v>
                </c:pt>
                <c:pt idx="48">
                  <c:v>2.66</c:v>
                </c:pt>
                <c:pt idx="49">
                  <c:v>2.57</c:v>
                </c:pt>
                <c:pt idx="50">
                  <c:v>2.62</c:v>
                </c:pt>
                <c:pt idx="51">
                  <c:v>2.58</c:v>
                </c:pt>
                <c:pt idx="52">
                  <c:v>2.61</c:v>
                </c:pt>
                <c:pt idx="53">
                  <c:v>2.6</c:v>
                </c:pt>
                <c:pt idx="54">
                  <c:v>2.57</c:v>
                </c:pt>
                <c:pt idx="55">
                  <c:v>2.79</c:v>
                </c:pt>
                <c:pt idx="56">
                  <c:v>2.87</c:v>
                </c:pt>
                <c:pt idx="57">
                  <c:v>2.9</c:v>
                </c:pt>
                <c:pt idx="58">
                  <c:v>2.92</c:v>
                </c:pt>
                <c:pt idx="59">
                  <c:v>2.95</c:v>
                </c:pt>
                <c:pt idx="60">
                  <c:v>2.66</c:v>
                </c:pt>
                <c:pt idx="61">
                  <c:v>2.57</c:v>
                </c:pt>
                <c:pt idx="62">
                  <c:v>2.62</c:v>
                </c:pt>
                <c:pt idx="63">
                  <c:v>2.58</c:v>
                </c:pt>
                <c:pt idx="64">
                  <c:v>2.61</c:v>
                </c:pt>
                <c:pt idx="65">
                  <c:v>2.6</c:v>
                </c:pt>
                <c:pt idx="66">
                  <c:v>2.57</c:v>
                </c:pt>
                <c:pt idx="67">
                  <c:v>2.79</c:v>
                </c:pt>
                <c:pt idx="68">
                  <c:v>2.87</c:v>
                </c:pt>
                <c:pt idx="69">
                  <c:v>2.9</c:v>
                </c:pt>
                <c:pt idx="70">
                  <c:v>2.92</c:v>
                </c:pt>
                <c:pt idx="71">
                  <c:v>2.95</c:v>
                </c:pt>
                <c:pt idx="72">
                  <c:v>3.03</c:v>
                </c:pt>
                <c:pt idx="73">
                  <c:v>3.07</c:v>
                </c:pt>
                <c:pt idx="74">
                  <c:v>2.94</c:v>
                </c:pt>
                <c:pt idx="75">
                  <c:v>3.04</c:v>
                </c:pt>
                <c:pt idx="76">
                  <c:v>3.02</c:v>
                </c:pt>
                <c:pt idx="77">
                  <c:v>3.09</c:v>
                </c:pt>
                <c:pt idx="78">
                  <c:v>3.16</c:v>
                </c:pt>
                <c:pt idx="79">
                  <c:v>3.05</c:v>
                </c:pt>
                <c:pt idx="80">
                  <c:v>2.88</c:v>
                </c:pt>
                <c:pt idx="81">
                  <c:v>2.98</c:v>
                </c:pt>
                <c:pt idx="82">
                  <c:v>3.07</c:v>
                </c:pt>
                <c:pt idx="83">
                  <c:v>3.12</c:v>
                </c:pt>
                <c:pt idx="84">
                  <c:v>2.5635174197474555</c:v>
                </c:pt>
                <c:pt idx="85">
                  <c:v>2.4121975271182379</c:v>
                </c:pt>
                <c:pt idx="86">
                  <c:v>2.4478694469628266</c:v>
                </c:pt>
                <c:pt idx="87">
                  <c:v>2.3538287438702241</c:v>
                </c:pt>
                <c:pt idx="88">
                  <c:v>2.2756386105040889</c:v>
                </c:pt>
                <c:pt idx="89">
                  <c:v>2.1313320825516087</c:v>
                </c:pt>
                <c:pt idx="90">
                  <c:v>2.0330368487928752</c:v>
                </c:pt>
                <c:pt idx="91">
                  <c:v>2.0620097123646133</c:v>
                </c:pt>
                <c:pt idx="92">
                  <c:v>2.0998356000597767</c:v>
                </c:pt>
                <c:pt idx="93">
                  <c:v>2.2093282749386276</c:v>
                </c:pt>
                <c:pt idx="94">
                  <c:v>2.2579212318625963</c:v>
                </c:pt>
                <c:pt idx="95">
                  <c:v>2.3329641934293193</c:v>
                </c:pt>
                <c:pt idx="96">
                  <c:v>2.69</c:v>
                </c:pt>
                <c:pt idx="97">
                  <c:v>2.71</c:v>
                </c:pt>
                <c:pt idx="98">
                  <c:v>2.79</c:v>
                </c:pt>
                <c:pt idx="99">
                  <c:v>2.84</c:v>
                </c:pt>
                <c:pt idx="100">
                  <c:v>2.89</c:v>
                </c:pt>
                <c:pt idx="101">
                  <c:v>3.05</c:v>
                </c:pt>
              </c:numCache>
            </c:numRef>
          </c:val>
          <c:smooth val="0"/>
          <c:extLst>
            <c:ext xmlns:c16="http://schemas.microsoft.com/office/drawing/2014/chart" uri="{C3380CC4-5D6E-409C-BE32-E72D297353CC}">
              <c16:uniqueId val="{00000000-654D-4E7D-A774-AD09300194BC}"/>
            </c:ext>
          </c:extLst>
        </c:ser>
        <c:ser>
          <c:idx val="1"/>
          <c:order val="1"/>
          <c:spPr>
            <a:ln>
              <a:solidFill>
                <a:schemeClr val="accent3"/>
              </a:solidFill>
            </a:ln>
          </c:spPr>
          <c:marker>
            <c:symbol val="none"/>
          </c:marker>
          <c:dLbls>
            <c:dLbl>
              <c:idx val="101"/>
              <c:layout>
                <c:manualLayout>
                  <c:x val="0"/>
                  <c:y val="-3.9008080245193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4D-4E7D-A774-AD09300194BC}"/>
                </c:ext>
              </c:extLst>
            </c:dLbl>
            <c:numFmt formatCode="#,##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'!$A$44:$A$145</c:f>
              <c:numCache>
                <c:formatCode>mmm\-yy</c:formatCode>
                <c:ptCount val="102"/>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pt idx="90">
                  <c:v>44013</c:v>
                </c:pt>
                <c:pt idx="91">
                  <c:v>44044</c:v>
                </c:pt>
                <c:pt idx="92">
                  <c:v>44075</c:v>
                </c:pt>
                <c:pt idx="93">
                  <c:v>44105</c:v>
                </c:pt>
                <c:pt idx="94">
                  <c:v>44136</c:v>
                </c:pt>
                <c:pt idx="95">
                  <c:v>44166</c:v>
                </c:pt>
                <c:pt idx="96">
                  <c:v>44197</c:v>
                </c:pt>
                <c:pt idx="97">
                  <c:v>44228</c:v>
                </c:pt>
                <c:pt idx="98">
                  <c:v>44256</c:v>
                </c:pt>
                <c:pt idx="99">
                  <c:v>44287</c:v>
                </c:pt>
                <c:pt idx="100">
                  <c:v>44317</c:v>
                </c:pt>
                <c:pt idx="101">
                  <c:v>44348</c:v>
                </c:pt>
              </c:numCache>
            </c:numRef>
          </c:cat>
          <c:val>
            <c:numRef>
              <c:f>'Inflación '!$C$32:$C$145</c:f>
              <c:numCache>
                <c:formatCode>0.00</c:formatCode>
                <c:ptCount val="114"/>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numCache>
            </c:numRef>
          </c:val>
          <c:smooth val="0"/>
          <c:extLst>
            <c:ext xmlns:c16="http://schemas.microsoft.com/office/drawing/2014/chart" uri="{C3380CC4-5D6E-409C-BE32-E72D297353CC}">
              <c16:uniqueId val="{00000002-654D-4E7D-A774-AD09300194BC}"/>
            </c:ext>
          </c:extLst>
        </c:ser>
        <c:ser>
          <c:idx val="2"/>
          <c:order val="2"/>
          <c:spPr>
            <a:ln>
              <a:solidFill>
                <a:schemeClr val="accent1"/>
              </a:solidFill>
            </a:ln>
          </c:spPr>
          <c:marker>
            <c:symbol val="none"/>
          </c:marker>
          <c:dLbls>
            <c:dLbl>
              <c:idx val="10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4D-4E7D-A774-AD09300194BC}"/>
                </c:ext>
              </c:extLst>
            </c:dLbl>
            <c:numFmt formatCode="#,##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'!$A$44:$A$145</c:f>
              <c:numCache>
                <c:formatCode>mmm\-yy</c:formatCode>
                <c:ptCount val="102"/>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pt idx="90">
                  <c:v>44013</c:v>
                </c:pt>
                <c:pt idx="91">
                  <c:v>44044</c:v>
                </c:pt>
                <c:pt idx="92">
                  <c:v>44075</c:v>
                </c:pt>
                <c:pt idx="93">
                  <c:v>44105</c:v>
                </c:pt>
                <c:pt idx="94">
                  <c:v>44136</c:v>
                </c:pt>
                <c:pt idx="95">
                  <c:v>44166</c:v>
                </c:pt>
                <c:pt idx="96">
                  <c:v>44197</c:v>
                </c:pt>
                <c:pt idx="97">
                  <c:v>44228</c:v>
                </c:pt>
                <c:pt idx="98">
                  <c:v>44256</c:v>
                </c:pt>
                <c:pt idx="99">
                  <c:v>44287</c:v>
                </c:pt>
                <c:pt idx="100">
                  <c:v>44317</c:v>
                </c:pt>
                <c:pt idx="101">
                  <c:v>44348</c:v>
                </c:pt>
              </c:numCache>
            </c:numRef>
          </c:cat>
          <c:val>
            <c:numRef>
              <c:f>'Inflación '!$D$44:$D$145</c:f>
              <c:numCache>
                <c:formatCode>0.00</c:formatCode>
                <c:ptCount val="102"/>
                <c:pt idx="0">
                  <c:v>3.86</c:v>
                </c:pt>
                <c:pt idx="1">
                  <c:v>4.18</c:v>
                </c:pt>
                <c:pt idx="2">
                  <c:v>4.34</c:v>
                </c:pt>
                <c:pt idx="3">
                  <c:v>4.13</c:v>
                </c:pt>
                <c:pt idx="4">
                  <c:v>4.2699999999999996</c:v>
                </c:pt>
                <c:pt idx="5">
                  <c:v>4.79</c:v>
                </c:pt>
                <c:pt idx="6">
                  <c:v>4.74</c:v>
                </c:pt>
                <c:pt idx="7">
                  <c:v>4.42</c:v>
                </c:pt>
                <c:pt idx="8">
                  <c:v>4.21</c:v>
                </c:pt>
                <c:pt idx="9">
                  <c:v>4.1500000000000004</c:v>
                </c:pt>
                <c:pt idx="10">
                  <c:v>4.63</c:v>
                </c:pt>
                <c:pt idx="11">
                  <c:v>4.3899999999999997</c:v>
                </c:pt>
                <c:pt idx="12">
                  <c:v>4.1399999999999997</c:v>
                </c:pt>
                <c:pt idx="13">
                  <c:v>3.5</c:v>
                </c:pt>
                <c:pt idx="14">
                  <c:v>3.25</c:v>
                </c:pt>
                <c:pt idx="15">
                  <c:v>3.27</c:v>
                </c:pt>
                <c:pt idx="16">
                  <c:v>3.22</c:v>
                </c:pt>
                <c:pt idx="17">
                  <c:v>3.13</c:v>
                </c:pt>
                <c:pt idx="18">
                  <c:v>3.41</c:v>
                </c:pt>
                <c:pt idx="19">
                  <c:v>3.7</c:v>
                </c:pt>
                <c:pt idx="20">
                  <c:v>3.45</c:v>
                </c:pt>
                <c:pt idx="21">
                  <c:v>3.64</c:v>
                </c:pt>
                <c:pt idx="22">
                  <c:v>3.38</c:v>
                </c:pt>
                <c:pt idx="23">
                  <c:v>2.95</c:v>
                </c:pt>
                <c:pt idx="24">
                  <c:v>2.3199999999999998</c:v>
                </c:pt>
                <c:pt idx="25">
                  <c:v>2.44</c:v>
                </c:pt>
                <c:pt idx="26">
                  <c:v>2.4300000000000002</c:v>
                </c:pt>
                <c:pt idx="27">
                  <c:v>2.58</c:v>
                </c:pt>
                <c:pt idx="28">
                  <c:v>2.5499999999999998</c:v>
                </c:pt>
                <c:pt idx="29">
                  <c:v>2.39</c:v>
                </c:pt>
                <c:pt idx="30">
                  <c:v>2.3199999999999998</c:v>
                </c:pt>
                <c:pt idx="31">
                  <c:v>1.96</c:v>
                </c:pt>
                <c:pt idx="32">
                  <c:v>1.88</c:v>
                </c:pt>
                <c:pt idx="33">
                  <c:v>2.23</c:v>
                </c:pt>
                <c:pt idx="34">
                  <c:v>2.5099999999999998</c:v>
                </c:pt>
                <c:pt idx="35">
                  <c:v>3.07</c:v>
                </c:pt>
                <c:pt idx="36">
                  <c:v>4.38</c:v>
                </c:pt>
                <c:pt idx="37">
                  <c:v>4.2699999999999996</c:v>
                </c:pt>
                <c:pt idx="38">
                  <c:v>4.26</c:v>
                </c:pt>
                <c:pt idx="39">
                  <c:v>4.09</c:v>
                </c:pt>
                <c:pt idx="40">
                  <c:v>4.3600000000000003</c:v>
                </c:pt>
                <c:pt idx="41">
                  <c:v>4.43</c:v>
                </c:pt>
                <c:pt idx="42">
                  <c:v>4.62</c:v>
                </c:pt>
                <c:pt idx="43">
                  <c:v>4.74</c:v>
                </c:pt>
                <c:pt idx="44">
                  <c:v>4.5599999999999996</c:v>
                </c:pt>
                <c:pt idx="45">
                  <c:v>4.76</c:v>
                </c:pt>
                <c:pt idx="46">
                  <c:v>4.67</c:v>
                </c:pt>
                <c:pt idx="47">
                  <c:v>4.2300000000000004</c:v>
                </c:pt>
                <c:pt idx="48">
                  <c:v>3.83</c:v>
                </c:pt>
                <c:pt idx="49">
                  <c:v>3.96</c:v>
                </c:pt>
                <c:pt idx="50">
                  <c:v>4</c:v>
                </c:pt>
                <c:pt idx="51">
                  <c:v>4.09</c:v>
                </c:pt>
                <c:pt idx="52">
                  <c:v>3.93</c:v>
                </c:pt>
                <c:pt idx="53">
                  <c:v>4.3600000000000003</c:v>
                </c:pt>
                <c:pt idx="54">
                  <c:v>5.22</c:v>
                </c:pt>
                <c:pt idx="55">
                  <c:v>4.72</c:v>
                </c:pt>
                <c:pt idx="56">
                  <c:v>4.3600000000000003</c:v>
                </c:pt>
                <c:pt idx="57">
                  <c:v>4.2</c:v>
                </c:pt>
                <c:pt idx="58">
                  <c:v>4.6900000000000004</c:v>
                </c:pt>
                <c:pt idx="59">
                  <c:v>5.68</c:v>
                </c:pt>
                <c:pt idx="60">
                  <c:v>4.71</c:v>
                </c:pt>
                <c:pt idx="61">
                  <c:v>4.1500000000000004</c:v>
                </c:pt>
                <c:pt idx="62">
                  <c:v>4.1399999999999997</c:v>
                </c:pt>
                <c:pt idx="63">
                  <c:v>3.92</c:v>
                </c:pt>
                <c:pt idx="64">
                  <c:v>4.09</c:v>
                </c:pt>
                <c:pt idx="65">
                  <c:v>3.79</c:v>
                </c:pt>
                <c:pt idx="66">
                  <c:v>2.61</c:v>
                </c:pt>
                <c:pt idx="67">
                  <c:v>3.36</c:v>
                </c:pt>
                <c:pt idx="68">
                  <c:v>4.55</c:v>
                </c:pt>
                <c:pt idx="69">
                  <c:v>4.34</c:v>
                </c:pt>
                <c:pt idx="70">
                  <c:v>3.15</c:v>
                </c:pt>
                <c:pt idx="71">
                  <c:v>2.31</c:v>
                </c:pt>
                <c:pt idx="72">
                  <c:v>4.0999999999999996</c:v>
                </c:pt>
                <c:pt idx="73">
                  <c:v>4.28</c:v>
                </c:pt>
                <c:pt idx="74">
                  <c:v>4.24</c:v>
                </c:pt>
                <c:pt idx="75">
                  <c:v>4.37</c:v>
                </c:pt>
                <c:pt idx="76">
                  <c:v>4.41</c:v>
                </c:pt>
                <c:pt idx="77">
                  <c:v>4.47</c:v>
                </c:pt>
                <c:pt idx="78">
                  <c:v>4.46</c:v>
                </c:pt>
                <c:pt idx="79">
                  <c:v>4.2699999999999996</c:v>
                </c:pt>
                <c:pt idx="80">
                  <c:v>3.99</c:v>
                </c:pt>
                <c:pt idx="81">
                  <c:v>3.81</c:v>
                </c:pt>
                <c:pt idx="82">
                  <c:v>3.73</c:v>
                </c:pt>
                <c:pt idx="83">
                  <c:v>3.7</c:v>
                </c:pt>
                <c:pt idx="84">
                  <c:v>1.78</c:v>
                </c:pt>
                <c:pt idx="85">
                  <c:v>1.51</c:v>
                </c:pt>
                <c:pt idx="86">
                  <c:v>1.6</c:v>
                </c:pt>
                <c:pt idx="87">
                  <c:v>1.67</c:v>
                </c:pt>
                <c:pt idx="88">
                  <c:v>1.69</c:v>
                </c:pt>
                <c:pt idx="89">
                  <c:v>1.81</c:v>
                </c:pt>
                <c:pt idx="90">
                  <c:v>1.97</c:v>
                </c:pt>
                <c:pt idx="91">
                  <c:v>2.2400000000000002</c:v>
                </c:pt>
                <c:pt idx="92">
                  <c:v>2.54</c:v>
                </c:pt>
                <c:pt idx="93">
                  <c:v>2.83</c:v>
                </c:pt>
                <c:pt idx="94">
                  <c:v>3.07</c:v>
                </c:pt>
                <c:pt idx="95">
                  <c:v>3.21</c:v>
                </c:pt>
                <c:pt idx="96">
                  <c:v>5.24</c:v>
                </c:pt>
                <c:pt idx="97">
                  <c:v>5.62</c:v>
                </c:pt>
                <c:pt idx="98">
                  <c:v>5.69</c:v>
                </c:pt>
                <c:pt idx="99">
                  <c:v>5.57</c:v>
                </c:pt>
                <c:pt idx="100">
                  <c:v>5.49</c:v>
                </c:pt>
                <c:pt idx="101">
                  <c:v>5.22</c:v>
                </c:pt>
              </c:numCache>
            </c:numRef>
          </c:val>
          <c:smooth val="0"/>
          <c:extLst>
            <c:ext xmlns:c16="http://schemas.microsoft.com/office/drawing/2014/chart" uri="{C3380CC4-5D6E-409C-BE32-E72D297353CC}">
              <c16:uniqueId val="{00000004-654D-4E7D-A774-AD09300194BC}"/>
            </c:ext>
          </c:extLst>
        </c:ser>
        <c:ser>
          <c:idx val="3"/>
          <c:order val="3"/>
          <c:marker>
            <c:symbol val="none"/>
          </c:marker>
          <c:cat>
            <c:numRef>
              <c:f>'Inflación '!$A$44:$A$145</c:f>
              <c:numCache>
                <c:formatCode>mmm\-yy</c:formatCode>
                <c:ptCount val="102"/>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pt idx="90">
                  <c:v>44013</c:v>
                </c:pt>
                <c:pt idx="91">
                  <c:v>44044</c:v>
                </c:pt>
                <c:pt idx="92">
                  <c:v>44075</c:v>
                </c:pt>
                <c:pt idx="93">
                  <c:v>44105</c:v>
                </c:pt>
                <c:pt idx="94">
                  <c:v>44136</c:v>
                </c:pt>
                <c:pt idx="95">
                  <c:v>44166</c:v>
                </c:pt>
                <c:pt idx="96">
                  <c:v>44197</c:v>
                </c:pt>
                <c:pt idx="97">
                  <c:v>44228</c:v>
                </c:pt>
                <c:pt idx="98">
                  <c:v>44256</c:v>
                </c:pt>
                <c:pt idx="99">
                  <c:v>44287</c:v>
                </c:pt>
                <c:pt idx="100">
                  <c:v>44317</c:v>
                </c:pt>
                <c:pt idx="101">
                  <c:v>44348</c:v>
                </c:pt>
              </c:numCache>
            </c:numRef>
          </c:cat>
          <c:val>
            <c:numRef>
              <c:f>'Inflación '!$E$32:$E$145</c:f>
              <c:numCache>
                <c:formatCode>0.00</c:formatCode>
                <c:ptCount val="114"/>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numCache>
            </c:numRef>
          </c:val>
          <c:smooth val="0"/>
          <c:extLst>
            <c:ext xmlns:c16="http://schemas.microsoft.com/office/drawing/2014/chart" uri="{C3380CC4-5D6E-409C-BE32-E72D297353CC}">
              <c16:uniqueId val="{00000005-654D-4E7D-A774-AD09300194BC}"/>
            </c:ext>
          </c:extLst>
        </c:ser>
        <c:dLbls>
          <c:showLegendKey val="0"/>
          <c:showVal val="0"/>
          <c:showCatName val="0"/>
          <c:showSerName val="0"/>
          <c:showPercent val="0"/>
          <c:showBubbleSize val="0"/>
        </c:dLbls>
        <c:smooth val="0"/>
        <c:axId val="453234048"/>
        <c:axId val="453301376"/>
      </c:lineChart>
      <c:dateAx>
        <c:axId val="453234048"/>
        <c:scaling>
          <c:orientation val="minMax"/>
        </c:scaling>
        <c:delete val="0"/>
        <c:axPos val="b"/>
        <c:numFmt formatCode="mmm\-yy" sourceLinked="1"/>
        <c:majorTickMark val="out"/>
        <c:minorTickMark val="none"/>
        <c:tickLblPos val="nextTo"/>
        <c:crossAx val="453301376"/>
        <c:crosses val="autoZero"/>
        <c:auto val="1"/>
        <c:lblOffset val="100"/>
        <c:baseTimeUnit val="months"/>
      </c:dateAx>
      <c:valAx>
        <c:axId val="453301376"/>
        <c:scaling>
          <c:orientation val="minMax"/>
        </c:scaling>
        <c:delete val="0"/>
        <c:axPos val="l"/>
        <c:majorGridlines/>
        <c:numFmt formatCode="0.00" sourceLinked="1"/>
        <c:majorTickMark val="out"/>
        <c:minorTickMark val="none"/>
        <c:tickLblPos val="nextTo"/>
        <c:crossAx val="453234048"/>
        <c:crosses val="autoZero"/>
        <c:crossBetween val="between"/>
      </c:valAx>
    </c:plotArea>
    <c:plotVisOnly val="1"/>
    <c:dispBlanksAs val="gap"/>
    <c:showDLblsOverMax val="0"/>
  </c:chart>
  <c:spPr>
    <a:ln>
      <a:no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07900707326839"/>
          <c:y val="3.082080649009783E-2"/>
          <c:w val="0.80987196939365635"/>
          <c:h val="0.74569348591085383"/>
        </c:manualLayout>
      </c:layout>
      <c:lineChart>
        <c:grouping val="standard"/>
        <c:varyColors val="0"/>
        <c:ser>
          <c:idx val="0"/>
          <c:order val="0"/>
          <c:tx>
            <c:strRef>
              <c:f>Hoja1!$B$1</c:f>
              <c:strCache>
                <c:ptCount val="1"/>
                <c:pt idx="0">
                  <c:v>Iva imp</c:v>
                </c:pt>
              </c:strCache>
            </c:strRef>
          </c:tx>
          <c:spPr>
            <a:ln>
              <a:solidFill>
                <a:srgbClr val="FF0000"/>
              </a:solidFill>
            </a:ln>
          </c:spPr>
          <c:marker>
            <c:symbol val="circle"/>
            <c:size val="7"/>
            <c:spPr>
              <a:solidFill>
                <a:schemeClr val="bg1"/>
              </a:solidFill>
              <a:ln>
                <a:solidFill>
                  <a:srgbClr val="FF0000"/>
                </a:solidFill>
              </a:ln>
            </c:spPr>
          </c:marker>
          <c:dLbls>
            <c:dLbl>
              <c:idx val="0"/>
              <c:layout>
                <c:manualLayout>
                  <c:x val="-5.651496952711212E-4"/>
                  <c:y val="-2.1533842360614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BE-45D0-8252-6FE814E709BA}"/>
                </c:ext>
              </c:extLst>
            </c:dLbl>
            <c:dLbl>
              <c:idx val="1"/>
              <c:layout>
                <c:manualLayout>
                  <c:x val="-9.0960629921259847E-2"/>
                  <c:y val="7.56315119700946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BE-45D0-8252-6FE814E709BA}"/>
                </c:ext>
              </c:extLst>
            </c:dLbl>
            <c:dLbl>
              <c:idx val="2"/>
              <c:layout>
                <c:manualLayout>
                  <c:x val="-0.11355949997775702"/>
                  <c:y val="-6.07321243935417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BE-45D0-8252-6FE814E709BA}"/>
                </c:ext>
              </c:extLst>
            </c:dLbl>
            <c:dLbl>
              <c:idx val="3"/>
              <c:layout>
                <c:manualLayout>
                  <c:x val="-0.14067814404555362"/>
                  <c:y val="-6.57826294440467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BE-45D0-8252-6FE814E709BA}"/>
                </c:ext>
              </c:extLst>
            </c:dLbl>
            <c:dLbl>
              <c:idx val="4"/>
              <c:layout>
                <c:manualLayout>
                  <c:x val="-6.553672316384189E-2"/>
                  <c:y val="-8.38383838383838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BE-45D0-8252-6FE814E709BA}"/>
                </c:ext>
              </c:extLst>
            </c:dLbl>
            <c:dLbl>
              <c:idx val="5"/>
              <c:layout>
                <c:manualLayout>
                  <c:x val="-1.8644245740468881E-2"/>
                  <c:y val="-8.59846496460669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BE-45D0-8252-6FE814E709BA}"/>
                </c:ext>
              </c:extLst>
            </c:dLbl>
            <c:dLbl>
              <c:idx val="6"/>
              <c:layout>
                <c:manualLayout>
                  <c:x val="-5.4802437830864359E-2"/>
                  <c:y val="-6.07321243935417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BE-45D0-8252-6FE814E709BA}"/>
                </c:ext>
              </c:extLst>
            </c:dLbl>
            <c:dLbl>
              <c:idx val="7"/>
              <c:layout>
                <c:manualLayout>
                  <c:x val="-0.22824858757062147"/>
                  <c:y val="-4.3434343434343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BE-45D0-8252-6FE814E709BA}"/>
                </c:ext>
              </c:extLst>
            </c:dLbl>
            <c:dLbl>
              <c:idx val="8"/>
              <c:layout>
                <c:manualLayout>
                  <c:x val="-0.21016949152542372"/>
                  <c:y val="-3.83838383838383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BE-45D0-8252-6FE814E709BA}"/>
                </c:ext>
              </c:extLst>
            </c:dLbl>
            <c:dLbl>
              <c:idx val="9"/>
              <c:layout>
                <c:manualLayout>
                  <c:x val="-0.11525423728813568"/>
                  <c:y val="-0.2252525252525252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ABE-45D0-8252-6FE814E709BA}"/>
                </c:ext>
              </c:extLst>
            </c:dLbl>
            <c:dLbl>
              <c:idx val="10"/>
              <c:layout>
                <c:manualLayout>
                  <c:x val="-9.2655367231638502E-2"/>
                  <c:y val="-0.124242424242424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ABE-45D0-8252-6FE814E709BA}"/>
                </c:ext>
              </c:extLst>
            </c:dLbl>
            <c:dLbl>
              <c:idx val="11"/>
              <c:layout>
                <c:manualLayout>
                  <c:x val="-8.3615819209039544E-2"/>
                  <c:y val="-9.8989898989899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ABE-45D0-8252-6FE814E709BA}"/>
                </c:ext>
              </c:extLst>
            </c:dLbl>
            <c:dLbl>
              <c:idx val="12"/>
              <c:layout>
                <c:manualLayout>
                  <c:x val="-9.1291605498465239E-2"/>
                  <c:y val="6.76767676767676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ABE-45D0-8252-6FE814E709BA}"/>
                </c:ext>
              </c:extLst>
            </c:dLbl>
            <c:dLbl>
              <c:idx val="13"/>
              <c:layout>
                <c:manualLayout>
                  <c:x val="-4.7470439076471374E-2"/>
                  <c:y val="-7.08331344945518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ABE-45D0-8252-6FE814E709BA}"/>
                </c:ext>
              </c:extLst>
            </c:dLbl>
            <c:spPr>
              <a:noFill/>
              <a:ln>
                <a:noFill/>
              </a:ln>
              <a:effectLst/>
            </c:spPr>
            <c:txPr>
              <a:bodyPr wrap="square" lIns="38100" tIns="19050" rIns="38100" bIns="19050" anchor="ctr">
                <a:spAutoFit/>
              </a:bodyPr>
              <a:lstStyle/>
              <a:p>
                <a:pPr>
                  <a:defRPr sz="7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rgbClr val="FF0000"/>
                      </a:solidFill>
                      <a:prstDash val="sysDot"/>
                    </a:ln>
                  </c:spPr>
                </c15:leaderLines>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Hoja1!$B$2:$B$15</c:f>
              <c:numCache>
                <c:formatCode>0.0%</c:formatCode>
                <c:ptCount val="14"/>
                <c:pt idx="0">
                  <c:v>0.14573228138612848</c:v>
                </c:pt>
                <c:pt idx="1">
                  <c:v>0.11060976593877145</c:v>
                </c:pt>
                <c:pt idx="2">
                  <c:v>0.12095586566956355</c:v>
                </c:pt>
                <c:pt idx="3">
                  <c:v>0.12973056500714783</c:v>
                </c:pt>
                <c:pt idx="4">
                  <c:v>0.13219009917259289</c:v>
                </c:pt>
                <c:pt idx="5">
                  <c:v>0.12320606858314244</c:v>
                </c:pt>
                <c:pt idx="6">
                  <c:v>0.11832884607949375</c:v>
                </c:pt>
                <c:pt idx="7">
                  <c:v>0.10659817116561249</c:v>
                </c:pt>
                <c:pt idx="8">
                  <c:v>9.9009401908924488E-2</c:v>
                </c:pt>
                <c:pt idx="9">
                  <c:v>9.8139634724317262E-2</c:v>
                </c:pt>
                <c:pt idx="10">
                  <c:v>0.10352597059578171</c:v>
                </c:pt>
                <c:pt idx="11">
                  <c:v>0.10222281967066639</c:v>
                </c:pt>
                <c:pt idx="12">
                  <c:v>8.9288096602961581E-2</c:v>
                </c:pt>
                <c:pt idx="13">
                  <c:v>0.11683983835945216</c:v>
                </c:pt>
              </c:numCache>
            </c:numRef>
          </c:val>
          <c:smooth val="1"/>
          <c:extLst>
            <c:ext xmlns:c16="http://schemas.microsoft.com/office/drawing/2014/chart" uri="{C3380CC4-5D6E-409C-BE32-E72D297353CC}">
              <c16:uniqueId val="{0000000E-8ABE-45D0-8252-6FE814E709BA}"/>
            </c:ext>
          </c:extLst>
        </c:ser>
        <c:ser>
          <c:idx val="1"/>
          <c:order val="1"/>
          <c:tx>
            <c:strRef>
              <c:f>Hoja1!$C$1</c:f>
              <c:strCache>
                <c:ptCount val="1"/>
                <c:pt idx="0">
                  <c:v>IVA dom</c:v>
                </c:pt>
              </c:strCache>
            </c:strRef>
          </c:tx>
          <c:spPr>
            <a:ln>
              <a:solidFill>
                <a:srgbClr val="0070C0"/>
              </a:solidFill>
            </a:ln>
          </c:spPr>
          <c:marker>
            <c:symbol val="circle"/>
            <c:size val="7"/>
            <c:spPr>
              <a:solidFill>
                <a:schemeClr val="bg1"/>
              </a:solidFill>
              <a:ln>
                <a:solidFill>
                  <a:srgbClr val="0070C0"/>
                </a:solidFill>
              </a:ln>
            </c:spPr>
          </c:marker>
          <c:dLbls>
            <c:dLbl>
              <c:idx val="1"/>
              <c:layout>
                <c:manualLayout>
                  <c:x val="-9.2655367231638419E-2"/>
                  <c:y val="-4.24242424242424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ABE-45D0-8252-6FE814E709BA}"/>
                </c:ext>
              </c:extLst>
            </c:dLbl>
            <c:dLbl>
              <c:idx val="3"/>
              <c:layout>
                <c:manualLayout>
                  <c:x val="-9.2655367231638419E-2"/>
                  <c:y val="-4.2424242424242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ABE-45D0-8252-6FE814E709BA}"/>
                </c:ext>
              </c:extLst>
            </c:dLbl>
            <c:dLbl>
              <c:idx val="5"/>
              <c:layout>
                <c:manualLayout>
                  <c:x val="-0.1107344632768362"/>
                  <c:y val="-5.7575757575757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ABE-45D0-8252-6FE814E709BA}"/>
                </c:ext>
              </c:extLst>
            </c:dLbl>
            <c:dLbl>
              <c:idx val="7"/>
              <c:layout>
                <c:manualLayout>
                  <c:x val="-4.7457627118644069E-2"/>
                  <c:y val="0.1040404040404039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ABE-45D0-8252-6FE814E709BA}"/>
                </c:ext>
              </c:extLst>
            </c:dLbl>
            <c:dLbl>
              <c:idx val="8"/>
              <c:layout>
                <c:manualLayout>
                  <c:x val="-6.0452155344988656E-2"/>
                  <c:y val="6.07325220711046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ABE-45D0-8252-6FE814E709BA}"/>
                </c:ext>
              </c:extLst>
            </c:dLbl>
            <c:dLbl>
              <c:idx val="9"/>
              <c:layout>
                <c:manualLayout>
                  <c:x val="-7.4576271186440682E-2"/>
                  <c:y val="0.215151515151515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ABE-45D0-8252-6FE814E709BA}"/>
                </c:ext>
              </c:extLst>
            </c:dLbl>
            <c:dLbl>
              <c:idx val="11"/>
              <c:layout>
                <c:manualLayout>
                  <c:x val="-8.3615819209039627E-2"/>
                  <c:y val="0.1040404040404039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ABE-45D0-8252-6FE814E709BA}"/>
                </c:ext>
              </c:extLst>
            </c:dLbl>
            <c:dLbl>
              <c:idx val="12"/>
              <c:layout>
                <c:manualLayout>
                  <c:x val="-3.3898305084745763E-2"/>
                  <c:y val="8.3838383838383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ABE-45D0-8252-6FE814E709BA}"/>
                </c:ext>
              </c:extLst>
            </c:dLbl>
            <c:dLbl>
              <c:idx val="13"/>
              <c:layout>
                <c:manualLayout>
                  <c:x val="-1.805418390497798E-3"/>
                  <c:y val="8.38383838383838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ABE-45D0-8252-6FE814E709BA}"/>
                </c:ext>
              </c:extLst>
            </c:dLbl>
            <c:spPr>
              <a:noFill/>
              <a:ln>
                <a:noFill/>
              </a:ln>
              <a:effectLst/>
            </c:spPr>
            <c:txPr>
              <a:bodyPr wrap="square" lIns="38100" tIns="19050" rIns="38100" bIns="19050" anchor="ctr">
                <a:spAutoFit/>
              </a:bodyPr>
              <a:lstStyle/>
              <a:p>
                <a:pPr>
                  <a:defRPr sz="7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rgbClr val="0070C0"/>
                      </a:solidFill>
                      <a:prstDash val="sysDash"/>
                    </a:ln>
                  </c:spPr>
                </c15:leaderLines>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Hoja1!$C$2:$C$15</c:f>
              <c:numCache>
                <c:formatCode>0.0%</c:formatCode>
                <c:ptCount val="14"/>
                <c:pt idx="0">
                  <c:v>7.8737244067672782E-2</c:v>
                </c:pt>
                <c:pt idx="1">
                  <c:v>8.2872842965121998E-2</c:v>
                </c:pt>
                <c:pt idx="2">
                  <c:v>8.0967072365876788E-2</c:v>
                </c:pt>
                <c:pt idx="3">
                  <c:v>8.6527866413379742E-2</c:v>
                </c:pt>
                <c:pt idx="4">
                  <c:v>8.6823747009817487E-2</c:v>
                </c:pt>
                <c:pt idx="5">
                  <c:v>9.2066502500304542E-2</c:v>
                </c:pt>
                <c:pt idx="6">
                  <c:v>9.2550524513894769E-2</c:v>
                </c:pt>
                <c:pt idx="7">
                  <c:v>9.5091006376150325E-2</c:v>
                </c:pt>
                <c:pt idx="8">
                  <c:v>9.8008161143864306E-2</c:v>
                </c:pt>
                <c:pt idx="9">
                  <c:v>0.10362229730356032</c:v>
                </c:pt>
                <c:pt idx="10">
                  <c:v>0.10082211101103397</c:v>
                </c:pt>
                <c:pt idx="11">
                  <c:v>9.8273446690980315E-2</c:v>
                </c:pt>
                <c:pt idx="12">
                  <c:v>9.6711773829675468E-2</c:v>
                </c:pt>
                <c:pt idx="13">
                  <c:v>0.10742410856073759</c:v>
                </c:pt>
              </c:numCache>
            </c:numRef>
          </c:val>
          <c:smooth val="0"/>
          <c:extLst>
            <c:ext xmlns:c16="http://schemas.microsoft.com/office/drawing/2014/chart" uri="{C3380CC4-5D6E-409C-BE32-E72D297353CC}">
              <c16:uniqueId val="{00000018-8ABE-45D0-8252-6FE814E709BA}"/>
            </c:ext>
          </c:extLst>
        </c:ser>
        <c:dLbls>
          <c:showLegendKey val="0"/>
          <c:showVal val="0"/>
          <c:showCatName val="0"/>
          <c:showSerName val="0"/>
          <c:showPercent val="0"/>
          <c:showBubbleSize val="0"/>
        </c:dLbls>
        <c:marker val="1"/>
        <c:smooth val="0"/>
        <c:axId val="497185536"/>
        <c:axId val="497187072"/>
      </c:lineChart>
      <c:catAx>
        <c:axId val="497185536"/>
        <c:scaling>
          <c:orientation val="minMax"/>
        </c:scaling>
        <c:delete val="0"/>
        <c:axPos val="b"/>
        <c:numFmt formatCode="General" sourceLinked="1"/>
        <c:majorTickMark val="out"/>
        <c:minorTickMark val="none"/>
        <c:tickLblPos val="nextTo"/>
        <c:txPr>
          <a:bodyPr rot="-5400000" vert="horz"/>
          <a:lstStyle/>
          <a:p>
            <a:pPr>
              <a:defRPr sz="800"/>
            </a:pPr>
            <a:endParaRPr lang="es-GT"/>
          </a:p>
        </c:txPr>
        <c:crossAx val="497187072"/>
        <c:crosses val="autoZero"/>
        <c:auto val="1"/>
        <c:lblAlgn val="ctr"/>
        <c:lblOffset val="100"/>
        <c:noMultiLvlLbl val="0"/>
      </c:catAx>
      <c:valAx>
        <c:axId val="497187072"/>
        <c:scaling>
          <c:orientation val="minMax"/>
          <c:min val="7.0000000000000007E-2"/>
        </c:scaling>
        <c:delete val="0"/>
        <c:axPos val="l"/>
        <c:numFmt formatCode="0%" sourceLinked="0"/>
        <c:majorTickMark val="out"/>
        <c:minorTickMark val="none"/>
        <c:tickLblPos val="nextTo"/>
        <c:crossAx val="497185536"/>
        <c:crosses val="autoZero"/>
        <c:crossBetween val="between"/>
      </c:valAx>
    </c:plotArea>
    <c:legend>
      <c:legendPos val="b"/>
      <c:layout>
        <c:manualLayout>
          <c:xMode val="edge"/>
          <c:yMode val="edge"/>
          <c:x val="0.18303732372436499"/>
          <c:y val="0.92947387258410885"/>
          <c:w val="0.65507789492415147"/>
          <c:h val="7.052612741589119E-2"/>
        </c:manualLayout>
      </c:layout>
      <c:overlay val="0"/>
      <c:txPr>
        <a:bodyPr/>
        <a:lstStyle/>
        <a:p>
          <a:pPr>
            <a:defRPr b="1"/>
          </a:pPr>
          <a:endParaRPr lang="es-GT"/>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Serie 1</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CA2D-444E-8422-13FAB3CCC16C}"/>
              </c:ext>
            </c:extLst>
          </c:dPt>
          <c:dPt>
            <c:idx val="1"/>
            <c:invertIfNegative val="0"/>
            <c:bubble3D val="0"/>
            <c:spPr>
              <a:solidFill>
                <a:srgbClr val="FF0000"/>
              </a:solidFill>
              <a:ln>
                <a:noFill/>
              </a:ln>
              <a:effectLst/>
            </c:spPr>
            <c:extLst>
              <c:ext xmlns:c16="http://schemas.microsoft.com/office/drawing/2014/chart" uri="{C3380CC4-5D6E-409C-BE32-E72D297353CC}">
                <c16:uniqueId val="{00000003-CA2D-444E-8422-13FAB3CCC16C}"/>
              </c:ext>
            </c:extLst>
          </c:dPt>
          <c:dPt>
            <c:idx val="2"/>
            <c:invertIfNegative val="0"/>
            <c:bubble3D val="0"/>
            <c:spPr>
              <a:solidFill>
                <a:srgbClr val="FF0000"/>
              </a:solidFill>
              <a:ln>
                <a:noFill/>
              </a:ln>
              <a:effectLst/>
            </c:spPr>
            <c:extLst>
              <c:ext xmlns:c16="http://schemas.microsoft.com/office/drawing/2014/chart" uri="{C3380CC4-5D6E-409C-BE32-E72D297353CC}">
                <c16:uniqueId val="{00000005-CA2D-444E-8422-13FAB3CCC16C}"/>
              </c:ext>
            </c:extLst>
          </c:dPt>
          <c:dLbls>
            <c:dLbl>
              <c:idx val="7"/>
              <c:layout>
                <c:manualLayout>
                  <c:x val="2.254791431792559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A2D-444E-8422-13FAB3CCC16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Hoja1!$A$2:$A$18</c:f>
              <c:strCache>
                <c:ptCount val="17"/>
                <c:pt idx="0">
                  <c:v>Transporte, Almacenamiento y Comunicaciones</c:v>
                </c:pt>
                <c:pt idx="1">
                  <c:v>Organizaciones y Órganos Extraterritoriales</c:v>
                </c:pt>
                <c:pt idx="2">
                  <c:v>Suministro de Electricidad, Gas y Agua</c:v>
                </c:pt>
                <c:pt idx="3">
                  <c:v>Hoteles y Restaurantes</c:v>
                </c:pt>
                <c:pt idx="4">
                  <c:v>Administración Publica y Defensa; Planes de Seguridad Social</c:v>
                </c:pt>
                <c:pt idx="5">
                  <c:v>Construcción</c:v>
                </c:pt>
                <c:pt idx="6">
                  <c:v>Intermediación Financiera</c:v>
                </c:pt>
                <c:pt idx="7">
                  <c:v>Industrias</c:v>
                </c:pt>
                <c:pt idx="8">
                  <c:v>Enseñanza</c:v>
                </c:pt>
                <c:pt idx="9">
                  <c:v>Comercio al por Mayor y Menor</c:v>
                </c:pt>
                <c:pt idx="10">
                  <c:v>Servicios Sociales y de Salud</c:v>
                </c:pt>
                <c:pt idx="11">
                  <c:v>Actividades Inmobiliarias, Empresariales y de Alquiler</c:v>
                </c:pt>
                <c:pt idx="12">
                  <c:v>Empleados en Relación de Dependencia, Estudiantes y Jubilados</c:v>
                </c:pt>
                <c:pt idx="13">
                  <c:v>Agricultura, Ganadería, Caza y Silvicultura</c:v>
                </c:pt>
                <c:pt idx="14">
                  <c:v>Otras Actividades</c:v>
                </c:pt>
                <c:pt idx="15">
                  <c:v>Explotación de Minas y Canteras</c:v>
                </c:pt>
                <c:pt idx="16">
                  <c:v>Otras Actividades de Servicios Comunitarios, Sociales y Profesionales</c:v>
                </c:pt>
              </c:strCache>
            </c:strRef>
          </c:cat>
          <c:val>
            <c:numRef>
              <c:f>Hoja1!$B$2:$B$18</c:f>
              <c:numCache>
                <c:formatCode>0%</c:formatCode>
                <c:ptCount val="17"/>
                <c:pt idx="0">
                  <c:v>-0.30878616897214561</c:v>
                </c:pt>
                <c:pt idx="1">
                  <c:v>-0.18602645459325884</c:v>
                </c:pt>
                <c:pt idx="2">
                  <c:v>-5.2072198399791714E-2</c:v>
                </c:pt>
                <c:pt idx="3">
                  <c:v>-5.0048325650287051E-4</c:v>
                </c:pt>
                <c:pt idx="4">
                  <c:v>6.8623259044680696E-2</c:v>
                </c:pt>
                <c:pt idx="5">
                  <c:v>6.9305691585000773E-2</c:v>
                </c:pt>
                <c:pt idx="6">
                  <c:v>7.4289612868865262E-2</c:v>
                </c:pt>
                <c:pt idx="7">
                  <c:v>0.19807115452260993</c:v>
                </c:pt>
                <c:pt idx="8">
                  <c:v>0.20077342694276701</c:v>
                </c:pt>
                <c:pt idx="9">
                  <c:v>0.28584219023942281</c:v>
                </c:pt>
                <c:pt idx="10">
                  <c:v>0.35779819389127843</c:v>
                </c:pt>
                <c:pt idx="11">
                  <c:v>0.4094306569942685</c:v>
                </c:pt>
                <c:pt idx="12">
                  <c:v>0.45653322525575946</c:v>
                </c:pt>
                <c:pt idx="13">
                  <c:v>0.76923319208580643</c:v>
                </c:pt>
                <c:pt idx="14">
                  <c:v>1.0333712354239326</c:v>
                </c:pt>
                <c:pt idx="15">
                  <c:v>1.2327517640046732</c:v>
                </c:pt>
                <c:pt idx="16">
                  <c:v>1.3057403503973677</c:v>
                </c:pt>
              </c:numCache>
            </c:numRef>
          </c:val>
          <c:extLst>
            <c:ext xmlns:c16="http://schemas.microsoft.com/office/drawing/2014/chart" uri="{C3380CC4-5D6E-409C-BE32-E72D297353CC}">
              <c16:uniqueId val="{00000007-CA2D-444E-8422-13FAB3CCC16C}"/>
            </c:ext>
          </c:extLst>
        </c:ser>
        <c:dLbls>
          <c:showLegendKey val="0"/>
          <c:showVal val="0"/>
          <c:showCatName val="0"/>
          <c:showSerName val="0"/>
          <c:showPercent val="0"/>
          <c:showBubbleSize val="0"/>
        </c:dLbls>
        <c:gapWidth val="30"/>
        <c:axId val="497452928"/>
        <c:axId val="497454464"/>
      </c:barChart>
      <c:catAx>
        <c:axId val="49745292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7454464"/>
        <c:crosses val="autoZero"/>
        <c:auto val="1"/>
        <c:lblAlgn val="ctr"/>
        <c:lblOffset val="100"/>
        <c:noMultiLvlLbl val="0"/>
      </c:catAx>
      <c:valAx>
        <c:axId val="497454464"/>
        <c:scaling>
          <c:orientation val="minMax"/>
          <c:min val="-0.70000000000000007"/>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745292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s-GT"/>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49322032008859E-2"/>
          <c:y val="2.538216854324692E-2"/>
          <c:w val="0.8875511402273395"/>
          <c:h val="0.81315839086084685"/>
        </c:manualLayout>
      </c:layout>
      <c:barChart>
        <c:barDir val="col"/>
        <c:grouping val="clustered"/>
        <c:varyColors val="0"/>
        <c:ser>
          <c:idx val="0"/>
          <c:order val="0"/>
          <c:tx>
            <c:strRef>
              <c:f>Hoja1!$B$1</c:f>
              <c:strCache>
                <c:ptCount val="1"/>
                <c:pt idx="0">
                  <c:v>Observada</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Hoja1!$B$2:$B$13</c:f>
              <c:numCache>
                <c:formatCode>General</c:formatCode>
                <c:ptCount val="12"/>
                <c:pt idx="0">
                  <c:v>6893.669096820001</c:v>
                </c:pt>
                <c:pt idx="1">
                  <c:v>4730.9146393400006</c:v>
                </c:pt>
                <c:pt idx="2">
                  <c:v>6255.2460315500002</c:v>
                </c:pt>
                <c:pt idx="3">
                  <c:v>7775.0129399899997</c:v>
                </c:pt>
                <c:pt idx="4">
                  <c:v>5258.419111969999</c:v>
                </c:pt>
                <c:pt idx="5">
                  <c:v>5106.0212948199978</c:v>
                </c:pt>
              </c:numCache>
            </c:numRef>
          </c:val>
          <c:extLst>
            <c:ext xmlns:c16="http://schemas.microsoft.com/office/drawing/2014/chart" uri="{C3380CC4-5D6E-409C-BE32-E72D297353CC}">
              <c16:uniqueId val="{00000000-25CD-4E9A-93E0-BEB24FE5582B}"/>
            </c:ext>
          </c:extLst>
        </c:ser>
        <c:dLbls>
          <c:showLegendKey val="0"/>
          <c:showVal val="0"/>
          <c:showCatName val="0"/>
          <c:showSerName val="0"/>
          <c:showPercent val="0"/>
          <c:showBubbleSize val="0"/>
        </c:dLbls>
        <c:gapWidth val="15"/>
        <c:overlap val="-27"/>
        <c:axId val="497479040"/>
        <c:axId val="500106368"/>
      </c:barChart>
      <c:lineChart>
        <c:grouping val="standard"/>
        <c:varyColors val="0"/>
        <c:ser>
          <c:idx val="1"/>
          <c:order val="1"/>
          <c:tx>
            <c:strRef>
              <c:f>Hoja1!$C$1</c:f>
              <c:strCache>
                <c:ptCount val="1"/>
                <c:pt idx="0">
                  <c:v>Estimada</c:v>
                </c:pt>
              </c:strCache>
            </c:strRef>
          </c:tx>
          <c:spPr>
            <a:ln w="15875" cap="rnd">
              <a:solidFill>
                <a:srgbClr val="FF0000"/>
              </a:solidFill>
              <a:prstDash val="sysDash"/>
              <a:round/>
            </a:ln>
            <a:effectLst>
              <a:outerShdw blurRad="40000" dist="20000" dir="5400000" rotWithShape="0">
                <a:srgbClr val="000000">
                  <a:alpha val="38000"/>
                </a:srgbClr>
              </a:outerShdw>
            </a:effectLst>
          </c:spPr>
          <c:marker>
            <c:symbol val="circle"/>
            <c:size val="5"/>
            <c:spPr>
              <a:solidFill>
                <a:schemeClr val="bg1"/>
              </a:solidFill>
              <a:ln w="9525" cap="flat" cmpd="sng" algn="ctr">
                <a:solidFill>
                  <a:srgbClr val="FF0000"/>
                </a:solidFill>
                <a:round/>
              </a:ln>
              <a:effectLst>
                <a:outerShdw blurRad="40000" dist="20000" dir="5400000" rotWithShape="0">
                  <a:srgbClr val="000000">
                    <a:alpha val="38000"/>
                  </a:srgbClr>
                </a:outerShdw>
              </a:effectLst>
            </c:spPr>
          </c:marker>
          <c:dLbls>
            <c:dLbl>
              <c:idx val="5"/>
              <c:delete val="1"/>
              <c:extLst>
                <c:ext xmlns:c15="http://schemas.microsoft.com/office/drawing/2012/chart" uri="{CE6537A1-D6FC-4f65-9D91-7224C49458BB}"/>
                <c:ext xmlns:c16="http://schemas.microsoft.com/office/drawing/2014/chart" uri="{C3380CC4-5D6E-409C-BE32-E72D297353CC}">
                  <c16:uniqueId val="{00000001-25CD-4E9A-93E0-BEB24FE5582B}"/>
                </c:ext>
              </c:extLst>
            </c:dLbl>
            <c:dLbl>
              <c:idx val="7"/>
              <c:layout>
                <c:manualLayout>
                  <c:x val="-1.2731481481481566E-2"/>
                  <c:y val="-4.20634920634920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5CD-4E9A-93E0-BEB24FE5582B}"/>
                </c:ext>
              </c:extLst>
            </c:dLbl>
            <c:dLbl>
              <c:idx val="8"/>
              <c:layout>
                <c:manualLayout>
                  <c:x val="-4.9768518518518601E-2"/>
                  <c:y val="4.12698412698411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CD-4E9A-93E0-BEB24FE5582B}"/>
                </c:ext>
              </c:extLst>
            </c:dLbl>
            <c:dLbl>
              <c:idx val="10"/>
              <c:layout>
                <c:manualLayout>
                  <c:x val="-4.9768518518518517E-2"/>
                  <c:y val="3.73015873015872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5CD-4E9A-93E0-BEB24FE5582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Hoja1!$C$2:$C$13</c:f>
              <c:numCache>
                <c:formatCode>General</c:formatCode>
                <c:ptCount val="12"/>
                <c:pt idx="5">
                  <c:v>5106.0212948199978</c:v>
                </c:pt>
                <c:pt idx="6">
                  <c:v>8910.6861466999962</c:v>
                </c:pt>
                <c:pt idx="7">
                  <c:v>5294.9186332800009</c:v>
                </c:pt>
                <c:pt idx="8">
                  <c:v>4153.4558465984974</c:v>
                </c:pt>
                <c:pt idx="9">
                  <c:v>7159.3034549495678</c:v>
                </c:pt>
                <c:pt idx="10">
                  <c:v>4573.8205478734508</c:v>
                </c:pt>
                <c:pt idx="11">
                  <c:v>4656.9062708653009</c:v>
                </c:pt>
              </c:numCache>
            </c:numRef>
          </c:val>
          <c:smooth val="1"/>
          <c:extLst>
            <c:ext xmlns:c16="http://schemas.microsoft.com/office/drawing/2014/chart" uri="{C3380CC4-5D6E-409C-BE32-E72D297353CC}">
              <c16:uniqueId val="{00000005-25CD-4E9A-93E0-BEB24FE5582B}"/>
            </c:ext>
          </c:extLst>
        </c:ser>
        <c:dLbls>
          <c:showLegendKey val="0"/>
          <c:showVal val="0"/>
          <c:showCatName val="0"/>
          <c:showSerName val="0"/>
          <c:showPercent val="0"/>
          <c:showBubbleSize val="0"/>
        </c:dLbls>
        <c:marker val="1"/>
        <c:smooth val="0"/>
        <c:axId val="497479040"/>
        <c:axId val="500106368"/>
      </c:lineChart>
      <c:catAx>
        <c:axId val="49747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crossAx val="500106368"/>
        <c:crosses val="autoZero"/>
        <c:auto val="1"/>
        <c:lblAlgn val="ctr"/>
        <c:lblOffset val="100"/>
        <c:noMultiLvlLbl val="0"/>
      </c:catAx>
      <c:valAx>
        <c:axId val="50010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crossAx val="497479040"/>
        <c:crosses val="autoZero"/>
        <c:crossBetween val="between"/>
      </c:valAx>
      <c:spPr>
        <a:noFill/>
        <a:ln>
          <a:noFill/>
        </a:ln>
        <a:effectLst/>
      </c:spPr>
    </c:plotArea>
    <c:legend>
      <c:legendPos val="b"/>
      <c:layout>
        <c:manualLayout>
          <c:xMode val="edge"/>
          <c:yMode val="edge"/>
          <c:x val="0.30891428507727237"/>
          <c:y val="0.91917802174880969"/>
          <c:w val="0.38217142984545527"/>
          <c:h val="8.082197825119033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04868000916578E-2"/>
          <c:y val="2.5906340654786572E-2"/>
          <c:w val="0.84238770685579201"/>
          <c:h val="0.8874735921167749"/>
        </c:manualLayout>
      </c:layout>
      <c:lineChart>
        <c:grouping val="standard"/>
        <c:varyColors val="0"/>
        <c:ser>
          <c:idx val="0"/>
          <c:order val="0"/>
          <c:tx>
            <c:strRef>
              <c:f>Hoja1!$B$1</c:f>
              <c:strCache>
                <c:ptCount val="1"/>
                <c:pt idx="0">
                  <c:v>Carga Tributaria</c:v>
                </c:pt>
              </c:strCache>
            </c:strRef>
          </c:tx>
          <c:spPr>
            <a:ln>
              <a:solidFill>
                <a:srgbClr val="0070C0"/>
              </a:solidFill>
              <a:prstDash val="solid"/>
            </a:ln>
          </c:spPr>
          <c:marker>
            <c:symbol val="circle"/>
            <c:size val="7"/>
            <c:spPr>
              <a:solidFill>
                <a:schemeClr val="bg1"/>
              </a:solidFill>
              <a:ln>
                <a:solidFill>
                  <a:srgbClr val="0070C0"/>
                </a:solidFill>
              </a:ln>
            </c:spPr>
          </c:marker>
          <c:dPt>
            <c:idx val="10"/>
            <c:bubble3D val="0"/>
            <c:spPr>
              <a:ln>
                <a:solidFill>
                  <a:srgbClr val="0070C0"/>
                </a:solidFill>
                <a:prstDash val="solid"/>
              </a:ln>
            </c:spPr>
            <c:extLst>
              <c:ext xmlns:c16="http://schemas.microsoft.com/office/drawing/2014/chart" uri="{C3380CC4-5D6E-409C-BE32-E72D297353CC}">
                <c16:uniqueId val="{00000001-3CCF-426F-91CC-C35AF228CCC8}"/>
              </c:ext>
            </c:extLst>
          </c:dPt>
          <c:dLbls>
            <c:dLbl>
              <c:idx val="1"/>
              <c:layout>
                <c:manualLayout>
                  <c:x val="-4.6984126984126982E-2"/>
                  <c:y val="5.8011695906432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CCF-426F-91CC-C35AF228CCC8}"/>
                </c:ext>
              </c:extLst>
            </c:dLbl>
            <c:dLbl>
              <c:idx val="2"/>
              <c:layout>
                <c:manualLayout>
                  <c:x val="-7.4920634920634943E-2"/>
                  <c:y val="-9.6374269005847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CF-426F-91CC-C35AF228CCC8}"/>
                </c:ext>
              </c:extLst>
            </c:dLbl>
            <c:dLbl>
              <c:idx val="3"/>
              <c:layout>
                <c:manualLayout>
                  <c:x val="-0.11047619047619048"/>
                  <c:y val="-7.29824561403508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CCF-426F-91CC-C35AF228CCC8}"/>
                </c:ext>
              </c:extLst>
            </c:dLbl>
            <c:dLbl>
              <c:idx val="4"/>
              <c:layout>
                <c:manualLayout>
                  <c:x val="-5.904761904761905E-2"/>
                  <c:y val="0.127485380116959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CCF-426F-91CC-C35AF228CCC8}"/>
                </c:ext>
              </c:extLst>
            </c:dLbl>
            <c:dLbl>
              <c:idx val="5"/>
              <c:layout>
                <c:manualLayout>
                  <c:x val="-4.6349206349206348E-2"/>
                  <c:y val="6.66666666666666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CCF-426F-91CC-C35AF228CCC8}"/>
                </c:ext>
              </c:extLst>
            </c:dLbl>
            <c:dLbl>
              <c:idx val="6"/>
              <c:layout>
                <c:manualLayout>
                  <c:x val="-2.6666666666666668E-2"/>
                  <c:y val="-7.2982456140350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CCF-426F-91CC-C35AF228CCC8}"/>
                </c:ext>
              </c:extLst>
            </c:dLbl>
            <c:dLbl>
              <c:idx val="7"/>
              <c:layout>
                <c:manualLayout>
                  <c:x val="-4.6984126984127079E-2"/>
                  <c:y val="5.3333333333333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CCF-426F-91CC-C35AF228CCC8}"/>
                </c:ext>
              </c:extLst>
            </c:dLbl>
            <c:dLbl>
              <c:idx val="9"/>
              <c:layout>
                <c:manualLayout>
                  <c:x val="-4.9523809523809526E-2"/>
                  <c:y val="6.2690058479532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CCF-426F-91CC-C35AF228CCC8}"/>
                </c:ext>
              </c:extLst>
            </c:dLbl>
            <c:dLbl>
              <c:idx val="11"/>
              <c:layout>
                <c:manualLayout>
                  <c:x val="-7.7460317460317465E-2"/>
                  <c:y val="3.92982456140350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CCF-426F-91CC-C35AF228CCC8}"/>
                </c:ext>
              </c:extLst>
            </c:dLbl>
            <c:dLbl>
              <c:idx val="12"/>
              <c:layout>
                <c:manualLayout>
                  <c:x val="-8.2539682539682538E-2"/>
                  <c:y val="4.39766081871345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CCF-426F-91CC-C35AF228CCC8}"/>
                </c:ext>
              </c:extLst>
            </c:dLbl>
            <c:dLbl>
              <c:idx val="13"/>
              <c:layout>
                <c:manualLayout>
                  <c:x val="-4.6984126984126982E-2"/>
                  <c:y val="-4.41666666666666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CCF-426F-91CC-C35AF228CCC8}"/>
                </c:ext>
              </c:extLst>
            </c:dLbl>
            <c:numFmt formatCode="#,##0.0" sourceLinked="0"/>
            <c:spPr>
              <a:noFill/>
              <a:ln>
                <a:noFill/>
              </a:ln>
              <a:effectLst/>
            </c:spPr>
            <c:txPr>
              <a:bodyPr wrap="square" lIns="38100" tIns="19050" rIns="38100" bIns="19050" anchor="ctr">
                <a:spAutoFit/>
              </a:bodyPr>
              <a:lstStyle/>
              <a:p>
                <a:pPr>
                  <a:defRPr sz="800">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rgbClr val="0070C0">
                          <a:alpha val="50000"/>
                        </a:srgbClr>
                      </a:solidFill>
                      <a:prstDash val="sysDash"/>
                    </a:ln>
                  </c:spPr>
                </c15:leaderLines>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Hoja1!$B$2:$B$15</c:f>
              <c:numCache>
                <c:formatCode>General</c:formatCode>
                <c:ptCount val="14"/>
                <c:pt idx="0">
                  <c:v>10.961136582731768</c:v>
                </c:pt>
                <c:pt idx="1">
                  <c:v>10.262494428920531</c:v>
                </c:pt>
                <c:pt idx="2">
                  <c:v>10.397416979560372</c:v>
                </c:pt>
                <c:pt idx="3">
                  <c:v>10.909112897900064</c:v>
                </c:pt>
                <c:pt idx="4">
                  <c:v>10.953264737896941</c:v>
                </c:pt>
                <c:pt idx="5">
                  <c:v>11.128101557307478</c:v>
                </c:pt>
                <c:pt idx="6">
                  <c:v>10.975635860680631</c:v>
                </c:pt>
                <c:pt idx="7">
                  <c:v>10.447132107294921</c:v>
                </c:pt>
                <c:pt idx="8">
                  <c:v>10.778739581377527</c:v>
                </c:pt>
                <c:pt idx="9">
                  <c:v>10.766054206583368</c:v>
                </c:pt>
                <c:pt idx="10">
                  <c:v>10.68824710260173</c:v>
                </c:pt>
                <c:pt idx="11">
                  <c:v>10.558968120993011</c:v>
                </c:pt>
                <c:pt idx="12">
                  <c:v>10.08</c:v>
                </c:pt>
                <c:pt idx="13">
                  <c:v>10.96</c:v>
                </c:pt>
              </c:numCache>
            </c:numRef>
          </c:val>
          <c:smooth val="0"/>
          <c:extLst>
            <c:ext xmlns:c16="http://schemas.microsoft.com/office/drawing/2014/chart" uri="{C3380CC4-5D6E-409C-BE32-E72D297353CC}">
              <c16:uniqueId val="{0000000D-3CCF-426F-91CC-C35AF228CCC8}"/>
            </c:ext>
          </c:extLst>
        </c:ser>
        <c:ser>
          <c:idx val="1"/>
          <c:order val="1"/>
          <c:tx>
            <c:strRef>
              <c:f>Hoja1!$C$1</c:f>
              <c:strCache>
                <c:ptCount val="1"/>
                <c:pt idx="0">
                  <c:v>Presupuesto</c:v>
                </c:pt>
              </c:strCache>
            </c:strRef>
          </c:tx>
          <c:spPr>
            <a:ln>
              <a:solidFill>
                <a:srgbClr val="FF0000"/>
              </a:solidFill>
              <a:prstDash val="sysDash"/>
            </a:ln>
          </c:spPr>
          <c:marker>
            <c:symbol val="circle"/>
            <c:size val="7"/>
            <c:spPr>
              <a:solidFill>
                <a:schemeClr val="bg1"/>
              </a:solidFill>
              <a:ln>
                <a:solidFill>
                  <a:srgbClr val="FF0000"/>
                </a:solidFill>
              </a:ln>
            </c:spPr>
          </c:marker>
          <c:dLbls>
            <c:dLbl>
              <c:idx val="1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CCF-426F-91CC-C35AF228CCC8}"/>
                </c:ext>
              </c:extLst>
            </c:dLbl>
            <c:dLbl>
              <c:idx val="13"/>
              <c:numFmt formatCode="#,##0.0" sourceLinked="0"/>
              <c:spPr>
                <a:noFill/>
                <a:ln>
                  <a:noFill/>
                </a:ln>
                <a:effectLst/>
              </c:spPr>
              <c:txPr>
                <a:bodyPr wrap="square" lIns="38100" tIns="19050" rIns="38100" bIns="19050" anchor="ctr">
                  <a:spAutoFit/>
                </a:bodyPr>
                <a:lstStyle/>
                <a:p>
                  <a:pPr>
                    <a:defRPr>
                      <a:solidFill>
                        <a:srgbClr val="FF0000"/>
                      </a:solidFill>
                    </a:defRPr>
                  </a:pPr>
                  <a:endParaRPr lang="es-GT"/>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CCF-426F-91CC-C35AF228CCC8}"/>
                </c:ext>
              </c:extLst>
            </c:dLbl>
            <c:numFmt formatCode="#,##0.0" sourceLinked="0"/>
            <c:spPr>
              <a:noFill/>
              <a:ln>
                <a:noFill/>
              </a:ln>
              <a:effectLst/>
            </c:spPr>
            <c:txPr>
              <a:bodyPr wrap="square" lIns="38100" tIns="19050" rIns="38100" bIns="19050" anchor="ctr">
                <a:spAutoFit/>
              </a:bodyPr>
              <a:lstStyle/>
              <a:p>
                <a:pPr>
                  <a:defRPr>
                    <a:solidFill>
                      <a:srgbClr val="0070C0"/>
                    </a:solidFill>
                  </a:defRPr>
                </a:pPr>
                <a:endParaRPr lang="es-GT"/>
              </a:p>
            </c:txPr>
            <c:dLblPos val="b"/>
            <c:showLegendKey val="0"/>
            <c:showVal val="0"/>
            <c:showCatName val="0"/>
            <c:showSerName val="0"/>
            <c:showPercent val="0"/>
            <c:showBubbleSize val="0"/>
            <c:extLst>
              <c:ext xmlns:c15="http://schemas.microsoft.com/office/drawing/2012/chart" uri="{CE6537A1-D6FC-4f65-9D91-7224C49458BB}">
                <c15:showLeaderLines val="1"/>
              </c:ext>
            </c:extLst>
          </c:dLbls>
          <c:cat>
            <c:numRef>
              <c:f>Hoja1!$A$2:$A$15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Hoja1!$C$2:$C$15</c:f>
              <c:numCache>
                <c:formatCode>General</c:formatCode>
                <c:ptCount val="14"/>
                <c:pt idx="12">
                  <c:v>10.059378165950255</c:v>
                </c:pt>
                <c:pt idx="13">
                  <c:v>9.920287786994491</c:v>
                </c:pt>
              </c:numCache>
            </c:numRef>
          </c:val>
          <c:smooth val="0"/>
          <c:extLst>
            <c:ext xmlns:c16="http://schemas.microsoft.com/office/drawing/2014/chart" uri="{C3380CC4-5D6E-409C-BE32-E72D297353CC}">
              <c16:uniqueId val="{00000010-3CCF-426F-91CC-C35AF228CCC8}"/>
            </c:ext>
          </c:extLst>
        </c:ser>
        <c:dLbls>
          <c:showLegendKey val="0"/>
          <c:showVal val="0"/>
          <c:showCatName val="0"/>
          <c:showSerName val="0"/>
          <c:showPercent val="0"/>
          <c:showBubbleSize val="0"/>
        </c:dLbls>
        <c:marker val="1"/>
        <c:smooth val="0"/>
        <c:axId val="527841152"/>
        <c:axId val="527842688"/>
      </c:lineChart>
      <c:catAx>
        <c:axId val="527841152"/>
        <c:scaling>
          <c:orientation val="minMax"/>
        </c:scaling>
        <c:delete val="0"/>
        <c:axPos val="b"/>
        <c:numFmt formatCode="General" sourceLinked="1"/>
        <c:majorTickMark val="out"/>
        <c:minorTickMark val="none"/>
        <c:tickLblPos val="nextTo"/>
        <c:txPr>
          <a:bodyPr/>
          <a:lstStyle/>
          <a:p>
            <a:pPr>
              <a:defRPr sz="900" b="0"/>
            </a:pPr>
            <a:endParaRPr lang="es-GT"/>
          </a:p>
        </c:txPr>
        <c:crossAx val="527842688"/>
        <c:crosses val="autoZero"/>
        <c:auto val="1"/>
        <c:lblAlgn val="ctr"/>
        <c:lblOffset val="100"/>
        <c:noMultiLvlLbl val="0"/>
      </c:catAx>
      <c:valAx>
        <c:axId val="527842688"/>
        <c:scaling>
          <c:orientation val="minMax"/>
        </c:scaling>
        <c:delete val="0"/>
        <c:axPos val="l"/>
        <c:numFmt formatCode="#,##0.0" sourceLinked="0"/>
        <c:majorTickMark val="out"/>
        <c:minorTickMark val="none"/>
        <c:tickLblPos val="nextTo"/>
        <c:txPr>
          <a:bodyPr/>
          <a:lstStyle/>
          <a:p>
            <a:pPr>
              <a:defRPr b="0"/>
            </a:pPr>
            <a:endParaRPr lang="es-GT"/>
          </a:p>
        </c:txPr>
        <c:crossAx val="527841152"/>
        <c:crosses val="autoZero"/>
        <c:crossBetween val="between"/>
      </c:valAx>
      <c:spPr>
        <a:ln>
          <a:noFill/>
        </a:ln>
      </c:spPr>
    </c:plotArea>
    <c:plotVisOnly val="1"/>
    <c:dispBlanksAs val="gap"/>
    <c:showDLblsOverMax val="0"/>
  </c:chart>
  <c:spPr>
    <a:ln>
      <a:noFill/>
    </a:ln>
  </c:spPr>
  <c:txPr>
    <a:bodyPr/>
    <a:lstStyle/>
    <a:p>
      <a:pPr>
        <a:defRPr b="1">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193241469816275E-2"/>
          <c:y val="1.6360676434433039E-2"/>
          <c:w val="0.92891786964129486"/>
          <c:h val="0.8359895677597261"/>
        </c:manualLayout>
      </c:layout>
      <c:barChart>
        <c:barDir val="col"/>
        <c:grouping val="clustered"/>
        <c:varyColors val="0"/>
        <c:ser>
          <c:idx val="1"/>
          <c:order val="1"/>
          <c:tx>
            <c:strRef>
              <c:f>Sheet1!$C$1</c:f>
              <c:strCache>
                <c:ptCount val="1"/>
                <c:pt idx="0">
                  <c:v>2021</c:v>
                </c:pt>
              </c:strCache>
            </c:strRef>
          </c:tx>
          <c:spPr>
            <a:solidFill>
              <a:srgbClr val="0070C0"/>
            </a:solidFill>
            <a:ln w="19050">
              <a:solidFill>
                <a:srgbClr val="002060"/>
              </a:solidFill>
            </a:ln>
            <a:effectLst/>
          </c:spPr>
          <c:invertIfNegative val="0"/>
          <c:dLbls>
            <c:dLbl>
              <c:idx val="2"/>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35-41D1-ACB5-C052BFE4F7EC}"/>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Enero</c:v>
                </c:pt>
                <c:pt idx="1">
                  <c:v>Febrero</c:v>
                </c:pt>
                <c:pt idx="2">
                  <c:v>Marzo</c:v>
                </c:pt>
                <c:pt idx="3">
                  <c:v>Abril</c:v>
                </c:pt>
                <c:pt idx="4">
                  <c:v>Mayo</c:v>
                </c:pt>
                <c:pt idx="5">
                  <c:v>Junio</c:v>
                </c:pt>
              </c:strCache>
            </c:strRef>
          </c:cat>
          <c:val>
            <c:numRef>
              <c:f>Sheet1!$C$2:$C$7</c:f>
              <c:numCache>
                <c:formatCode>#,##0.0</c:formatCode>
                <c:ptCount val="6"/>
                <c:pt idx="0">
                  <c:v>3.1102606665003307</c:v>
                </c:pt>
                <c:pt idx="1">
                  <c:v>5.5930681844471142</c:v>
                </c:pt>
                <c:pt idx="2">
                  <c:v>1.7155335821042561</c:v>
                </c:pt>
                <c:pt idx="3">
                  <c:v>10.781770871480134</c:v>
                </c:pt>
                <c:pt idx="4">
                  <c:v>6.3012889804766159</c:v>
                </c:pt>
                <c:pt idx="5">
                  <c:v>0.27194604153937263</c:v>
                </c:pt>
              </c:numCache>
            </c:numRef>
          </c:val>
          <c:extLst>
            <c:ext xmlns:c16="http://schemas.microsoft.com/office/drawing/2014/chart" uri="{C3380CC4-5D6E-409C-BE32-E72D297353CC}">
              <c16:uniqueId val="{00000001-BB35-41D1-ACB5-C052BFE4F7EC}"/>
            </c:ext>
          </c:extLst>
        </c:ser>
        <c:dLbls>
          <c:showLegendKey val="0"/>
          <c:showVal val="0"/>
          <c:showCatName val="0"/>
          <c:showSerName val="0"/>
          <c:showPercent val="0"/>
          <c:showBubbleSize val="0"/>
        </c:dLbls>
        <c:gapWidth val="219"/>
        <c:overlap val="-27"/>
        <c:axId val="528003840"/>
        <c:axId val="528005376"/>
      </c:barChart>
      <c:lineChart>
        <c:grouping val="standard"/>
        <c:varyColors val="0"/>
        <c:ser>
          <c:idx val="0"/>
          <c:order val="0"/>
          <c:tx>
            <c:strRef>
              <c:f>Sheet1!$B$1</c:f>
              <c:strCache>
                <c:ptCount val="1"/>
                <c:pt idx="0">
                  <c:v>2020</c:v>
                </c:pt>
              </c:strCache>
            </c:strRef>
          </c:tx>
          <c:spPr>
            <a:ln w="28575" cap="rnd">
              <a:solidFill>
                <a:srgbClr val="0099FF"/>
              </a:solidFill>
              <a:prstDash val="sysDot"/>
              <a:round/>
            </a:ln>
            <a:effectLst/>
          </c:spPr>
          <c:marker>
            <c:symbol val="none"/>
          </c:marker>
          <c:dLbls>
            <c:dLbl>
              <c:idx val="0"/>
              <c:layout>
                <c:manualLayout>
                  <c:x val="-4.1666666666666664E-2"/>
                  <c:y val="-3.9682539682539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B35-41D1-ACB5-C052BFE4F7EC}"/>
                </c:ext>
              </c:extLst>
            </c:dLbl>
            <c:dLbl>
              <c:idx val="1"/>
              <c:layout>
                <c:manualLayout>
                  <c:x val="-3.0092592592592591E-2"/>
                  <c:y val="4.3650793650793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B35-41D1-ACB5-C052BFE4F7EC}"/>
                </c:ext>
              </c:extLst>
            </c:dLbl>
            <c:dLbl>
              <c:idx val="3"/>
              <c:layout>
                <c:manualLayout>
                  <c:x val="-3.9351851851851936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B35-41D1-ACB5-C052BFE4F7EC}"/>
                </c:ext>
              </c:extLst>
            </c:dLbl>
            <c:dLbl>
              <c:idx val="4"/>
              <c:layout>
                <c:manualLayout>
                  <c:x val="-3.4722222222222224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35-41D1-ACB5-C052BFE4F7EC}"/>
                </c:ext>
              </c:extLst>
            </c:dLbl>
            <c:dLbl>
              <c:idx val="5"/>
              <c:layout>
                <c:manualLayout>
                  <c:x val="-1.6203703703703703E-2"/>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35-41D1-ACB5-C052BFE4F7EC}"/>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B0F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Enero</c:v>
                </c:pt>
                <c:pt idx="1">
                  <c:v>Febrero</c:v>
                </c:pt>
                <c:pt idx="2">
                  <c:v>Marzo</c:v>
                </c:pt>
                <c:pt idx="3">
                  <c:v>Abril</c:v>
                </c:pt>
                <c:pt idx="4">
                  <c:v>Mayo</c:v>
                </c:pt>
                <c:pt idx="5">
                  <c:v>Junio</c:v>
                </c:pt>
              </c:strCache>
            </c:strRef>
          </c:cat>
          <c:val>
            <c:numRef>
              <c:f>Sheet1!$B$2:$B$7</c:f>
              <c:numCache>
                <c:formatCode>#,##0.0</c:formatCode>
                <c:ptCount val="6"/>
                <c:pt idx="0">
                  <c:v>5.0362282956783133</c:v>
                </c:pt>
                <c:pt idx="1">
                  <c:v>0.22874767424281295</c:v>
                </c:pt>
                <c:pt idx="2">
                  <c:v>2.3597448839590918</c:v>
                </c:pt>
                <c:pt idx="3">
                  <c:v>-1.6368421755264873</c:v>
                </c:pt>
                <c:pt idx="4">
                  <c:v>4.1616915886161001</c:v>
                </c:pt>
                <c:pt idx="5">
                  <c:v>8.9897091455984679</c:v>
                </c:pt>
              </c:numCache>
            </c:numRef>
          </c:val>
          <c:smooth val="0"/>
          <c:extLst>
            <c:ext xmlns:c16="http://schemas.microsoft.com/office/drawing/2014/chart" uri="{C3380CC4-5D6E-409C-BE32-E72D297353CC}">
              <c16:uniqueId val="{00000000-BB35-41D1-ACB5-C052BFE4F7EC}"/>
            </c:ext>
          </c:extLst>
        </c:ser>
        <c:dLbls>
          <c:showLegendKey val="0"/>
          <c:showVal val="0"/>
          <c:showCatName val="0"/>
          <c:showSerName val="0"/>
          <c:showPercent val="0"/>
          <c:showBubbleSize val="0"/>
        </c:dLbls>
        <c:marker val="1"/>
        <c:smooth val="0"/>
        <c:axId val="528003840"/>
        <c:axId val="528005376"/>
      </c:lineChart>
      <c:catAx>
        <c:axId val="52800384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8005376"/>
        <c:crosses val="autoZero"/>
        <c:auto val="1"/>
        <c:lblAlgn val="ctr"/>
        <c:lblOffset val="100"/>
        <c:noMultiLvlLbl val="0"/>
      </c:catAx>
      <c:valAx>
        <c:axId val="5280053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8003840"/>
        <c:crosses val="autoZero"/>
        <c:crossBetween val="between"/>
      </c:valAx>
      <c:spPr>
        <a:noFill/>
        <a:ln>
          <a:noFill/>
        </a:ln>
        <a:effectLst/>
      </c:spPr>
    </c:plotArea>
    <c:legend>
      <c:legendPos val="b"/>
      <c:layout>
        <c:manualLayout>
          <c:xMode val="edge"/>
          <c:yMode val="edge"/>
          <c:x val="0.34722222222222227"/>
          <c:y val="0.92612345925113793"/>
          <c:w val="0.29166666666666669"/>
          <c:h val="7.387654074886208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50918118375738"/>
          <c:y val="3.3885358571016322E-2"/>
          <c:w val="0.70057228571262464"/>
          <c:h val="0.84578648873079343"/>
        </c:manualLayout>
      </c:layout>
      <c:barChart>
        <c:barDir val="bar"/>
        <c:grouping val="clustered"/>
        <c:varyColors val="0"/>
        <c:ser>
          <c:idx val="0"/>
          <c:order val="0"/>
          <c:tx>
            <c:strRef>
              <c:f>Sheet1!$B$1</c:f>
              <c:strCache>
                <c:ptCount val="1"/>
                <c:pt idx="0">
                  <c:v>2020</c:v>
                </c:pt>
              </c:strCache>
            </c:strRef>
          </c:tx>
          <c:spPr>
            <a:solidFill>
              <a:schemeClr val="accent1">
                <a:lumMod val="75000"/>
              </a:schemeClr>
            </a:solidFill>
            <a:ln w="15875">
              <a:solidFill>
                <a:schemeClr val="tx1"/>
              </a:solidFill>
            </a:ln>
            <a:effectLst>
              <a:outerShdw blurRad="50800" dist="38100" dir="2700000" algn="tl" rotWithShape="0">
                <a:prstClr val="black">
                  <a:alpha val="40000"/>
                </a:prstClr>
              </a:outerShdw>
            </a:effectLst>
          </c:spPr>
          <c:invertIfNegative val="0"/>
          <c:dLbls>
            <c:dLbl>
              <c:idx val="0"/>
              <c:layout>
                <c:manualLayout>
                  <c:x val="-8.5796707843951939E-3"/>
                  <c:y val="1.4680598003643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2C-4410-8597-A875AE75953D}"/>
                </c:ext>
              </c:extLst>
            </c:dLbl>
            <c:dLbl>
              <c:idx val="1"/>
              <c:layout>
                <c:manualLayout>
                  <c:x val="1.8980583370960655E-3"/>
                  <c:y val="3.12133758149327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2C-4410-8597-A875AE75953D}"/>
                </c:ext>
              </c:extLst>
            </c:dLbl>
            <c:dLbl>
              <c:idx val="3"/>
              <c:layout>
                <c:manualLayout>
                  <c:x val="-3.9996850393700786E-3"/>
                  <c:y val="4.7801147227533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2C-4410-8597-A875AE75953D}"/>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Trans. Corrientes</c:v>
                </c:pt>
                <c:pt idx="1">
                  <c:v>Inversión Financiera</c:v>
                </c:pt>
                <c:pt idx="2">
                  <c:v>Inversión Real Directa</c:v>
                </c:pt>
                <c:pt idx="3">
                  <c:v>Prestaciones a la S.S</c:v>
                </c:pt>
                <c:pt idx="4">
                  <c:v>Trans. De Capital</c:v>
                </c:pt>
                <c:pt idx="5">
                  <c:v>Remuneraciones </c:v>
                </c:pt>
                <c:pt idx="6">
                  <c:v>Intereses </c:v>
                </c:pt>
                <c:pt idx="7">
                  <c:v>Bienes y servicios </c:v>
                </c:pt>
              </c:strCache>
            </c:strRef>
          </c:cat>
          <c:val>
            <c:numRef>
              <c:f>Sheet1!$B$2:$B$9</c:f>
              <c:numCache>
                <c:formatCode>#,##0.0</c:formatCode>
                <c:ptCount val="8"/>
                <c:pt idx="0">
                  <c:v>1388.7699999999995</c:v>
                </c:pt>
                <c:pt idx="1">
                  <c:v>1447.09</c:v>
                </c:pt>
                <c:pt idx="2">
                  <c:v>-705.69999999999982</c:v>
                </c:pt>
                <c:pt idx="3">
                  <c:v>29.319999999999709</c:v>
                </c:pt>
                <c:pt idx="4">
                  <c:v>-7.3799999999991996</c:v>
                </c:pt>
                <c:pt idx="5">
                  <c:v>1123.1499999999996</c:v>
                </c:pt>
                <c:pt idx="6">
                  <c:v>208.01999999999953</c:v>
                </c:pt>
                <c:pt idx="7">
                  <c:v>-128.36000000000013</c:v>
                </c:pt>
              </c:numCache>
            </c:numRef>
          </c:val>
          <c:extLst>
            <c:ext xmlns:c16="http://schemas.microsoft.com/office/drawing/2014/chart" uri="{C3380CC4-5D6E-409C-BE32-E72D297353CC}">
              <c16:uniqueId val="{00000003-7A2C-4410-8597-A875AE75953D}"/>
            </c:ext>
          </c:extLst>
        </c:ser>
        <c:ser>
          <c:idx val="1"/>
          <c:order val="1"/>
          <c:tx>
            <c:strRef>
              <c:f>Sheet1!$C$1</c:f>
              <c:strCache>
                <c:ptCount val="1"/>
                <c:pt idx="0">
                  <c:v>2021</c:v>
                </c:pt>
              </c:strCache>
            </c:strRef>
          </c:tx>
          <c:spPr>
            <a:solidFill>
              <a:srgbClr val="92D050"/>
            </a:solidFill>
            <a:ln w="15875">
              <a:solidFill>
                <a:schemeClr val="accent3">
                  <a:lumMod val="50000"/>
                </a:schemeClr>
              </a:solidFill>
            </a:ln>
            <a:effectLst>
              <a:outerShdw blurRad="50800" dist="38100" dir="2700000" algn="tl" rotWithShape="0">
                <a:prstClr val="black">
                  <a:alpha val="40000"/>
                </a:prstClr>
              </a:outerShdw>
            </a:effectLst>
          </c:spPr>
          <c:invertIfNegative val="0"/>
          <c:dLbls>
            <c:dLbl>
              <c:idx val="0"/>
              <c:layout>
                <c:manualLayout>
                  <c:x val="-0.16801691113347056"/>
                  <c:y val="4.3021032504780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2C-4410-8597-A875AE75953D}"/>
                </c:ext>
              </c:extLst>
            </c:dLbl>
            <c:dLbl>
              <c:idx val="2"/>
              <c:layout>
                <c:manualLayout>
                  <c:x val="-8.5801574803149611E-3"/>
                  <c:y val="-4.7801147227533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2C-4410-8597-A875AE75953D}"/>
                </c:ext>
              </c:extLst>
            </c:dLbl>
            <c:dLbl>
              <c:idx val="4"/>
              <c:layout>
                <c:manualLayout>
                  <c:x val="0"/>
                  <c:y val="-9.56022944550669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2C-4410-8597-A875AE75953D}"/>
                </c:ext>
              </c:extLst>
            </c:dLbl>
            <c:dLbl>
              <c:idx val="6"/>
              <c:layout>
                <c:manualLayout>
                  <c:x val="0"/>
                  <c:y val="-4.7801147227533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2C-4410-8597-A875AE75953D}"/>
                </c:ext>
              </c:extLst>
            </c:dLbl>
            <c:dLbl>
              <c:idx val="7"/>
              <c:layout>
                <c:manualLayout>
                  <c:x val="-5.1582649472450177E-2"/>
                  <c:y val="-5.2581261950286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2C-4410-8597-A875AE75953D}"/>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Trans. Corrientes</c:v>
                </c:pt>
                <c:pt idx="1">
                  <c:v>Inversión Financiera</c:v>
                </c:pt>
                <c:pt idx="2">
                  <c:v>Inversión Real Directa</c:v>
                </c:pt>
                <c:pt idx="3">
                  <c:v>Prestaciones a la S.S</c:v>
                </c:pt>
                <c:pt idx="4">
                  <c:v>Trans. De Capital</c:v>
                </c:pt>
                <c:pt idx="5">
                  <c:v>Remuneraciones </c:v>
                </c:pt>
                <c:pt idx="6">
                  <c:v>Intereses </c:v>
                </c:pt>
                <c:pt idx="7">
                  <c:v>Bienes y servicios </c:v>
                </c:pt>
              </c:strCache>
            </c:strRef>
          </c:cat>
          <c:val>
            <c:numRef>
              <c:f>Sheet1!$C$2:$C$9</c:f>
              <c:numCache>
                <c:formatCode>#,##0.0</c:formatCode>
                <c:ptCount val="8"/>
                <c:pt idx="0">
                  <c:v>-2269.7920261999998</c:v>
                </c:pt>
                <c:pt idx="1">
                  <c:v>-1447.0052336700001</c:v>
                </c:pt>
                <c:pt idx="2">
                  <c:v>83.03356008999981</c:v>
                </c:pt>
                <c:pt idx="3">
                  <c:v>84.184834510000201</c:v>
                </c:pt>
                <c:pt idx="4">
                  <c:v>264.43753775999903</c:v>
                </c:pt>
                <c:pt idx="5">
                  <c:v>532.52818830999968</c:v>
                </c:pt>
                <c:pt idx="6">
                  <c:v>755.03080082000088</c:v>
                </c:pt>
                <c:pt idx="7">
                  <c:v>2118.6007515799988</c:v>
                </c:pt>
              </c:numCache>
            </c:numRef>
          </c:val>
          <c:extLst>
            <c:ext xmlns:c16="http://schemas.microsoft.com/office/drawing/2014/chart" uri="{C3380CC4-5D6E-409C-BE32-E72D297353CC}">
              <c16:uniqueId val="{00000009-7A2C-4410-8597-A875AE75953D}"/>
            </c:ext>
          </c:extLst>
        </c:ser>
        <c:dLbls>
          <c:showLegendKey val="0"/>
          <c:showVal val="0"/>
          <c:showCatName val="0"/>
          <c:showSerName val="0"/>
          <c:showPercent val="0"/>
          <c:showBubbleSize val="0"/>
        </c:dLbls>
        <c:gapWidth val="132"/>
        <c:axId val="527838592"/>
        <c:axId val="527889536"/>
      </c:barChart>
      <c:catAx>
        <c:axId val="5278385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GT"/>
          </a:p>
        </c:txPr>
        <c:crossAx val="527889536"/>
        <c:crosses val="autoZero"/>
        <c:auto val="1"/>
        <c:lblAlgn val="ctr"/>
        <c:lblOffset val="100"/>
        <c:noMultiLvlLbl val="0"/>
      </c:catAx>
      <c:valAx>
        <c:axId val="527889536"/>
        <c:scaling>
          <c:orientation val="minMax"/>
          <c:max val="2300"/>
          <c:min val="-2300"/>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27838592"/>
        <c:crosses val="autoZero"/>
        <c:crossBetween val="between"/>
        <c:majorUnit val="1000"/>
        <c:minorUnit val="500"/>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35845657669175118"/>
          <c:y val="0.94680445703449367"/>
          <c:w val="0.28308684661649763"/>
          <c:h val="5.319554296550627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pPr>
      <a:endParaRPr lang="es-G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01457669031041E-2"/>
          <c:y val="1.4397140071498213E-2"/>
          <c:w val="0.8957429990672654"/>
          <c:h val="0.92098398327443387"/>
        </c:manualLayout>
      </c:layout>
      <c:barChart>
        <c:barDir val="col"/>
        <c:grouping val="clustered"/>
        <c:varyColors val="0"/>
        <c:ser>
          <c:idx val="0"/>
          <c:order val="0"/>
          <c:spPr>
            <a:solidFill>
              <a:schemeClr val="tx2">
                <a:lumMod val="60000"/>
                <a:lumOff val="40000"/>
              </a:schemeClr>
            </a:solidFill>
            <a:ln>
              <a:noFill/>
            </a:ln>
            <a:effectLst/>
          </c:spPr>
          <c:invertIfNegative val="0"/>
          <c:dPt>
            <c:idx val="10"/>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1-F256-4D1E-B6B3-E1EB466CC9B5}"/>
              </c:ext>
            </c:extLst>
          </c:dPt>
          <c:dPt>
            <c:idx val="11"/>
            <c:invertIfNegative val="0"/>
            <c:bubble3D val="0"/>
            <c:spPr>
              <a:solidFill>
                <a:schemeClr val="tx2"/>
              </a:solidFill>
              <a:ln>
                <a:noFill/>
              </a:ln>
              <a:effectLst/>
            </c:spPr>
            <c:extLst>
              <c:ext xmlns:c16="http://schemas.microsoft.com/office/drawing/2014/chart" uri="{C3380CC4-5D6E-409C-BE32-E72D297353CC}">
                <c16:uniqueId val="{00000003-F256-4D1E-B6B3-E1EB466CC9B5}"/>
              </c:ext>
            </c:extLst>
          </c:dPt>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Remesas!$B$10:$M$10</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Remesas!$B$11:$M$11</c:f>
              <c:numCache>
                <c:formatCode>#,##0.0</c:formatCode>
                <c:ptCount val="12"/>
                <c:pt idx="0">
                  <c:v>4126.7840999999999</c:v>
                </c:pt>
                <c:pt idx="1">
                  <c:v>4378.0320000000002</c:v>
                </c:pt>
                <c:pt idx="2">
                  <c:v>4782.7287000000006</c:v>
                </c:pt>
                <c:pt idx="3">
                  <c:v>5105.1890000000003</c:v>
                </c:pt>
                <c:pt idx="4">
                  <c:v>5544.0975999999991</c:v>
                </c:pt>
                <c:pt idx="5">
                  <c:v>6284.9778421999999</c:v>
                </c:pt>
                <c:pt idx="6">
                  <c:v>7159.9676000000009</c:v>
                </c:pt>
                <c:pt idx="7">
                  <c:v>8192.213099999999</c:v>
                </c:pt>
                <c:pt idx="8">
                  <c:v>9287.7706999999991</c:v>
                </c:pt>
                <c:pt idx="9">
                  <c:v>10508.3074</c:v>
                </c:pt>
                <c:pt idx="10">
                  <c:v>11340.4156361</c:v>
                </c:pt>
                <c:pt idx="11">
                  <c:v>6966.1495000000004</c:v>
                </c:pt>
              </c:numCache>
            </c:numRef>
          </c:val>
          <c:extLst>
            <c:ext xmlns:c16="http://schemas.microsoft.com/office/drawing/2014/chart" uri="{C3380CC4-5D6E-409C-BE32-E72D297353CC}">
              <c16:uniqueId val="{00000004-F256-4D1E-B6B3-E1EB466CC9B5}"/>
            </c:ext>
          </c:extLst>
        </c:ser>
        <c:dLbls>
          <c:showLegendKey val="0"/>
          <c:showVal val="0"/>
          <c:showCatName val="0"/>
          <c:showSerName val="0"/>
          <c:showPercent val="0"/>
          <c:showBubbleSize val="0"/>
        </c:dLbls>
        <c:gapWidth val="150"/>
        <c:axId val="454361088"/>
        <c:axId val="454362624"/>
      </c:barChart>
      <c:catAx>
        <c:axId val="45436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54362624"/>
        <c:crosses val="autoZero"/>
        <c:auto val="1"/>
        <c:lblAlgn val="ctr"/>
        <c:lblOffset val="100"/>
        <c:noMultiLvlLbl val="0"/>
      </c:catAx>
      <c:valAx>
        <c:axId val="45436262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54361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033860436866884E-2"/>
          <c:y val="1.6271808999081726E-2"/>
          <c:w val="0.88472371532070893"/>
          <c:h val="0.92821587384221604"/>
        </c:manualLayout>
      </c:layout>
      <c:barChart>
        <c:barDir val="col"/>
        <c:grouping val="clustered"/>
        <c:varyColors val="0"/>
        <c:ser>
          <c:idx val="1"/>
          <c:order val="0"/>
          <c:spPr>
            <a:solidFill>
              <a:schemeClr val="tx2">
                <a:lumMod val="60000"/>
                <a:lumOff val="40000"/>
              </a:schemeClr>
            </a:solidFill>
          </c:spPr>
          <c:invertIfNegative val="0"/>
          <c:dPt>
            <c:idx val="9"/>
            <c:invertIfNegative val="0"/>
            <c:bubble3D val="0"/>
            <c:extLst>
              <c:ext xmlns:c16="http://schemas.microsoft.com/office/drawing/2014/chart" uri="{C3380CC4-5D6E-409C-BE32-E72D297353CC}">
                <c16:uniqueId val="{00000000-8729-458A-A327-662AB5B3A1B4}"/>
              </c:ext>
            </c:extLst>
          </c:dPt>
          <c:dPt>
            <c:idx val="10"/>
            <c:invertIfNegative val="0"/>
            <c:bubble3D val="0"/>
            <c:extLst>
              <c:ext xmlns:c16="http://schemas.microsoft.com/office/drawing/2014/chart" uri="{C3380CC4-5D6E-409C-BE32-E72D297353CC}">
                <c16:uniqueId val="{00000001-8729-458A-A327-662AB5B3A1B4}"/>
              </c:ext>
            </c:extLst>
          </c:dPt>
          <c:dPt>
            <c:idx val="11"/>
            <c:invertIfNegative val="0"/>
            <c:bubble3D val="0"/>
            <c:spPr>
              <a:solidFill>
                <a:schemeClr val="tx2">
                  <a:lumMod val="50000"/>
                </a:schemeClr>
              </a:solidFill>
            </c:spPr>
            <c:extLst>
              <c:ext xmlns:c16="http://schemas.microsoft.com/office/drawing/2014/chart" uri="{C3380CC4-5D6E-409C-BE32-E72D297353CC}">
                <c16:uniqueId val="{00000003-8729-458A-A327-662AB5B3A1B4}"/>
              </c:ext>
            </c:extLst>
          </c:dPt>
          <c:dLbls>
            <c:numFmt formatCode="#,##0.0" sourceLinked="0"/>
            <c:spPr>
              <a:noFill/>
              <a:ln>
                <a:noFill/>
              </a:ln>
              <a:effectLst/>
            </c:spPr>
            <c:txPr>
              <a:bodyPr wrap="square" lIns="38100" tIns="19050" rIns="38100" bIns="19050" anchor="ctr">
                <a:spAutoFit/>
              </a:bodyPr>
              <a:lstStyle/>
              <a:p>
                <a:pPr>
                  <a:defRPr sz="600">
                    <a:latin typeface="Times New Roman" panose="02020603050405020304" pitchFamily="18" charset="0"/>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RMI!$B$38:$B$49</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RMI!$C$38:$C$49</c:f>
              <c:numCache>
                <c:formatCode>#,##0.0</c:formatCode>
                <c:ptCount val="12"/>
                <c:pt idx="0">
                  <c:v>5953.8</c:v>
                </c:pt>
                <c:pt idx="1">
                  <c:v>6187.9</c:v>
                </c:pt>
                <c:pt idx="2">
                  <c:v>6693.8</c:v>
                </c:pt>
                <c:pt idx="3">
                  <c:v>7272.6</c:v>
                </c:pt>
                <c:pt idx="4">
                  <c:v>7333.4</c:v>
                </c:pt>
                <c:pt idx="5">
                  <c:v>7751.2</c:v>
                </c:pt>
                <c:pt idx="6">
                  <c:v>9160.4</c:v>
                </c:pt>
                <c:pt idx="7">
                  <c:v>11769.5</c:v>
                </c:pt>
                <c:pt idx="8">
                  <c:v>12755.6</c:v>
                </c:pt>
                <c:pt idx="9">
                  <c:v>14279.8</c:v>
                </c:pt>
                <c:pt idx="10">
                  <c:v>16991.8</c:v>
                </c:pt>
                <c:pt idx="11">
                  <c:v>18748.8</c:v>
                </c:pt>
              </c:numCache>
            </c:numRef>
          </c:val>
          <c:extLst>
            <c:ext xmlns:c16="http://schemas.microsoft.com/office/drawing/2014/chart" uri="{C3380CC4-5D6E-409C-BE32-E72D297353CC}">
              <c16:uniqueId val="{00000004-8729-458A-A327-662AB5B3A1B4}"/>
            </c:ext>
          </c:extLst>
        </c:ser>
        <c:dLbls>
          <c:showLegendKey val="0"/>
          <c:showVal val="0"/>
          <c:showCatName val="0"/>
          <c:showSerName val="0"/>
          <c:showPercent val="0"/>
          <c:showBubbleSize val="0"/>
        </c:dLbls>
        <c:gapWidth val="150"/>
        <c:axId val="455139328"/>
        <c:axId val="455140864"/>
      </c:barChart>
      <c:catAx>
        <c:axId val="455139328"/>
        <c:scaling>
          <c:orientation val="minMax"/>
        </c:scaling>
        <c:delete val="0"/>
        <c:axPos val="b"/>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GT"/>
          </a:p>
        </c:txPr>
        <c:crossAx val="455140864"/>
        <c:crosses val="autoZero"/>
        <c:auto val="1"/>
        <c:lblAlgn val="ctr"/>
        <c:lblOffset val="100"/>
        <c:noMultiLvlLbl val="0"/>
      </c:catAx>
      <c:valAx>
        <c:axId val="455140864"/>
        <c:scaling>
          <c:orientation val="minMax"/>
        </c:scaling>
        <c:delete val="0"/>
        <c:axPos val="l"/>
        <c:numFmt formatCode="#,##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GT"/>
          </a:p>
        </c:txPr>
        <c:crossAx val="455139328"/>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757037037037119E-2"/>
          <c:y val="2.1528333333333333E-2"/>
          <c:w val="0.87767808641975309"/>
          <c:h val="0.81530583333333395"/>
        </c:manualLayout>
      </c:layout>
      <c:lineChart>
        <c:grouping val="standard"/>
        <c:varyColors val="0"/>
        <c:ser>
          <c:idx val="0"/>
          <c:order val="0"/>
          <c:spPr>
            <a:ln w="0" cmpd="dbl">
              <a:prstDash val="sysDash"/>
            </a:ln>
          </c:spPr>
          <c:marker>
            <c:spPr>
              <a:ln>
                <a:noFill/>
              </a:ln>
            </c:spPr>
          </c:marker>
          <c:dLbls>
            <c:dLbl>
              <c:idx val="136"/>
              <c:layout>
                <c:manualLayout>
                  <c:x val="-1.1504671302504281E-2"/>
                  <c:y val="-3.3788174139051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86-4826-805F-802FF3E0FFC2}"/>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'Tasa lider'!$B$30:$B$167</c:f>
              <c:numCache>
                <c:formatCode>mmm\-yy</c:formatCode>
                <c:ptCount val="138"/>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pt idx="45">
                  <c:v>41548</c:v>
                </c:pt>
                <c:pt idx="46">
                  <c:v>41579</c:v>
                </c:pt>
                <c:pt idx="47">
                  <c:v>41609</c:v>
                </c:pt>
                <c:pt idx="48">
                  <c:v>41640</c:v>
                </c:pt>
                <c:pt idx="49">
                  <c:v>41671</c:v>
                </c:pt>
                <c:pt idx="50">
                  <c:v>41699</c:v>
                </c:pt>
                <c:pt idx="51">
                  <c:v>41730</c:v>
                </c:pt>
                <c:pt idx="52">
                  <c:v>41760</c:v>
                </c:pt>
                <c:pt idx="53">
                  <c:v>41791</c:v>
                </c:pt>
                <c:pt idx="54">
                  <c:v>41821</c:v>
                </c:pt>
                <c:pt idx="55">
                  <c:v>41852</c:v>
                </c:pt>
                <c:pt idx="56">
                  <c:v>41883</c:v>
                </c:pt>
                <c:pt idx="57">
                  <c:v>41913</c:v>
                </c:pt>
                <c:pt idx="58">
                  <c:v>41944</c:v>
                </c:pt>
                <c:pt idx="59">
                  <c:v>41974</c:v>
                </c:pt>
                <c:pt idx="60">
                  <c:v>42005</c:v>
                </c:pt>
                <c:pt idx="61">
                  <c:v>42036</c:v>
                </c:pt>
                <c:pt idx="62">
                  <c:v>42064</c:v>
                </c:pt>
                <c:pt idx="63">
                  <c:v>42095</c:v>
                </c:pt>
                <c:pt idx="64">
                  <c:v>42125</c:v>
                </c:pt>
                <c:pt idx="65">
                  <c:v>42156</c:v>
                </c:pt>
                <c:pt idx="66">
                  <c:v>42186</c:v>
                </c:pt>
                <c:pt idx="67">
                  <c:v>42217</c:v>
                </c:pt>
                <c:pt idx="68">
                  <c:v>42248</c:v>
                </c:pt>
                <c:pt idx="69">
                  <c:v>42278</c:v>
                </c:pt>
                <c:pt idx="70">
                  <c:v>42309</c:v>
                </c:pt>
                <c:pt idx="71">
                  <c:v>42339</c:v>
                </c:pt>
                <c:pt idx="72">
                  <c:v>42370</c:v>
                </c:pt>
                <c:pt idx="73">
                  <c:v>42401</c:v>
                </c:pt>
                <c:pt idx="74">
                  <c:v>42430</c:v>
                </c:pt>
                <c:pt idx="75">
                  <c:v>42461</c:v>
                </c:pt>
                <c:pt idx="76">
                  <c:v>42491</c:v>
                </c:pt>
                <c:pt idx="77">
                  <c:v>42522</c:v>
                </c:pt>
                <c:pt idx="78">
                  <c:v>42552</c:v>
                </c:pt>
                <c:pt idx="79">
                  <c:v>42583</c:v>
                </c:pt>
                <c:pt idx="80">
                  <c:v>42614</c:v>
                </c:pt>
                <c:pt idx="81">
                  <c:v>42644</c:v>
                </c:pt>
                <c:pt idx="82">
                  <c:v>42675</c:v>
                </c:pt>
                <c:pt idx="83">
                  <c:v>42705</c:v>
                </c:pt>
                <c:pt idx="84">
                  <c:v>42736</c:v>
                </c:pt>
                <c:pt idx="85">
                  <c:v>42767</c:v>
                </c:pt>
                <c:pt idx="86">
                  <c:v>42795</c:v>
                </c:pt>
                <c:pt idx="87">
                  <c:v>42826</c:v>
                </c:pt>
                <c:pt idx="88">
                  <c:v>42856</c:v>
                </c:pt>
                <c:pt idx="89">
                  <c:v>42887</c:v>
                </c:pt>
                <c:pt idx="90">
                  <c:v>42917</c:v>
                </c:pt>
                <c:pt idx="91">
                  <c:v>42948</c:v>
                </c:pt>
                <c:pt idx="92">
                  <c:v>42979</c:v>
                </c:pt>
                <c:pt idx="93">
                  <c:v>43009</c:v>
                </c:pt>
                <c:pt idx="94">
                  <c:v>43040</c:v>
                </c:pt>
                <c:pt idx="95">
                  <c:v>43070</c:v>
                </c:pt>
                <c:pt idx="96">
                  <c:v>43101</c:v>
                </c:pt>
                <c:pt idx="97">
                  <c:v>43132</c:v>
                </c:pt>
                <c:pt idx="98">
                  <c:v>43160</c:v>
                </c:pt>
                <c:pt idx="99">
                  <c:v>43191</c:v>
                </c:pt>
                <c:pt idx="100">
                  <c:v>43221</c:v>
                </c:pt>
                <c:pt idx="101">
                  <c:v>43252</c:v>
                </c:pt>
                <c:pt idx="102">
                  <c:v>43282</c:v>
                </c:pt>
                <c:pt idx="103">
                  <c:v>43313</c:v>
                </c:pt>
                <c:pt idx="104">
                  <c:v>43344</c:v>
                </c:pt>
                <c:pt idx="105">
                  <c:v>43374</c:v>
                </c:pt>
                <c:pt idx="106">
                  <c:v>43405</c:v>
                </c:pt>
                <c:pt idx="107">
                  <c:v>43435</c:v>
                </c:pt>
                <c:pt idx="108">
                  <c:v>43466</c:v>
                </c:pt>
                <c:pt idx="109">
                  <c:v>43497</c:v>
                </c:pt>
                <c:pt idx="110">
                  <c:v>43525</c:v>
                </c:pt>
                <c:pt idx="111">
                  <c:v>43556</c:v>
                </c:pt>
                <c:pt idx="112">
                  <c:v>43586</c:v>
                </c:pt>
                <c:pt idx="113">
                  <c:v>43617</c:v>
                </c:pt>
                <c:pt idx="114">
                  <c:v>43647</c:v>
                </c:pt>
                <c:pt idx="115">
                  <c:v>43678</c:v>
                </c:pt>
                <c:pt idx="116">
                  <c:v>43709</c:v>
                </c:pt>
                <c:pt idx="117">
                  <c:v>43739</c:v>
                </c:pt>
                <c:pt idx="118">
                  <c:v>43770</c:v>
                </c:pt>
                <c:pt idx="119">
                  <c:v>43800</c:v>
                </c:pt>
                <c:pt idx="120">
                  <c:v>43831</c:v>
                </c:pt>
                <c:pt idx="121">
                  <c:v>43862</c:v>
                </c:pt>
                <c:pt idx="122">
                  <c:v>43891</c:v>
                </c:pt>
                <c:pt idx="123">
                  <c:v>43922</c:v>
                </c:pt>
                <c:pt idx="124">
                  <c:v>43952</c:v>
                </c:pt>
                <c:pt idx="125">
                  <c:v>43983</c:v>
                </c:pt>
                <c:pt idx="126">
                  <c:v>44013</c:v>
                </c:pt>
                <c:pt idx="127">
                  <c:v>44044</c:v>
                </c:pt>
                <c:pt idx="128">
                  <c:v>44075</c:v>
                </c:pt>
                <c:pt idx="129">
                  <c:v>44105</c:v>
                </c:pt>
                <c:pt idx="130">
                  <c:v>44136</c:v>
                </c:pt>
                <c:pt idx="131">
                  <c:v>44166</c:v>
                </c:pt>
                <c:pt idx="132">
                  <c:v>44197</c:v>
                </c:pt>
                <c:pt idx="133">
                  <c:v>44228</c:v>
                </c:pt>
                <c:pt idx="134">
                  <c:v>44256</c:v>
                </c:pt>
                <c:pt idx="135">
                  <c:v>44287</c:v>
                </c:pt>
                <c:pt idx="136">
                  <c:v>44317</c:v>
                </c:pt>
                <c:pt idx="137">
                  <c:v>44348</c:v>
                </c:pt>
              </c:numCache>
            </c:numRef>
          </c:cat>
          <c:val>
            <c:numRef>
              <c:f>'Tasa lider'!$C$30:$C$167</c:f>
              <c:numCache>
                <c:formatCode>0.00</c:formatCode>
                <c:ptCount val="138"/>
                <c:pt idx="0">
                  <c:v>4.5</c:v>
                </c:pt>
                <c:pt idx="1">
                  <c:v>4.5</c:v>
                </c:pt>
                <c:pt idx="2">
                  <c:v>4.5</c:v>
                </c:pt>
                <c:pt idx="3">
                  <c:v>4.5</c:v>
                </c:pt>
                <c:pt idx="4">
                  <c:v>4.5</c:v>
                </c:pt>
                <c:pt idx="5">
                  <c:v>4.5</c:v>
                </c:pt>
                <c:pt idx="6">
                  <c:v>4.5</c:v>
                </c:pt>
                <c:pt idx="7">
                  <c:v>4.5</c:v>
                </c:pt>
                <c:pt idx="8">
                  <c:v>4.5</c:v>
                </c:pt>
                <c:pt idx="9">
                  <c:v>4.5</c:v>
                </c:pt>
                <c:pt idx="10">
                  <c:v>4.5</c:v>
                </c:pt>
                <c:pt idx="11">
                  <c:v>4.5</c:v>
                </c:pt>
                <c:pt idx="12">
                  <c:v>4.5</c:v>
                </c:pt>
                <c:pt idx="13">
                  <c:v>4.5</c:v>
                </c:pt>
                <c:pt idx="14">
                  <c:v>4.75</c:v>
                </c:pt>
                <c:pt idx="15">
                  <c:v>4.75</c:v>
                </c:pt>
                <c:pt idx="16">
                  <c:v>4.75</c:v>
                </c:pt>
                <c:pt idx="17">
                  <c:v>4.75</c:v>
                </c:pt>
                <c:pt idx="18">
                  <c:v>5</c:v>
                </c:pt>
                <c:pt idx="19">
                  <c:v>5</c:v>
                </c:pt>
                <c:pt idx="20">
                  <c:v>5.5</c:v>
                </c:pt>
                <c:pt idx="21">
                  <c:v>5.5</c:v>
                </c:pt>
                <c:pt idx="22">
                  <c:v>5.5</c:v>
                </c:pt>
                <c:pt idx="23">
                  <c:v>5.5</c:v>
                </c:pt>
                <c:pt idx="24">
                  <c:v>5.5</c:v>
                </c:pt>
                <c:pt idx="25">
                  <c:v>5.5</c:v>
                </c:pt>
                <c:pt idx="26">
                  <c:v>5.5</c:v>
                </c:pt>
                <c:pt idx="27">
                  <c:v>5.5</c:v>
                </c:pt>
                <c:pt idx="28">
                  <c:v>5.5</c:v>
                </c:pt>
                <c:pt idx="29">
                  <c:v>5</c:v>
                </c:pt>
                <c:pt idx="30">
                  <c:v>5</c:v>
                </c:pt>
                <c:pt idx="31">
                  <c:v>5</c:v>
                </c:pt>
                <c:pt idx="32">
                  <c:v>5</c:v>
                </c:pt>
                <c:pt idx="33">
                  <c:v>5</c:v>
                </c:pt>
                <c:pt idx="34">
                  <c:v>5</c:v>
                </c:pt>
                <c:pt idx="35">
                  <c:v>5</c:v>
                </c:pt>
                <c:pt idx="36">
                  <c:v>5</c:v>
                </c:pt>
                <c:pt idx="37">
                  <c:v>5</c:v>
                </c:pt>
                <c:pt idx="38">
                  <c:v>5</c:v>
                </c:pt>
                <c:pt idx="39">
                  <c:v>5.25</c:v>
                </c:pt>
                <c:pt idx="40">
                  <c:v>5.25</c:v>
                </c:pt>
                <c:pt idx="41">
                  <c:v>5.25</c:v>
                </c:pt>
                <c:pt idx="42">
                  <c:v>5.25</c:v>
                </c:pt>
                <c:pt idx="43">
                  <c:v>5.25</c:v>
                </c:pt>
                <c:pt idx="44">
                  <c:v>5.25</c:v>
                </c:pt>
                <c:pt idx="45">
                  <c:v>5</c:v>
                </c:pt>
                <c:pt idx="46">
                  <c:v>5</c:v>
                </c:pt>
                <c:pt idx="47">
                  <c:v>5</c:v>
                </c:pt>
                <c:pt idx="48">
                  <c:v>5</c:v>
                </c:pt>
                <c:pt idx="49">
                  <c:v>5</c:v>
                </c:pt>
                <c:pt idx="50">
                  <c:v>5</c:v>
                </c:pt>
                <c:pt idx="51" formatCode="General">
                  <c:v>5</c:v>
                </c:pt>
                <c:pt idx="52" formatCode="General">
                  <c:v>4.75</c:v>
                </c:pt>
                <c:pt idx="53" formatCode="General">
                  <c:v>4.75</c:v>
                </c:pt>
                <c:pt idx="54" formatCode="General">
                  <c:v>4.75</c:v>
                </c:pt>
                <c:pt idx="55" formatCode="General">
                  <c:v>4.5</c:v>
                </c:pt>
                <c:pt idx="56" formatCode="General">
                  <c:v>4.5</c:v>
                </c:pt>
                <c:pt idx="57" formatCode="General">
                  <c:v>4.5</c:v>
                </c:pt>
                <c:pt idx="58" formatCode="General">
                  <c:v>4</c:v>
                </c:pt>
                <c:pt idx="59" formatCode="General">
                  <c:v>4</c:v>
                </c:pt>
                <c:pt idx="60" formatCode="General">
                  <c:v>4</c:v>
                </c:pt>
                <c:pt idx="61" formatCode="General">
                  <c:v>4</c:v>
                </c:pt>
                <c:pt idx="62" formatCode="General">
                  <c:v>4</c:v>
                </c:pt>
                <c:pt idx="63" formatCode="General">
                  <c:v>4</c:v>
                </c:pt>
                <c:pt idx="64" formatCode="General">
                  <c:v>3.5</c:v>
                </c:pt>
                <c:pt idx="65" formatCode="General">
                  <c:v>3.5</c:v>
                </c:pt>
                <c:pt idx="66" formatCode="General">
                  <c:v>3.5</c:v>
                </c:pt>
                <c:pt idx="67" formatCode="General">
                  <c:v>3.25</c:v>
                </c:pt>
                <c:pt idx="68" formatCode="General">
                  <c:v>3.25</c:v>
                </c:pt>
                <c:pt idx="69" formatCode="General">
                  <c:v>3.25</c:v>
                </c:pt>
                <c:pt idx="70" formatCode="General">
                  <c:v>3</c:v>
                </c:pt>
                <c:pt idx="71" formatCode="General">
                  <c:v>3</c:v>
                </c:pt>
                <c:pt idx="72" formatCode="General">
                  <c:v>3</c:v>
                </c:pt>
                <c:pt idx="73" formatCode="General">
                  <c:v>3</c:v>
                </c:pt>
                <c:pt idx="74" formatCode="General">
                  <c:v>3</c:v>
                </c:pt>
                <c:pt idx="75" formatCode="General">
                  <c:v>3</c:v>
                </c:pt>
                <c:pt idx="76" formatCode="General">
                  <c:v>3</c:v>
                </c:pt>
                <c:pt idx="77" formatCode="General">
                  <c:v>3</c:v>
                </c:pt>
                <c:pt idx="78" formatCode="General">
                  <c:v>3</c:v>
                </c:pt>
                <c:pt idx="79" formatCode="General">
                  <c:v>3</c:v>
                </c:pt>
                <c:pt idx="80" formatCode="General">
                  <c:v>3</c:v>
                </c:pt>
                <c:pt idx="81" formatCode="General">
                  <c:v>3</c:v>
                </c:pt>
                <c:pt idx="82" formatCode="General">
                  <c:v>3</c:v>
                </c:pt>
                <c:pt idx="83" formatCode="General">
                  <c:v>3</c:v>
                </c:pt>
                <c:pt idx="84" formatCode="General">
                  <c:v>3</c:v>
                </c:pt>
                <c:pt idx="85" formatCode="General">
                  <c:v>3</c:v>
                </c:pt>
                <c:pt idx="86" formatCode="General">
                  <c:v>3</c:v>
                </c:pt>
                <c:pt idx="87" formatCode="General">
                  <c:v>3</c:v>
                </c:pt>
                <c:pt idx="88" formatCode="General">
                  <c:v>3</c:v>
                </c:pt>
                <c:pt idx="89" formatCode="General">
                  <c:v>3</c:v>
                </c:pt>
                <c:pt idx="90" formatCode="General">
                  <c:v>3</c:v>
                </c:pt>
                <c:pt idx="91" formatCode="General">
                  <c:v>3</c:v>
                </c:pt>
                <c:pt idx="92" formatCode="General">
                  <c:v>3</c:v>
                </c:pt>
                <c:pt idx="93" formatCode="General">
                  <c:v>2.75</c:v>
                </c:pt>
                <c:pt idx="94" formatCode="General">
                  <c:v>2.75</c:v>
                </c:pt>
                <c:pt idx="95" formatCode="General">
                  <c:v>2.75</c:v>
                </c:pt>
                <c:pt idx="96" formatCode="General">
                  <c:v>2.75</c:v>
                </c:pt>
                <c:pt idx="97" formatCode="General">
                  <c:v>2.75</c:v>
                </c:pt>
                <c:pt idx="98" formatCode="General">
                  <c:v>2.75</c:v>
                </c:pt>
                <c:pt idx="99" formatCode="General">
                  <c:v>2.75</c:v>
                </c:pt>
                <c:pt idx="100" formatCode="General">
                  <c:v>2.75</c:v>
                </c:pt>
                <c:pt idx="101" formatCode="General">
                  <c:v>2.75</c:v>
                </c:pt>
                <c:pt idx="102" formatCode="General">
                  <c:v>2.75</c:v>
                </c:pt>
                <c:pt idx="103" formatCode="General">
                  <c:v>2.75</c:v>
                </c:pt>
                <c:pt idx="104" formatCode="General">
                  <c:v>2.75</c:v>
                </c:pt>
                <c:pt idx="105" formatCode="General">
                  <c:v>2.75</c:v>
                </c:pt>
                <c:pt idx="106" formatCode="General">
                  <c:v>2.75</c:v>
                </c:pt>
                <c:pt idx="107" formatCode="General">
                  <c:v>2.75</c:v>
                </c:pt>
                <c:pt idx="108" formatCode="General">
                  <c:v>2.75</c:v>
                </c:pt>
                <c:pt idx="109" formatCode="General">
                  <c:v>2.75</c:v>
                </c:pt>
                <c:pt idx="110" formatCode="General">
                  <c:v>2.75</c:v>
                </c:pt>
                <c:pt idx="111" formatCode="General">
                  <c:v>2.75</c:v>
                </c:pt>
                <c:pt idx="112" formatCode="General">
                  <c:v>2.75</c:v>
                </c:pt>
                <c:pt idx="113" formatCode="General">
                  <c:v>2.75</c:v>
                </c:pt>
                <c:pt idx="114" formatCode="General">
                  <c:v>2.75</c:v>
                </c:pt>
                <c:pt idx="115" formatCode="General">
                  <c:v>2.75</c:v>
                </c:pt>
                <c:pt idx="116" formatCode="General">
                  <c:v>2.75</c:v>
                </c:pt>
                <c:pt idx="117" formatCode="General">
                  <c:v>2.75</c:v>
                </c:pt>
                <c:pt idx="118" formatCode="General">
                  <c:v>2.75</c:v>
                </c:pt>
                <c:pt idx="119" formatCode="General">
                  <c:v>2.75</c:v>
                </c:pt>
                <c:pt idx="120" formatCode="General">
                  <c:v>2.75</c:v>
                </c:pt>
                <c:pt idx="121" formatCode="General">
                  <c:v>2.75</c:v>
                </c:pt>
                <c:pt idx="122" formatCode="General">
                  <c:v>2.25</c:v>
                </c:pt>
                <c:pt idx="123">
                  <c:v>2</c:v>
                </c:pt>
                <c:pt idx="124">
                  <c:v>2</c:v>
                </c:pt>
                <c:pt idx="125" formatCode="General">
                  <c:v>1.75</c:v>
                </c:pt>
                <c:pt idx="126" formatCode="General">
                  <c:v>1.75</c:v>
                </c:pt>
                <c:pt idx="127" formatCode="General">
                  <c:v>1.75</c:v>
                </c:pt>
                <c:pt idx="128" formatCode="General">
                  <c:v>1.75</c:v>
                </c:pt>
                <c:pt idx="129" formatCode="General">
                  <c:v>1.75</c:v>
                </c:pt>
                <c:pt idx="130" formatCode="General">
                  <c:v>1.75</c:v>
                </c:pt>
                <c:pt idx="131" formatCode="General">
                  <c:v>1.75</c:v>
                </c:pt>
                <c:pt idx="132" formatCode="General">
                  <c:v>1.75</c:v>
                </c:pt>
                <c:pt idx="133" formatCode="General">
                  <c:v>1.75</c:v>
                </c:pt>
                <c:pt idx="134" formatCode="General">
                  <c:v>1.75</c:v>
                </c:pt>
                <c:pt idx="135" formatCode="General">
                  <c:v>1.75</c:v>
                </c:pt>
                <c:pt idx="136" formatCode="General">
                  <c:v>1.75</c:v>
                </c:pt>
                <c:pt idx="137" formatCode="General">
                  <c:v>1.75</c:v>
                </c:pt>
              </c:numCache>
            </c:numRef>
          </c:val>
          <c:smooth val="1"/>
          <c:extLst>
            <c:ext xmlns:c16="http://schemas.microsoft.com/office/drawing/2014/chart" uri="{C3380CC4-5D6E-409C-BE32-E72D297353CC}">
              <c16:uniqueId val="{00000001-8986-4826-805F-802FF3E0FFC2}"/>
            </c:ext>
          </c:extLst>
        </c:ser>
        <c:dLbls>
          <c:showLegendKey val="0"/>
          <c:showVal val="1"/>
          <c:showCatName val="0"/>
          <c:showSerName val="0"/>
          <c:showPercent val="0"/>
          <c:showBubbleSize val="0"/>
        </c:dLbls>
        <c:marker val="1"/>
        <c:smooth val="0"/>
        <c:axId val="463404032"/>
        <c:axId val="463606528"/>
      </c:lineChart>
      <c:dateAx>
        <c:axId val="463404032"/>
        <c:scaling>
          <c:orientation val="minMax"/>
        </c:scaling>
        <c:delete val="0"/>
        <c:axPos val="b"/>
        <c:numFmt formatCode="mmm\-yy" sourceLinked="1"/>
        <c:majorTickMark val="out"/>
        <c:minorTickMark val="none"/>
        <c:tickLblPos val="nextTo"/>
        <c:txPr>
          <a:bodyPr rot="-5400000" vert="horz"/>
          <a:lstStyle/>
          <a:p>
            <a:pPr>
              <a:defRPr lang="es-GT" sz="900">
                <a:latin typeface="Times New Roman" panose="02020603050405020304" pitchFamily="18" charset="0"/>
                <a:cs typeface="Times New Roman" panose="02020603050405020304" pitchFamily="18" charset="0"/>
              </a:defRPr>
            </a:pPr>
            <a:endParaRPr lang="es-GT"/>
          </a:p>
        </c:txPr>
        <c:crossAx val="463606528"/>
        <c:crosses val="autoZero"/>
        <c:auto val="0"/>
        <c:lblOffset val="100"/>
        <c:baseTimeUnit val="days"/>
        <c:majorUnit val="6"/>
        <c:majorTimeUnit val="months"/>
        <c:minorUnit val="60"/>
        <c:minorTimeUnit val="days"/>
      </c:dateAx>
      <c:valAx>
        <c:axId val="463606528"/>
        <c:scaling>
          <c:orientation val="minMax"/>
        </c:scaling>
        <c:delete val="0"/>
        <c:axPos val="l"/>
        <c:numFmt formatCode="0.00" sourceLinked="1"/>
        <c:majorTickMark val="out"/>
        <c:minorTickMark val="none"/>
        <c:tickLblPos val="nextTo"/>
        <c:txPr>
          <a:bodyPr/>
          <a:lstStyle/>
          <a:p>
            <a:pPr>
              <a:defRPr lang="es-GT" sz="900">
                <a:latin typeface="Times New Roman" panose="02020603050405020304" pitchFamily="18" charset="0"/>
                <a:cs typeface="Times New Roman" panose="02020603050405020304" pitchFamily="18" charset="0"/>
              </a:defRPr>
            </a:pPr>
            <a:endParaRPr lang="es-GT"/>
          </a:p>
        </c:txPr>
        <c:crossAx val="463404032"/>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395736247254812E-2"/>
          <c:y val="2.340922719658E-2"/>
          <c:w val="0.93944099844662277"/>
          <c:h val="0.84874179555519969"/>
        </c:manualLayout>
      </c:layout>
      <c:lineChart>
        <c:grouping val="standard"/>
        <c:varyColors val="0"/>
        <c:ser>
          <c:idx val="0"/>
          <c:order val="0"/>
          <c:marker>
            <c:symbol val="none"/>
          </c:marker>
          <c:dLbls>
            <c:dLbl>
              <c:idx val="95"/>
              <c:layout>
                <c:manualLayout>
                  <c:x val="-1.5151515151515152E-2"/>
                  <c:y val="4.1109964731750465E-2"/>
                </c:manualLayout>
              </c:layout>
              <c:tx>
                <c:rich>
                  <a:bodyPr/>
                  <a:lstStyle/>
                  <a:p>
                    <a:r>
                      <a:rPr lang="en-US"/>
                      <a:t>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3E-483C-88A0-71AF5497125B}"/>
                </c:ext>
              </c:extLst>
            </c:dLbl>
            <c:dLbl>
              <c:idx val="113"/>
              <c:layout>
                <c:manualLayout>
                  <c:x val="0"/>
                  <c:y val="-3.2581108473989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3E-483C-88A0-71AF5497125B}"/>
                </c:ext>
              </c:extLst>
            </c:dLbl>
            <c:spPr>
              <a:noFill/>
              <a:ln>
                <a:noFill/>
              </a:ln>
              <a:effectLst/>
            </c:spPr>
            <c:txPr>
              <a:bodyPr/>
              <a:lstStyle/>
              <a:p>
                <a:pPr>
                  <a:defRPr sz="700"/>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'Tipo de cambio '!$B$49:$B$162</c:f>
              <c:numCache>
                <c:formatCode>mmm\-yy</c:formatCode>
                <c:ptCount val="114"/>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numCache>
            </c:numRef>
          </c:cat>
          <c:val>
            <c:numRef>
              <c:f>'Tipo de cambio '!$C$49:$C$162</c:f>
              <c:numCache>
                <c:formatCode>0.00</c:formatCode>
                <c:ptCount val="114"/>
                <c:pt idx="0">
                  <c:v>7.7961150438286015</c:v>
                </c:pt>
                <c:pt idx="1">
                  <c:v>7.7717156914712424</c:v>
                </c:pt>
                <c:pt idx="2">
                  <c:v>7.7114080377043663</c:v>
                </c:pt>
                <c:pt idx="3">
                  <c:v>7.7361698654414432</c:v>
                </c:pt>
                <c:pt idx="4">
                  <c:v>7.7713813450451523</c:v>
                </c:pt>
                <c:pt idx="5">
                  <c:v>7.8366949562429706</c:v>
                </c:pt>
                <c:pt idx="6">
                  <c:v>7.8116238113454335</c:v>
                </c:pt>
                <c:pt idx="7">
                  <c:v>7.8730184642662957</c:v>
                </c:pt>
                <c:pt idx="8">
                  <c:v>7.9600809529215901</c:v>
                </c:pt>
                <c:pt idx="9">
                  <c:v>7.8591272112229635</c:v>
                </c:pt>
                <c:pt idx="10">
                  <c:v>7.8577571624899534</c:v>
                </c:pt>
                <c:pt idx="11">
                  <c:v>7.8760996804198387</c:v>
                </c:pt>
                <c:pt idx="12">
                  <c:v>7.8676223145967352</c:v>
                </c:pt>
                <c:pt idx="13">
                  <c:v>7.8144026695091791</c:v>
                </c:pt>
                <c:pt idx="14">
                  <c:v>7.796449289985194</c:v>
                </c:pt>
                <c:pt idx="15">
                  <c:v>7.7833198003135866</c:v>
                </c:pt>
                <c:pt idx="16">
                  <c:v>7.7759057149550967</c:v>
                </c:pt>
                <c:pt idx="17">
                  <c:v>7.8050829379452455</c:v>
                </c:pt>
                <c:pt idx="18">
                  <c:v>7.8101543267547084</c:v>
                </c:pt>
                <c:pt idx="19">
                  <c:v>7.8872658086161449</c:v>
                </c:pt>
                <c:pt idx="20">
                  <c:v>7.9287701658764824</c:v>
                </c:pt>
                <c:pt idx="21">
                  <c:v>7.9452553613637473</c:v>
                </c:pt>
                <c:pt idx="22">
                  <c:v>7.8807803315772027</c:v>
                </c:pt>
                <c:pt idx="23">
                  <c:v>7.8470375175462435</c:v>
                </c:pt>
                <c:pt idx="24">
                  <c:v>7.8320838751031925</c:v>
                </c:pt>
                <c:pt idx="25">
                  <c:v>7.7452676742437232</c:v>
                </c:pt>
                <c:pt idx="26">
                  <c:v>7.716182521911791</c:v>
                </c:pt>
                <c:pt idx="27">
                  <c:v>7.7358942457094715</c:v>
                </c:pt>
                <c:pt idx="28">
                  <c:v>7.7238409151556899</c:v>
                </c:pt>
                <c:pt idx="29">
                  <c:v>7.794062106829351</c:v>
                </c:pt>
                <c:pt idx="30">
                  <c:v>7.7608612600678732</c:v>
                </c:pt>
                <c:pt idx="31">
                  <c:v>7.7919629649641315</c:v>
                </c:pt>
                <c:pt idx="32">
                  <c:v>7.7074095500672923</c:v>
                </c:pt>
                <c:pt idx="33">
                  <c:v>7.6263306051233331</c:v>
                </c:pt>
                <c:pt idx="34">
                  <c:v>7.6028563856662057</c:v>
                </c:pt>
                <c:pt idx="35">
                  <c:v>7.6081653145049968</c:v>
                </c:pt>
                <c:pt idx="36">
                  <c:v>7.6262052394466791</c:v>
                </c:pt>
                <c:pt idx="37">
                  <c:v>7.6279381066262442</c:v>
                </c:pt>
                <c:pt idx="38">
                  <c:v>7.6119953593981231</c:v>
                </c:pt>
                <c:pt idx="39">
                  <c:v>7.6911660585174326</c:v>
                </c:pt>
                <c:pt idx="40">
                  <c:v>7.6641498560319503</c:v>
                </c:pt>
                <c:pt idx="41">
                  <c:v>7.6322503878986696</c:v>
                </c:pt>
                <c:pt idx="42">
                  <c:v>7.6319384831389447</c:v>
                </c:pt>
                <c:pt idx="43">
                  <c:v>7.6324245517760358</c:v>
                </c:pt>
                <c:pt idx="44">
                  <c:v>7.673106284735578</c:v>
                </c:pt>
                <c:pt idx="45">
                  <c:v>7.6631081921590933</c:v>
                </c:pt>
                <c:pt idx="46">
                  <c:v>7.6253395894756046</c:v>
                </c:pt>
                <c:pt idx="47">
                  <c:v>7.5988045101869481</c:v>
                </c:pt>
                <c:pt idx="48">
                  <c:v>7.6329725883384123</c:v>
                </c:pt>
                <c:pt idx="49">
                  <c:v>7.6478810999684388</c:v>
                </c:pt>
                <c:pt idx="50">
                  <c:v>7.700474534516867</c:v>
                </c:pt>
                <c:pt idx="51">
                  <c:v>7.7148038979384106</c:v>
                </c:pt>
                <c:pt idx="52">
                  <c:v>7.6298602603550076</c:v>
                </c:pt>
                <c:pt idx="53">
                  <c:v>7.6243942616742704</c:v>
                </c:pt>
                <c:pt idx="54">
                  <c:v>7.5793320893025617</c:v>
                </c:pt>
                <c:pt idx="55">
                  <c:v>7.5175072133740928</c:v>
                </c:pt>
                <c:pt idx="56">
                  <c:v>7.5067242537140029</c:v>
                </c:pt>
                <c:pt idx="57">
                  <c:v>7.4790989328577018</c:v>
                </c:pt>
                <c:pt idx="58">
                  <c:v>7.4871738948605904</c:v>
                </c:pt>
                <c:pt idx="59">
                  <c:v>7.4869670540945377</c:v>
                </c:pt>
                <c:pt idx="60">
                  <c:v>7.4989221892102798</c:v>
                </c:pt>
                <c:pt idx="61">
                  <c:v>7.3861050975818427</c:v>
                </c:pt>
                <c:pt idx="62">
                  <c:v>7.34063</c:v>
                </c:pt>
                <c:pt idx="63">
                  <c:v>7.3209246234449914</c:v>
                </c:pt>
                <c:pt idx="64">
                  <c:v>7.3227859561962889</c:v>
                </c:pt>
                <c:pt idx="65">
                  <c:v>7.324765934062933</c:v>
                </c:pt>
                <c:pt idx="66">
                  <c:v>7.2821760166483491</c:v>
                </c:pt>
                <c:pt idx="67">
                  <c:v>7.2567996715469407</c:v>
                </c:pt>
                <c:pt idx="68">
                  <c:v>7.2866172843636399</c:v>
                </c:pt>
                <c:pt idx="69">
                  <c:v>7.32408950415142</c:v>
                </c:pt>
                <c:pt idx="70">
                  <c:v>7.3119034597787502</c:v>
                </c:pt>
                <c:pt idx="71">
                  <c:v>7.3228799999999996</c:v>
                </c:pt>
                <c:pt idx="72">
                  <c:v>7.3250900000000003</c:v>
                </c:pt>
                <c:pt idx="73">
                  <c:v>7.3437000000000001</c:v>
                </c:pt>
                <c:pt idx="74">
                  <c:v>7.3760000000000003</c:v>
                </c:pt>
                <c:pt idx="75">
                  <c:v>7.3854699999999998</c:v>
                </c:pt>
                <c:pt idx="76">
                  <c:v>7.4281600000000001</c:v>
                </c:pt>
                <c:pt idx="77">
                  <c:v>7.46997</c:v>
                </c:pt>
                <c:pt idx="78">
                  <c:v>7.4656900000000004</c:v>
                </c:pt>
                <c:pt idx="79">
                  <c:v>7.49099</c:v>
                </c:pt>
                <c:pt idx="80">
                  <c:v>7.6479100000000004</c:v>
                </c:pt>
                <c:pt idx="81">
                  <c:v>7.70871</c:v>
                </c:pt>
                <c:pt idx="82">
                  <c:v>7.67943</c:v>
                </c:pt>
                <c:pt idx="83">
                  <c:v>7.71333</c:v>
                </c:pt>
                <c:pt idx="84">
                  <c:v>7.7131499999999997</c:v>
                </c:pt>
                <c:pt idx="85">
                  <c:v>7.7141200000000003</c:v>
                </c:pt>
                <c:pt idx="86">
                  <c:v>7.6693800000000003</c:v>
                </c:pt>
                <c:pt idx="87">
                  <c:v>7.6245700000000003</c:v>
                </c:pt>
                <c:pt idx="88">
                  <c:v>7.65238</c:v>
                </c:pt>
                <c:pt idx="89">
                  <c:v>7.6838300000000004</c:v>
                </c:pt>
                <c:pt idx="90">
                  <c:v>7.6551099999999996</c:v>
                </c:pt>
                <c:pt idx="91">
                  <c:v>7.6528999999999998</c:v>
                </c:pt>
                <c:pt idx="92">
                  <c:v>7.6917900000000001</c:v>
                </c:pt>
                <c:pt idx="93">
                  <c:v>7.7392000000000003</c:v>
                </c:pt>
                <c:pt idx="94">
                  <c:v>7.6848799999999997</c:v>
                </c:pt>
                <c:pt idx="95">
                  <c:v>7.6698399999999998</c:v>
                </c:pt>
                <c:pt idx="96">
                  <c:v>7.6722400000000004</c:v>
                </c:pt>
                <c:pt idx="97">
                  <c:v>7.6280799999999997</c:v>
                </c:pt>
                <c:pt idx="98">
                  <c:v>7.6709899999999998</c:v>
                </c:pt>
                <c:pt idx="99">
                  <c:v>7.6908099999999999</c:v>
                </c:pt>
                <c:pt idx="100">
                  <c:v>7.6796300000000004</c:v>
                </c:pt>
                <c:pt idx="101">
                  <c:v>7.6814200000000001</c:v>
                </c:pt>
                <c:pt idx="102">
                  <c:v>7.6795099999999996</c:v>
                </c:pt>
                <c:pt idx="103">
                  <c:v>7.6889700000000003</c:v>
                </c:pt>
                <c:pt idx="104">
                  <c:v>7.7428699999999999</c:v>
                </c:pt>
                <c:pt idx="105">
                  <c:v>7.7643500000000003</c:v>
                </c:pt>
                <c:pt idx="106">
                  <c:v>7.7685899999999997</c:v>
                </c:pt>
                <c:pt idx="107">
                  <c:v>7.7820299999999998</c:v>
                </c:pt>
                <c:pt idx="108">
                  <c:v>7.7699199999999999</c:v>
                </c:pt>
                <c:pt idx="109">
                  <c:v>7.7215499999999997</c:v>
                </c:pt>
                <c:pt idx="110">
                  <c:v>7.7013299999999996</c:v>
                </c:pt>
                <c:pt idx="111">
                  <c:v>7.6977200000000003</c:v>
                </c:pt>
                <c:pt idx="112">
                  <c:v>7.6959499999999998</c:v>
                </c:pt>
                <c:pt idx="113">
                  <c:v>7.7190899999999996</c:v>
                </c:pt>
              </c:numCache>
            </c:numRef>
          </c:val>
          <c:smooth val="0"/>
          <c:extLst>
            <c:ext xmlns:c16="http://schemas.microsoft.com/office/drawing/2014/chart" uri="{C3380CC4-5D6E-409C-BE32-E72D297353CC}">
              <c16:uniqueId val="{00000002-3E3E-483C-88A0-71AF5497125B}"/>
            </c:ext>
          </c:extLst>
        </c:ser>
        <c:dLbls>
          <c:showLegendKey val="0"/>
          <c:showVal val="0"/>
          <c:showCatName val="0"/>
          <c:showSerName val="0"/>
          <c:showPercent val="0"/>
          <c:showBubbleSize val="0"/>
        </c:dLbls>
        <c:smooth val="0"/>
        <c:axId val="474360448"/>
        <c:axId val="474370432"/>
      </c:lineChart>
      <c:dateAx>
        <c:axId val="474360448"/>
        <c:scaling>
          <c:orientation val="minMax"/>
        </c:scaling>
        <c:delete val="0"/>
        <c:axPos val="b"/>
        <c:numFmt formatCode="mmm\-yy" sourceLinked="1"/>
        <c:majorTickMark val="out"/>
        <c:minorTickMark val="none"/>
        <c:tickLblPos val="nextTo"/>
        <c:txPr>
          <a:bodyPr/>
          <a:lstStyle/>
          <a:p>
            <a:pPr>
              <a:defRPr sz="800"/>
            </a:pPr>
            <a:endParaRPr lang="es-GT"/>
          </a:p>
        </c:txPr>
        <c:crossAx val="474370432"/>
        <c:crosses val="autoZero"/>
        <c:auto val="1"/>
        <c:lblOffset val="100"/>
        <c:baseTimeUnit val="months"/>
        <c:majorUnit val="4"/>
        <c:majorTimeUnit val="months"/>
      </c:dateAx>
      <c:valAx>
        <c:axId val="474370432"/>
        <c:scaling>
          <c:orientation val="minMax"/>
        </c:scaling>
        <c:delete val="0"/>
        <c:axPos val="l"/>
        <c:numFmt formatCode="0.00" sourceLinked="1"/>
        <c:majorTickMark val="out"/>
        <c:minorTickMark val="none"/>
        <c:tickLblPos val="nextTo"/>
        <c:txPr>
          <a:bodyPr/>
          <a:lstStyle/>
          <a:p>
            <a:pPr>
              <a:defRPr sz="900"/>
            </a:pPr>
            <a:endParaRPr lang="es-GT"/>
          </a:p>
        </c:txPr>
        <c:crossAx val="474360448"/>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9601510654541"/>
          <c:y val="1.4048841720871848E-2"/>
          <c:w val="0.87848844195680365"/>
          <c:h val="0.92780354901289508"/>
        </c:manualLayout>
      </c:layout>
      <c:barChart>
        <c:barDir val="col"/>
        <c:grouping val="clustered"/>
        <c:varyColors val="0"/>
        <c:ser>
          <c:idx val="0"/>
          <c:order val="0"/>
          <c:tx>
            <c:strRef>
              <c:f>Tributarios!$N$29</c:f>
              <c:strCache>
                <c:ptCount val="1"/>
                <c:pt idx="0">
                  <c:v> Tributarios </c:v>
                </c:pt>
              </c:strCache>
            </c:strRef>
          </c:tx>
          <c:spPr>
            <a:solidFill>
              <a:schemeClr val="accent1"/>
            </a:solidFill>
          </c:spPr>
          <c:invertIfNegative val="0"/>
          <c:dPt>
            <c:idx val="8"/>
            <c:invertIfNegative val="0"/>
            <c:bubble3D val="0"/>
            <c:spPr>
              <a:solidFill>
                <a:schemeClr val="accent1"/>
              </a:solidFill>
            </c:spPr>
            <c:extLst>
              <c:ext xmlns:c16="http://schemas.microsoft.com/office/drawing/2014/chart" uri="{C3380CC4-5D6E-409C-BE32-E72D297353CC}">
                <c16:uniqueId val="{00000001-50DB-4263-A455-227E063A4A74}"/>
              </c:ext>
            </c:extLst>
          </c:dPt>
          <c:dPt>
            <c:idx val="9"/>
            <c:invertIfNegative val="0"/>
            <c:bubble3D val="0"/>
            <c:spPr>
              <a:solidFill>
                <a:schemeClr val="accent1"/>
              </a:solidFill>
            </c:spPr>
            <c:extLst>
              <c:ext xmlns:c16="http://schemas.microsoft.com/office/drawing/2014/chart" uri="{C3380CC4-5D6E-409C-BE32-E72D297353CC}">
                <c16:uniqueId val="{00000003-50DB-4263-A455-227E063A4A74}"/>
              </c:ext>
            </c:extLst>
          </c:dPt>
          <c:dPt>
            <c:idx val="10"/>
            <c:invertIfNegative val="0"/>
            <c:bubble3D val="0"/>
            <c:spPr>
              <a:solidFill>
                <a:schemeClr val="accent1"/>
              </a:solidFill>
            </c:spPr>
            <c:extLst>
              <c:ext xmlns:c16="http://schemas.microsoft.com/office/drawing/2014/chart" uri="{C3380CC4-5D6E-409C-BE32-E72D297353CC}">
                <c16:uniqueId val="{00000005-50DB-4263-A455-227E063A4A74}"/>
              </c:ext>
            </c:extLst>
          </c:dPt>
          <c:dPt>
            <c:idx val="11"/>
            <c:invertIfNegative val="0"/>
            <c:bubble3D val="0"/>
            <c:spPr>
              <a:solidFill>
                <a:schemeClr val="accent1">
                  <a:lumMod val="50000"/>
                </a:schemeClr>
              </a:solidFill>
            </c:spPr>
            <c:extLst>
              <c:ext xmlns:c16="http://schemas.microsoft.com/office/drawing/2014/chart" uri="{C3380CC4-5D6E-409C-BE32-E72D297353CC}">
                <c16:uniqueId val="{00000007-50DB-4263-A455-227E063A4A74}"/>
              </c:ext>
            </c:extLst>
          </c:dPt>
          <c:dLbls>
            <c:dLbl>
              <c:idx val="8"/>
              <c:layout>
                <c:manualLayout>
                  <c:x val="0"/>
                  <c:y val="-1.17040683979536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DB-4263-A455-227E063A4A74}"/>
                </c:ext>
              </c:extLst>
            </c:dLbl>
            <c:spPr>
              <a:noFill/>
              <a:ln>
                <a:noFill/>
              </a:ln>
              <a:effectLst/>
            </c:spPr>
            <c:txPr>
              <a:bodyPr/>
              <a:lstStyle/>
              <a:p>
                <a:pPr>
                  <a:defRPr sz="7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Tributarios!$M$30:$M$41</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Tributarios!$N$30:$N$41</c:f>
              <c:numCache>
                <c:formatCode>_(* #,##0.0_);_(* \(#,##0.0\);_(* "-"??_);_(@_)</c:formatCode>
                <c:ptCount val="12"/>
                <c:pt idx="0">
                  <c:v>16710.348476880001</c:v>
                </c:pt>
                <c:pt idx="1">
                  <c:v>19928.128004149996</c:v>
                </c:pt>
                <c:pt idx="2">
                  <c:v>21126.831012910003</c:v>
                </c:pt>
                <c:pt idx="3">
                  <c:v>22925.634540209991</c:v>
                </c:pt>
                <c:pt idx="4">
                  <c:v>23962.010832309996</c:v>
                </c:pt>
                <c:pt idx="5">
                  <c:v>24494.55701004</c:v>
                </c:pt>
                <c:pt idx="6">
                  <c:v>26112.501618939998</c:v>
                </c:pt>
                <c:pt idx="7">
                  <c:v>28099.595988659996</c:v>
                </c:pt>
                <c:pt idx="8">
                  <c:v>28909.418401349998</c:v>
                </c:pt>
                <c:pt idx="9">
                  <c:v>30061.163411809997</c:v>
                </c:pt>
                <c:pt idx="10">
                  <c:v>28467.842500130002</c:v>
                </c:pt>
                <c:pt idx="11">
                  <c:v>36019.283114490005</c:v>
                </c:pt>
              </c:numCache>
            </c:numRef>
          </c:val>
          <c:extLst>
            <c:ext xmlns:c16="http://schemas.microsoft.com/office/drawing/2014/chart" uri="{C3380CC4-5D6E-409C-BE32-E72D297353CC}">
              <c16:uniqueId val="{0000000C-50DB-4263-A455-227E063A4A74}"/>
            </c:ext>
          </c:extLst>
        </c:ser>
        <c:dLbls>
          <c:showLegendKey val="0"/>
          <c:showVal val="0"/>
          <c:showCatName val="0"/>
          <c:showSerName val="0"/>
          <c:showPercent val="0"/>
          <c:showBubbleSize val="0"/>
        </c:dLbls>
        <c:gapWidth val="15"/>
        <c:axId val="486986496"/>
        <c:axId val="486988032"/>
      </c:barChart>
      <c:catAx>
        <c:axId val="486986496"/>
        <c:scaling>
          <c:orientation val="minMax"/>
        </c:scaling>
        <c:delete val="0"/>
        <c:axPos val="b"/>
        <c:numFmt formatCode="General" sourceLinked="1"/>
        <c:majorTickMark val="none"/>
        <c:minorTickMark val="none"/>
        <c:tickLblPos val="nextTo"/>
        <c:crossAx val="486988032"/>
        <c:crosses val="autoZero"/>
        <c:auto val="1"/>
        <c:lblAlgn val="ctr"/>
        <c:lblOffset val="100"/>
        <c:noMultiLvlLbl val="0"/>
      </c:catAx>
      <c:valAx>
        <c:axId val="486988032"/>
        <c:scaling>
          <c:orientation val="minMax"/>
        </c:scaling>
        <c:delete val="0"/>
        <c:axPos val="l"/>
        <c:title>
          <c:tx>
            <c:rich>
              <a:bodyPr/>
              <a:lstStyle/>
              <a:p>
                <a:pPr>
                  <a:defRPr/>
                </a:pPr>
                <a:r>
                  <a:rPr lang="es-GT"/>
                  <a:t>Millones de Quetzales</a:t>
                </a:r>
              </a:p>
            </c:rich>
          </c:tx>
          <c:layout>
            <c:manualLayout>
              <c:xMode val="edge"/>
              <c:yMode val="edge"/>
              <c:x val="6.5052109450174035E-4"/>
              <c:y val="0.39566889959650564"/>
            </c:manualLayout>
          </c:layout>
          <c:overlay val="0"/>
        </c:title>
        <c:numFmt formatCode="_(* #,##0.0_);_(* \(#,##0.0\);_(* &quot;-&quot;??_);_(@_)" sourceLinked="1"/>
        <c:majorTickMark val="none"/>
        <c:minorTickMark val="none"/>
        <c:tickLblPos val="nextTo"/>
        <c:crossAx val="486986496"/>
        <c:crosses val="autoZero"/>
        <c:crossBetween val="between"/>
      </c:valAx>
    </c:plotArea>
    <c:plotVisOnly val="1"/>
    <c:dispBlanksAs val="gap"/>
    <c:showDLblsOverMax val="0"/>
  </c:chart>
  <c:spPr>
    <a:solidFill>
      <a:sysClr val="window" lastClr="FFFFFF"/>
    </a:solidFill>
    <a:ln>
      <a:noFill/>
    </a:ln>
  </c:spPr>
  <c:txPr>
    <a:bodyPr/>
    <a:lstStyle/>
    <a:p>
      <a:pPr>
        <a:defRPr sz="7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2020</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Tributarios!$D$59</c:f>
              <c:strCache>
                <c:ptCount val="1"/>
                <c:pt idx="0">
                  <c:v>2019</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43C-4CF2-8508-40638442F83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43C-4CF2-8508-40638442F838}"/>
              </c:ext>
            </c:extLst>
          </c:dPt>
          <c:dLbls>
            <c:dLbl>
              <c:idx val="0"/>
              <c:layout>
                <c:manualLayout>
                  <c:x val="4.2342978122794465E-2"/>
                  <c:y val="-6.009820580938021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43C-4CF2-8508-40638442F838}"/>
                </c:ext>
              </c:extLst>
            </c:dLbl>
            <c:dLbl>
              <c:idx val="1"/>
              <c:layout>
                <c:manualLayout>
                  <c:x val="-3.293342742884027E-2"/>
                  <c:y val="1.0131712259371834E-2"/>
                </c:manualLayout>
              </c:layout>
              <c:spPr>
                <a:noFill/>
                <a:ln>
                  <a:noFill/>
                </a:ln>
                <a:effectLst/>
              </c:spPr>
              <c:txPr>
                <a:bodyPr rot="0" spcFirstLastPara="1" vertOverflow="ellipsis" vert="horz" wrap="square" lIns="38100" tIns="19050" rIns="38100" bIns="19050" anchor="ctr" anchorCtr="0">
                  <a:spAutoFit/>
                </a:bodyPr>
                <a:lstStyle/>
                <a:p>
                  <a:pPr algn="ctr">
                    <a:defRPr sz="800" b="1" i="0" u="none" strike="noStrike" kern="1200" spc="0" baseline="0">
                      <a:ln>
                        <a:noFill/>
                      </a:ln>
                      <a:solidFill>
                        <a:schemeClr val="accent2"/>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43C-4CF2-8508-40638442F838}"/>
                </c:ext>
              </c:extLst>
            </c:dLbl>
            <c:spPr>
              <a:noFill/>
              <a:ln>
                <a:noFill/>
              </a:ln>
              <a:effectLst/>
            </c:spPr>
            <c:txPr>
              <a:bodyPr rot="0" spcFirstLastPara="1" vertOverflow="ellipsis" vert="horz" wrap="square" lIns="38100" tIns="19050" rIns="38100" bIns="19050" anchor="ctr" anchorCtr="0">
                <a:spAutoFit/>
              </a:bodyPr>
              <a:lstStyle/>
              <a:p>
                <a:pPr algn="ctr">
                  <a:defRPr sz="800" b="1" i="0" u="none" strike="noStrike" kern="1200" spc="0" baseline="0">
                    <a:ln>
                      <a:noFill/>
                    </a:ln>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Tributarios!$E$30:$E$31</c:f>
              <c:numCache>
                <c:formatCode>#,##0.0</c:formatCode>
                <c:ptCount val="2"/>
                <c:pt idx="0">
                  <c:v>7496.7729803799994</c:v>
                </c:pt>
                <c:pt idx="1">
                  <c:v>20971.069519750003</c:v>
                </c:pt>
              </c:numCache>
            </c:numRef>
          </c:val>
          <c:extLst>
            <c:ext xmlns:c16="http://schemas.microsoft.com/office/drawing/2014/chart" uri="{C3380CC4-5D6E-409C-BE32-E72D297353CC}">
              <c16:uniqueId val="{00000004-743C-4CF2-8508-40638442F83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drawings/drawing2.xml><?xml version="1.0" encoding="utf-8"?>
<c:userShapes xmlns:c="http://schemas.openxmlformats.org/drawingml/2006/chart">
  <cdr:relSizeAnchor xmlns:cdr="http://schemas.openxmlformats.org/drawingml/2006/chartDrawing">
    <cdr:from>
      <cdr:x>0.86937</cdr:x>
      <cdr:y>0.13276</cdr:y>
    </cdr:from>
    <cdr:to>
      <cdr:x>1</cdr:x>
      <cdr:y>0.35042</cdr:y>
    </cdr:to>
    <cdr:sp macro="" textlink="">
      <cdr:nvSpPr>
        <cdr:cNvPr id="2" name="1 Cuadro de texto"/>
        <cdr:cNvSpPr txBox="1"/>
      </cdr:nvSpPr>
      <cdr:spPr>
        <a:xfrm xmlns:a="http://schemas.openxmlformats.org/drawingml/2006/main">
          <a:off x="4347393" y="336619"/>
          <a:ext cx="653232" cy="5519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800" b="1">
              <a:latin typeface="Times New Roman" panose="02020603050405020304" pitchFamily="18" charset="0"/>
              <a:cs typeface="Times New Roman" panose="02020603050405020304" pitchFamily="18" charset="0"/>
            </a:rPr>
            <a:t>Cierre estimado</a:t>
          </a:r>
        </a:p>
        <a:p xmlns:a="http://schemas.openxmlformats.org/drawingml/2006/main">
          <a:pPr algn="ctr"/>
          <a:r>
            <a:rPr lang="es-GT" sz="800" b="1">
              <a:latin typeface="Times New Roman" panose="02020603050405020304" pitchFamily="18" charset="0"/>
              <a:cs typeface="Times New Roman" panose="02020603050405020304" pitchFamily="18" charset="0"/>
            </a:rPr>
            <a:t>Q70,768.4</a:t>
          </a:r>
        </a:p>
      </cdr:txBody>
    </cdr:sp>
  </cdr:relSizeAnchor>
  <cdr:relSizeAnchor xmlns:cdr="http://schemas.openxmlformats.org/drawingml/2006/chartDrawing">
    <cdr:from>
      <cdr:x>0.85013</cdr:x>
      <cdr:y>0.40145</cdr:y>
    </cdr:from>
    <cdr:to>
      <cdr:x>1</cdr:x>
      <cdr:y>0.62468</cdr:y>
    </cdr:to>
    <cdr:sp macro="" textlink="">
      <cdr:nvSpPr>
        <cdr:cNvPr id="4" name="3 Cuadro de texto"/>
        <cdr:cNvSpPr txBox="1"/>
      </cdr:nvSpPr>
      <cdr:spPr>
        <a:xfrm xmlns:a="http://schemas.openxmlformats.org/drawingml/2006/main">
          <a:off x="4251181" y="875916"/>
          <a:ext cx="749444" cy="4870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800" b="1">
              <a:solidFill>
                <a:srgbClr val="FF0000"/>
              </a:solidFill>
              <a:latin typeface="Times New Roman" panose="02020603050405020304" pitchFamily="18" charset="0"/>
              <a:cs typeface="Times New Roman" panose="02020603050405020304" pitchFamily="18" charset="0"/>
            </a:rPr>
            <a:t>Presupuesto Vigente Q64,027.7</a:t>
          </a:r>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7F10A-DAA8-4C4E-B0EE-80E11157C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79</Pages>
  <Words>23026</Words>
  <Characters>126643</Characters>
  <Application>Microsoft Office Word</Application>
  <DocSecurity>0</DocSecurity>
  <Lines>1055</Lines>
  <Paragraphs>298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149371</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Saul Enrique De León Meneses</dc:creator>
  <cp:lastModifiedBy>José Antonio Menéndez Letona</cp:lastModifiedBy>
  <cp:revision>3</cp:revision>
  <cp:lastPrinted>2020-09-25T17:46:00Z</cp:lastPrinted>
  <dcterms:created xsi:type="dcterms:W3CDTF">2021-09-29T14:04:00Z</dcterms:created>
  <dcterms:modified xsi:type="dcterms:W3CDTF">2021-09-29T14:52:00Z</dcterms:modified>
</cp:coreProperties>
</file>