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CD1" w:rsidRDefault="00390CD1" w:rsidP="00390CD1">
      <w:pPr>
        <w:jc w:val="center"/>
        <w:rPr>
          <w:rFonts w:ascii="Garamond" w:hAnsi="Garamond"/>
          <w:sz w:val="36"/>
        </w:rPr>
      </w:pPr>
      <w:bookmarkStart w:id="0" w:name="_Hlk494285746"/>
      <w:bookmarkEnd w:id="0"/>
    </w:p>
    <w:p w:rsidR="00390CD1" w:rsidRPr="00C47DD4" w:rsidRDefault="00390CD1" w:rsidP="00390CD1">
      <w:pPr>
        <w:jc w:val="center"/>
        <w:rPr>
          <w:rFonts w:ascii="Garamond" w:hAnsi="Garamond"/>
          <w:sz w:val="36"/>
        </w:rPr>
      </w:pPr>
      <w:r w:rsidRPr="00C47DD4">
        <w:rPr>
          <w:rFonts w:ascii="Garamond" w:hAnsi="Garamond"/>
          <w:sz w:val="36"/>
        </w:rPr>
        <w:t>MINISTERIO DE FINANZAS PÚBLICAS</w:t>
      </w:r>
    </w:p>
    <w:p w:rsidR="00390CD1" w:rsidRPr="00C47DD4" w:rsidRDefault="00390CD1" w:rsidP="00390CD1">
      <w:pPr>
        <w:jc w:val="center"/>
        <w:rPr>
          <w:rFonts w:ascii="Garamond" w:hAnsi="Garamond"/>
          <w:sz w:val="36"/>
        </w:rPr>
      </w:pPr>
    </w:p>
    <w:p w:rsidR="00390CD1" w:rsidRPr="00C47DD4" w:rsidRDefault="00390CD1" w:rsidP="00390CD1">
      <w:pPr>
        <w:jc w:val="center"/>
        <w:rPr>
          <w:rFonts w:ascii="Garamond" w:hAnsi="Garamond"/>
          <w:b/>
          <w:sz w:val="32"/>
        </w:rPr>
      </w:pPr>
      <w:r w:rsidRPr="00C47DD4">
        <w:rPr>
          <w:rFonts w:ascii="Garamond" w:hAnsi="Garamond"/>
          <w:b/>
          <w:sz w:val="32"/>
        </w:rPr>
        <w:t>DIRECCIÓN DE TRANSPARENCIA FISCAL</w:t>
      </w:r>
    </w:p>
    <w:p w:rsidR="00390CD1" w:rsidRPr="00C47DD4" w:rsidRDefault="00390CD1" w:rsidP="00390CD1">
      <w:pPr>
        <w:jc w:val="center"/>
        <w:rPr>
          <w:rFonts w:ascii="Garamond" w:hAnsi="Garamond"/>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r>
        <w:rPr>
          <w:noProof/>
          <w:lang w:val="es-GT" w:eastAsia="es-GT"/>
        </w:rPr>
        <w:drawing>
          <wp:inline distT="0" distB="0" distL="0" distR="0" wp14:anchorId="696DCF37" wp14:editId="34B34EDE">
            <wp:extent cx="2444750" cy="1422400"/>
            <wp:effectExtent l="0" t="0" r="0" b="6350"/>
            <wp:docPr id="2" name="Imagen 2" descr="C:\Users\ssolorzano.DC-DI01\AppData\Local\Microsoft\Windows\Temporary Internet Files\Content.Outlook\LJMI0WER\gobier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olorzano.DC-DI01\AppData\Local\Microsoft\Windows\Temporary Internet Files\Content.Outlook\LJMI0WER\gobierno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9982" cy="1431262"/>
                    </a:xfrm>
                    <a:prstGeom prst="rect">
                      <a:avLst/>
                    </a:prstGeom>
                    <a:noFill/>
                    <a:ln>
                      <a:noFill/>
                    </a:ln>
                  </pic:spPr>
                </pic:pic>
              </a:graphicData>
            </a:graphic>
          </wp:inline>
        </w:drawing>
      </w:r>
    </w:p>
    <w:p w:rsidR="00390CD1" w:rsidRPr="00C47DD4" w:rsidRDefault="00390CD1" w:rsidP="00390CD1">
      <w:pPr>
        <w:jc w:val="center"/>
        <w:rPr>
          <w:b/>
        </w:rPr>
      </w:pPr>
    </w:p>
    <w:p w:rsidR="00390CD1"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390CD1" w:rsidRDefault="00390CD1" w:rsidP="00390CD1">
      <w:pPr>
        <w:jc w:val="center"/>
        <w:rPr>
          <w:rFonts w:ascii="Garamond" w:hAnsi="Garamond"/>
          <w:sz w:val="52"/>
          <w:szCs w:val="64"/>
        </w:rPr>
      </w:pPr>
      <w:r w:rsidRPr="00390CD1">
        <w:rPr>
          <w:rFonts w:ascii="Garamond" w:hAnsi="Garamond"/>
          <w:sz w:val="52"/>
          <w:szCs w:val="64"/>
        </w:rPr>
        <w:t>INFORME DEL DESEMPEÑO DE LA POLÍTICA FISCAL Y ACTIVIDADES</w:t>
      </w:r>
    </w:p>
    <w:p w:rsidR="00390CD1" w:rsidRPr="00390CD1" w:rsidRDefault="00390CD1" w:rsidP="00390CD1">
      <w:pPr>
        <w:jc w:val="center"/>
        <w:rPr>
          <w:rFonts w:ascii="Garamond" w:hAnsi="Garamond"/>
          <w:sz w:val="52"/>
          <w:szCs w:val="64"/>
        </w:rPr>
      </w:pPr>
      <w:r w:rsidRPr="00390CD1">
        <w:rPr>
          <w:rFonts w:ascii="Garamond" w:hAnsi="Garamond"/>
          <w:sz w:val="52"/>
          <w:szCs w:val="64"/>
        </w:rPr>
        <w:t>DEL PRIMER SEMESTRE</w:t>
      </w:r>
    </w:p>
    <w:p w:rsidR="00390CD1" w:rsidRPr="00390CD1" w:rsidRDefault="00390CD1" w:rsidP="00390CD1">
      <w:pPr>
        <w:jc w:val="center"/>
        <w:rPr>
          <w:rFonts w:ascii="Garamond" w:hAnsi="Garamond"/>
          <w:sz w:val="52"/>
          <w:szCs w:val="64"/>
        </w:rPr>
      </w:pPr>
      <w:r w:rsidRPr="00390CD1">
        <w:rPr>
          <w:rFonts w:ascii="Garamond" w:hAnsi="Garamond"/>
          <w:sz w:val="52"/>
          <w:szCs w:val="64"/>
        </w:rPr>
        <w:t>2019</w:t>
      </w: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b/>
        </w:rPr>
      </w:pPr>
    </w:p>
    <w:p w:rsidR="00390CD1" w:rsidRPr="00C47DD4" w:rsidRDefault="00390CD1" w:rsidP="00390CD1">
      <w:pPr>
        <w:jc w:val="center"/>
        <w:rPr>
          <w:rFonts w:ascii="Garamond" w:hAnsi="Garamond"/>
        </w:rPr>
      </w:pPr>
      <w:r w:rsidRPr="00C47DD4">
        <w:rPr>
          <w:rFonts w:ascii="Garamond" w:hAnsi="Garamond"/>
        </w:rPr>
        <w:t xml:space="preserve">GUATEMALA, </w:t>
      </w:r>
      <w:r w:rsidR="00EE6172">
        <w:rPr>
          <w:rFonts w:ascii="Garamond" w:hAnsi="Garamond"/>
        </w:rPr>
        <w:t>SEPTIEMBRE</w:t>
      </w:r>
      <w:r w:rsidRPr="00C47DD4">
        <w:rPr>
          <w:rFonts w:ascii="Garamond" w:hAnsi="Garamond"/>
        </w:rPr>
        <w:t xml:space="preserve"> DE 2019</w:t>
      </w:r>
      <w:r>
        <w:rPr>
          <w:rFonts w:ascii="Garamond" w:hAnsi="Garamond"/>
        </w:rPr>
        <w:t>.</w:t>
      </w:r>
    </w:p>
    <w:p w:rsidR="00390CD1" w:rsidRDefault="00390CD1" w:rsidP="00390CD1">
      <w:pPr>
        <w:jc w:val="both"/>
        <w:rPr>
          <w:b/>
        </w:rPr>
      </w:pPr>
    </w:p>
    <w:p w:rsidR="006358A6" w:rsidRDefault="006358A6" w:rsidP="009D4D2F">
      <w:pPr>
        <w:tabs>
          <w:tab w:val="left" w:pos="0"/>
          <w:tab w:val="left" w:pos="9214"/>
        </w:tabs>
        <w:autoSpaceDE w:val="0"/>
        <w:autoSpaceDN w:val="0"/>
        <w:adjustRightInd w:val="0"/>
        <w:rPr>
          <w:b/>
        </w:rPr>
      </w:pPr>
      <w:bookmarkStart w:id="1" w:name="_GoBack"/>
      <w:bookmarkEnd w:id="1"/>
    </w:p>
    <w:p w:rsidR="00390CD1" w:rsidRPr="009D4D2F" w:rsidRDefault="00390CD1" w:rsidP="009D4D2F">
      <w:pPr>
        <w:tabs>
          <w:tab w:val="left" w:pos="0"/>
          <w:tab w:val="left" w:pos="9214"/>
        </w:tabs>
        <w:autoSpaceDE w:val="0"/>
        <w:autoSpaceDN w:val="0"/>
        <w:adjustRightInd w:val="0"/>
        <w:rPr>
          <w:b/>
        </w:rPr>
      </w:pPr>
    </w:p>
    <w:p w:rsidR="00025E2C" w:rsidRDefault="009B198F" w:rsidP="009B198F">
      <w:pPr>
        <w:tabs>
          <w:tab w:val="left" w:pos="0"/>
          <w:tab w:val="left" w:pos="9214"/>
        </w:tabs>
        <w:autoSpaceDE w:val="0"/>
        <w:autoSpaceDN w:val="0"/>
        <w:adjustRightInd w:val="0"/>
        <w:ind w:firstLine="567"/>
        <w:jc w:val="center"/>
        <w:rPr>
          <w:b/>
        </w:rPr>
      </w:pPr>
      <w:r w:rsidRPr="006837A4">
        <w:rPr>
          <w:b/>
        </w:rPr>
        <w:t>CONTENIDO</w:t>
      </w:r>
    </w:p>
    <w:p w:rsidR="00EB5485" w:rsidRPr="00EB5485" w:rsidRDefault="00EB5485" w:rsidP="009B198F">
      <w:pPr>
        <w:tabs>
          <w:tab w:val="left" w:pos="0"/>
          <w:tab w:val="left" w:pos="9214"/>
        </w:tabs>
        <w:autoSpaceDE w:val="0"/>
        <w:autoSpaceDN w:val="0"/>
        <w:adjustRightInd w:val="0"/>
        <w:ind w:firstLine="567"/>
        <w:jc w:val="center"/>
        <w:rPr>
          <w:b/>
          <w:sz w:val="20"/>
        </w:rPr>
      </w:pPr>
    </w:p>
    <w:p w:rsidR="00C87E7F" w:rsidRDefault="007C7DEE">
      <w:pPr>
        <w:pStyle w:val="TDC1"/>
        <w:rPr>
          <w:rFonts w:asciiTheme="minorHAnsi" w:eastAsiaTheme="minorEastAsia" w:hAnsiTheme="minorHAnsi" w:cstheme="minorBidi"/>
          <w:noProof/>
          <w:sz w:val="22"/>
          <w:szCs w:val="22"/>
          <w:lang w:val="es-GT" w:eastAsia="es-GT"/>
        </w:rPr>
      </w:pPr>
      <w:r w:rsidRPr="00C87438">
        <w:rPr>
          <w:b/>
          <w:highlight w:val="yellow"/>
        </w:rPr>
        <w:fldChar w:fldCharType="begin"/>
      </w:r>
      <w:r w:rsidR="009C2D46" w:rsidRPr="00C87438">
        <w:rPr>
          <w:b/>
          <w:highlight w:val="yellow"/>
        </w:rPr>
        <w:instrText xml:space="preserve"> TOC \o "1-3" \h \z \u </w:instrText>
      </w:r>
      <w:r w:rsidRPr="00C87438">
        <w:rPr>
          <w:b/>
          <w:highlight w:val="yellow"/>
        </w:rPr>
        <w:fldChar w:fldCharType="separate"/>
      </w:r>
      <w:hyperlink w:anchor="_Toc20495559" w:history="1">
        <w:r w:rsidR="00C87E7F" w:rsidRPr="003B372C">
          <w:rPr>
            <w:rStyle w:val="Hipervnculo"/>
            <w:noProof/>
          </w:rPr>
          <w:t>I.</w:t>
        </w:r>
        <w:r w:rsidR="00C87E7F">
          <w:rPr>
            <w:rFonts w:asciiTheme="minorHAnsi" w:eastAsiaTheme="minorEastAsia" w:hAnsiTheme="minorHAnsi" w:cstheme="minorBidi"/>
            <w:noProof/>
            <w:sz w:val="22"/>
            <w:szCs w:val="22"/>
            <w:lang w:val="es-GT" w:eastAsia="es-GT"/>
          </w:rPr>
          <w:tab/>
        </w:r>
        <w:r w:rsidR="00C87E7F" w:rsidRPr="003B372C">
          <w:rPr>
            <w:rStyle w:val="Hipervnculo"/>
            <w:noProof/>
          </w:rPr>
          <w:t>Entorno Macroeconómico</w:t>
        </w:r>
        <w:r w:rsidR="00C87E7F">
          <w:rPr>
            <w:noProof/>
            <w:webHidden/>
          </w:rPr>
          <w:tab/>
        </w:r>
        <w:r w:rsidR="00C87E7F">
          <w:rPr>
            <w:noProof/>
            <w:webHidden/>
          </w:rPr>
          <w:fldChar w:fldCharType="begin"/>
        </w:r>
        <w:r w:rsidR="00C87E7F">
          <w:rPr>
            <w:noProof/>
            <w:webHidden/>
          </w:rPr>
          <w:instrText xml:space="preserve"> PAGEREF _Toc20495559 \h </w:instrText>
        </w:r>
        <w:r w:rsidR="00C87E7F">
          <w:rPr>
            <w:noProof/>
            <w:webHidden/>
          </w:rPr>
        </w:r>
        <w:r w:rsidR="00C87E7F">
          <w:rPr>
            <w:noProof/>
            <w:webHidden/>
          </w:rPr>
          <w:fldChar w:fldCharType="separate"/>
        </w:r>
        <w:r w:rsidR="00C87E7F">
          <w:rPr>
            <w:noProof/>
            <w:webHidden/>
          </w:rPr>
          <w:t>3</w:t>
        </w:r>
        <w:r w:rsidR="00C87E7F">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60" w:history="1">
        <w:r w:rsidRPr="003B372C">
          <w:rPr>
            <w:rStyle w:val="Hipervnculo"/>
            <w:noProof/>
            <w:lang w:val="es-MX"/>
          </w:rPr>
          <w:t>A.</w:t>
        </w:r>
        <w:r>
          <w:rPr>
            <w:rFonts w:asciiTheme="minorHAnsi" w:eastAsiaTheme="minorEastAsia" w:hAnsiTheme="minorHAnsi" w:cstheme="minorBidi"/>
            <w:noProof/>
            <w:sz w:val="22"/>
            <w:szCs w:val="22"/>
            <w:lang w:val="es-GT" w:eastAsia="es-GT"/>
          </w:rPr>
          <w:tab/>
        </w:r>
        <w:r w:rsidRPr="003B372C">
          <w:rPr>
            <w:rStyle w:val="Hipervnculo"/>
            <w:noProof/>
            <w:lang w:val="es-MX"/>
          </w:rPr>
          <w:t>Entorno Macroeconómico Internacional</w:t>
        </w:r>
        <w:r>
          <w:rPr>
            <w:noProof/>
            <w:webHidden/>
          </w:rPr>
          <w:tab/>
        </w:r>
        <w:r>
          <w:rPr>
            <w:noProof/>
            <w:webHidden/>
          </w:rPr>
          <w:fldChar w:fldCharType="begin"/>
        </w:r>
        <w:r>
          <w:rPr>
            <w:noProof/>
            <w:webHidden/>
          </w:rPr>
          <w:instrText xml:space="preserve"> PAGEREF _Toc20495560 \h </w:instrText>
        </w:r>
        <w:r>
          <w:rPr>
            <w:noProof/>
            <w:webHidden/>
          </w:rPr>
        </w:r>
        <w:r>
          <w:rPr>
            <w:noProof/>
            <w:webHidden/>
          </w:rPr>
          <w:fldChar w:fldCharType="separate"/>
        </w:r>
        <w:r>
          <w:rPr>
            <w:noProof/>
            <w:webHidden/>
          </w:rPr>
          <w:t>3</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61" w:history="1">
        <w:r w:rsidRPr="003B372C">
          <w:rPr>
            <w:rStyle w:val="Hipervnculo"/>
            <w:noProof/>
            <w:lang w:val="es-MX"/>
          </w:rPr>
          <w:t>B.</w:t>
        </w:r>
        <w:r>
          <w:rPr>
            <w:rFonts w:asciiTheme="minorHAnsi" w:eastAsiaTheme="minorEastAsia" w:hAnsiTheme="minorHAnsi" w:cstheme="minorBidi"/>
            <w:noProof/>
            <w:sz w:val="22"/>
            <w:szCs w:val="22"/>
            <w:lang w:val="es-GT" w:eastAsia="es-GT"/>
          </w:rPr>
          <w:tab/>
        </w:r>
        <w:r w:rsidRPr="003B372C">
          <w:rPr>
            <w:rStyle w:val="Hipervnculo"/>
            <w:noProof/>
            <w:lang w:val="es-MX"/>
          </w:rPr>
          <w:t>Entorno Macroeconómico Nacional</w:t>
        </w:r>
        <w:r>
          <w:rPr>
            <w:noProof/>
            <w:webHidden/>
          </w:rPr>
          <w:tab/>
        </w:r>
        <w:r>
          <w:rPr>
            <w:noProof/>
            <w:webHidden/>
          </w:rPr>
          <w:fldChar w:fldCharType="begin"/>
        </w:r>
        <w:r>
          <w:rPr>
            <w:noProof/>
            <w:webHidden/>
          </w:rPr>
          <w:instrText xml:space="preserve"> PAGEREF _Toc20495561 \h </w:instrText>
        </w:r>
        <w:r>
          <w:rPr>
            <w:noProof/>
            <w:webHidden/>
          </w:rPr>
        </w:r>
        <w:r>
          <w:rPr>
            <w:noProof/>
            <w:webHidden/>
          </w:rPr>
          <w:fldChar w:fldCharType="separate"/>
        </w:r>
        <w:r>
          <w:rPr>
            <w:noProof/>
            <w:webHidden/>
          </w:rPr>
          <w:t>5</w:t>
        </w:r>
        <w:r>
          <w:rPr>
            <w:noProof/>
            <w:webHidden/>
          </w:rPr>
          <w:fldChar w:fldCharType="end"/>
        </w:r>
      </w:hyperlink>
    </w:p>
    <w:p w:rsidR="00C87E7F" w:rsidRDefault="00C87E7F">
      <w:pPr>
        <w:pStyle w:val="TDC1"/>
        <w:rPr>
          <w:rFonts w:asciiTheme="minorHAnsi" w:eastAsiaTheme="minorEastAsia" w:hAnsiTheme="minorHAnsi" w:cstheme="minorBidi"/>
          <w:noProof/>
          <w:sz w:val="22"/>
          <w:szCs w:val="22"/>
          <w:lang w:val="es-GT" w:eastAsia="es-GT"/>
        </w:rPr>
      </w:pPr>
      <w:hyperlink w:anchor="_Toc20495562" w:history="1">
        <w:r w:rsidRPr="003B372C">
          <w:rPr>
            <w:rStyle w:val="Hipervnculo"/>
            <w:noProof/>
          </w:rPr>
          <w:t>II.</w:t>
        </w:r>
        <w:r>
          <w:rPr>
            <w:rFonts w:asciiTheme="minorHAnsi" w:eastAsiaTheme="minorEastAsia" w:hAnsiTheme="minorHAnsi" w:cstheme="minorBidi"/>
            <w:noProof/>
            <w:sz w:val="22"/>
            <w:szCs w:val="22"/>
            <w:lang w:val="es-GT" w:eastAsia="es-GT"/>
          </w:rPr>
          <w:tab/>
        </w:r>
        <w:r w:rsidRPr="003B372C">
          <w:rPr>
            <w:rStyle w:val="Hipervnculo"/>
            <w:noProof/>
          </w:rPr>
          <w:t>Situación Financiera de la Administración Central</w:t>
        </w:r>
        <w:r>
          <w:rPr>
            <w:noProof/>
            <w:webHidden/>
          </w:rPr>
          <w:tab/>
        </w:r>
        <w:r>
          <w:rPr>
            <w:noProof/>
            <w:webHidden/>
          </w:rPr>
          <w:fldChar w:fldCharType="begin"/>
        </w:r>
        <w:r>
          <w:rPr>
            <w:noProof/>
            <w:webHidden/>
          </w:rPr>
          <w:instrText xml:space="preserve"> PAGEREF _Toc20495562 \h </w:instrText>
        </w:r>
        <w:r>
          <w:rPr>
            <w:noProof/>
            <w:webHidden/>
          </w:rPr>
        </w:r>
        <w:r>
          <w:rPr>
            <w:noProof/>
            <w:webHidden/>
          </w:rPr>
          <w:fldChar w:fldCharType="separate"/>
        </w:r>
        <w:r>
          <w:rPr>
            <w:noProof/>
            <w:webHidden/>
          </w:rPr>
          <w:t>12</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63" w:history="1">
        <w:r w:rsidRPr="003B372C">
          <w:rPr>
            <w:rStyle w:val="Hipervnculo"/>
            <w:noProof/>
          </w:rPr>
          <w:t>A.</w:t>
        </w:r>
        <w:r>
          <w:rPr>
            <w:rFonts w:asciiTheme="minorHAnsi" w:eastAsiaTheme="minorEastAsia" w:hAnsiTheme="minorHAnsi" w:cstheme="minorBidi"/>
            <w:noProof/>
            <w:sz w:val="22"/>
            <w:szCs w:val="22"/>
            <w:lang w:val="es-GT" w:eastAsia="es-GT"/>
          </w:rPr>
          <w:tab/>
        </w:r>
        <w:r w:rsidRPr="003B372C">
          <w:rPr>
            <w:rStyle w:val="Hipervnculo"/>
            <w:noProof/>
          </w:rPr>
          <w:t>Ingresos</w:t>
        </w:r>
        <w:r>
          <w:rPr>
            <w:noProof/>
            <w:webHidden/>
          </w:rPr>
          <w:tab/>
        </w:r>
        <w:r>
          <w:rPr>
            <w:noProof/>
            <w:webHidden/>
          </w:rPr>
          <w:fldChar w:fldCharType="begin"/>
        </w:r>
        <w:r>
          <w:rPr>
            <w:noProof/>
            <w:webHidden/>
          </w:rPr>
          <w:instrText xml:space="preserve"> PAGEREF _Toc20495563 \h </w:instrText>
        </w:r>
        <w:r>
          <w:rPr>
            <w:noProof/>
            <w:webHidden/>
          </w:rPr>
        </w:r>
        <w:r>
          <w:rPr>
            <w:noProof/>
            <w:webHidden/>
          </w:rPr>
          <w:fldChar w:fldCharType="separate"/>
        </w:r>
        <w:r>
          <w:rPr>
            <w:noProof/>
            <w:webHidden/>
          </w:rPr>
          <w:t>12</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64" w:history="1">
        <w:r w:rsidRPr="003B372C">
          <w:rPr>
            <w:rStyle w:val="Hipervnculo"/>
            <w:noProof/>
          </w:rPr>
          <w:t>B.</w:t>
        </w:r>
        <w:r>
          <w:rPr>
            <w:rFonts w:asciiTheme="minorHAnsi" w:eastAsiaTheme="minorEastAsia" w:hAnsiTheme="minorHAnsi" w:cstheme="minorBidi"/>
            <w:noProof/>
            <w:sz w:val="22"/>
            <w:szCs w:val="22"/>
            <w:lang w:val="es-GT" w:eastAsia="es-GT"/>
          </w:rPr>
          <w:tab/>
        </w:r>
        <w:r w:rsidRPr="003B372C">
          <w:rPr>
            <w:rStyle w:val="Hipervnculo"/>
            <w:noProof/>
          </w:rPr>
          <w:t>Gastos</w:t>
        </w:r>
        <w:r>
          <w:rPr>
            <w:noProof/>
            <w:webHidden/>
          </w:rPr>
          <w:tab/>
        </w:r>
        <w:r>
          <w:rPr>
            <w:noProof/>
            <w:webHidden/>
          </w:rPr>
          <w:fldChar w:fldCharType="begin"/>
        </w:r>
        <w:r>
          <w:rPr>
            <w:noProof/>
            <w:webHidden/>
          </w:rPr>
          <w:instrText xml:space="preserve"> PAGEREF _Toc20495564 \h </w:instrText>
        </w:r>
        <w:r>
          <w:rPr>
            <w:noProof/>
            <w:webHidden/>
          </w:rPr>
        </w:r>
        <w:r>
          <w:rPr>
            <w:noProof/>
            <w:webHidden/>
          </w:rPr>
          <w:fldChar w:fldCharType="separate"/>
        </w:r>
        <w:r>
          <w:rPr>
            <w:noProof/>
            <w:webHidden/>
          </w:rPr>
          <w:t>15</w:t>
        </w:r>
        <w:r>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65" w:history="1">
        <w:r w:rsidRPr="00C87E7F">
          <w:rPr>
            <w:rStyle w:val="Hipervnculo"/>
            <w:bCs/>
            <w:noProof/>
            <w:lang w:val="es-MX"/>
          </w:rPr>
          <w:t>1.</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Destino del Gasto por Cuenta Económica</w:t>
        </w:r>
        <w:r w:rsidRPr="00C87E7F">
          <w:rPr>
            <w:noProof/>
            <w:webHidden/>
          </w:rPr>
          <w:tab/>
        </w:r>
        <w:r w:rsidRPr="00C87E7F">
          <w:rPr>
            <w:noProof/>
            <w:webHidden/>
          </w:rPr>
          <w:fldChar w:fldCharType="begin"/>
        </w:r>
        <w:r w:rsidRPr="00C87E7F">
          <w:rPr>
            <w:noProof/>
            <w:webHidden/>
          </w:rPr>
          <w:instrText xml:space="preserve"> PAGEREF _Toc20495565 \h </w:instrText>
        </w:r>
        <w:r w:rsidRPr="00C87E7F">
          <w:rPr>
            <w:noProof/>
            <w:webHidden/>
          </w:rPr>
        </w:r>
        <w:r w:rsidRPr="00C87E7F">
          <w:rPr>
            <w:noProof/>
            <w:webHidden/>
          </w:rPr>
          <w:fldChar w:fldCharType="separate"/>
        </w:r>
        <w:r w:rsidRPr="00C87E7F">
          <w:rPr>
            <w:noProof/>
            <w:webHidden/>
          </w:rPr>
          <w:t>15</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66" w:history="1">
        <w:r w:rsidRPr="00C87E7F">
          <w:rPr>
            <w:rStyle w:val="Hipervnculo"/>
            <w:bCs/>
            <w:noProof/>
            <w:lang w:val="es-MX"/>
          </w:rPr>
          <w:t>2.</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Ejecución Presupuestaria Institucional</w:t>
        </w:r>
        <w:r w:rsidRPr="00C87E7F">
          <w:rPr>
            <w:noProof/>
            <w:webHidden/>
          </w:rPr>
          <w:tab/>
        </w:r>
        <w:r w:rsidRPr="00C87E7F">
          <w:rPr>
            <w:noProof/>
            <w:webHidden/>
          </w:rPr>
          <w:fldChar w:fldCharType="begin"/>
        </w:r>
        <w:r w:rsidRPr="00C87E7F">
          <w:rPr>
            <w:noProof/>
            <w:webHidden/>
          </w:rPr>
          <w:instrText xml:space="preserve"> PAGEREF _Toc20495566 \h </w:instrText>
        </w:r>
        <w:r w:rsidRPr="00C87E7F">
          <w:rPr>
            <w:noProof/>
            <w:webHidden/>
          </w:rPr>
        </w:r>
        <w:r w:rsidRPr="00C87E7F">
          <w:rPr>
            <w:noProof/>
            <w:webHidden/>
          </w:rPr>
          <w:fldChar w:fldCharType="separate"/>
        </w:r>
        <w:r w:rsidRPr="00C87E7F">
          <w:rPr>
            <w:noProof/>
            <w:webHidden/>
          </w:rPr>
          <w:t>17</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67" w:history="1">
        <w:r w:rsidRPr="00C87E7F">
          <w:rPr>
            <w:rStyle w:val="Hipervnculo"/>
            <w:noProof/>
            <w:lang w:val="es-MX"/>
          </w:rPr>
          <w:t>3.</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Gasto Público por Fuente de Financiamiento</w:t>
        </w:r>
        <w:r w:rsidRPr="00C87E7F">
          <w:rPr>
            <w:noProof/>
            <w:webHidden/>
          </w:rPr>
          <w:tab/>
        </w:r>
        <w:r w:rsidRPr="00C87E7F">
          <w:rPr>
            <w:noProof/>
            <w:webHidden/>
          </w:rPr>
          <w:fldChar w:fldCharType="begin"/>
        </w:r>
        <w:r w:rsidRPr="00C87E7F">
          <w:rPr>
            <w:noProof/>
            <w:webHidden/>
          </w:rPr>
          <w:instrText xml:space="preserve"> PAGEREF _Toc20495567 \h </w:instrText>
        </w:r>
        <w:r w:rsidRPr="00C87E7F">
          <w:rPr>
            <w:noProof/>
            <w:webHidden/>
          </w:rPr>
        </w:r>
        <w:r w:rsidRPr="00C87E7F">
          <w:rPr>
            <w:noProof/>
            <w:webHidden/>
          </w:rPr>
          <w:fldChar w:fldCharType="separate"/>
        </w:r>
        <w:r w:rsidRPr="00C87E7F">
          <w:rPr>
            <w:noProof/>
            <w:webHidden/>
          </w:rPr>
          <w:t>18</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68" w:history="1">
        <w:r w:rsidRPr="00C87E7F">
          <w:rPr>
            <w:rStyle w:val="Hipervnculo"/>
            <w:bCs/>
            <w:noProof/>
            <w:lang w:val="es-MX"/>
          </w:rPr>
          <w:t>4.</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Gasto Social y Acuerdos de Paz</w:t>
        </w:r>
        <w:r w:rsidRPr="00C87E7F">
          <w:rPr>
            <w:noProof/>
            <w:webHidden/>
          </w:rPr>
          <w:tab/>
        </w:r>
        <w:r w:rsidRPr="00C87E7F">
          <w:rPr>
            <w:noProof/>
            <w:webHidden/>
          </w:rPr>
          <w:fldChar w:fldCharType="begin"/>
        </w:r>
        <w:r w:rsidRPr="00C87E7F">
          <w:rPr>
            <w:noProof/>
            <w:webHidden/>
          </w:rPr>
          <w:instrText xml:space="preserve"> PAGEREF _Toc20495568 \h </w:instrText>
        </w:r>
        <w:r w:rsidRPr="00C87E7F">
          <w:rPr>
            <w:noProof/>
            <w:webHidden/>
          </w:rPr>
        </w:r>
        <w:r w:rsidRPr="00C87E7F">
          <w:rPr>
            <w:noProof/>
            <w:webHidden/>
          </w:rPr>
          <w:fldChar w:fldCharType="separate"/>
        </w:r>
        <w:r w:rsidRPr="00C87E7F">
          <w:rPr>
            <w:noProof/>
            <w:webHidden/>
          </w:rPr>
          <w:t>20</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69" w:history="1">
        <w:r w:rsidRPr="00C87E7F">
          <w:rPr>
            <w:rStyle w:val="Hipervnculo"/>
            <w:bCs/>
            <w:noProof/>
            <w:lang w:val="es-MX"/>
          </w:rPr>
          <w:t>5.</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Gasto Ejecutado a través de Fideicomisos</w:t>
        </w:r>
        <w:r w:rsidRPr="00C87E7F">
          <w:rPr>
            <w:noProof/>
            <w:webHidden/>
          </w:rPr>
          <w:tab/>
        </w:r>
        <w:r w:rsidRPr="00C87E7F">
          <w:rPr>
            <w:noProof/>
            <w:webHidden/>
          </w:rPr>
          <w:fldChar w:fldCharType="begin"/>
        </w:r>
        <w:r w:rsidRPr="00C87E7F">
          <w:rPr>
            <w:noProof/>
            <w:webHidden/>
          </w:rPr>
          <w:instrText xml:space="preserve"> PAGEREF _Toc20495569 \h </w:instrText>
        </w:r>
        <w:r w:rsidRPr="00C87E7F">
          <w:rPr>
            <w:noProof/>
            <w:webHidden/>
          </w:rPr>
        </w:r>
        <w:r w:rsidRPr="00C87E7F">
          <w:rPr>
            <w:noProof/>
            <w:webHidden/>
          </w:rPr>
          <w:fldChar w:fldCharType="separate"/>
        </w:r>
        <w:r w:rsidRPr="00C87E7F">
          <w:rPr>
            <w:noProof/>
            <w:webHidden/>
          </w:rPr>
          <w:t>22</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70" w:history="1">
        <w:r w:rsidRPr="00C87E7F">
          <w:rPr>
            <w:rStyle w:val="Hipervnculo"/>
            <w:bCs/>
            <w:noProof/>
            <w:lang w:val="es-MX"/>
          </w:rPr>
          <w:t>6.</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Gasto Ejecutado a través de Organizaciones No Gubernamentales</w:t>
        </w:r>
        <w:r w:rsidRPr="00C87E7F">
          <w:rPr>
            <w:noProof/>
            <w:webHidden/>
          </w:rPr>
          <w:tab/>
        </w:r>
        <w:r w:rsidRPr="00C87E7F">
          <w:rPr>
            <w:noProof/>
            <w:webHidden/>
          </w:rPr>
          <w:fldChar w:fldCharType="begin"/>
        </w:r>
        <w:r w:rsidRPr="00C87E7F">
          <w:rPr>
            <w:noProof/>
            <w:webHidden/>
          </w:rPr>
          <w:instrText xml:space="preserve"> PAGEREF _Toc20495570 \h </w:instrText>
        </w:r>
        <w:r w:rsidRPr="00C87E7F">
          <w:rPr>
            <w:noProof/>
            <w:webHidden/>
          </w:rPr>
        </w:r>
        <w:r w:rsidRPr="00C87E7F">
          <w:rPr>
            <w:noProof/>
            <w:webHidden/>
          </w:rPr>
          <w:fldChar w:fldCharType="separate"/>
        </w:r>
        <w:r w:rsidRPr="00C87E7F">
          <w:rPr>
            <w:noProof/>
            <w:webHidden/>
          </w:rPr>
          <w:t>23</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71" w:history="1">
        <w:r w:rsidRPr="00C87E7F">
          <w:rPr>
            <w:rStyle w:val="Hipervnculo"/>
            <w:bCs/>
            <w:noProof/>
            <w:lang w:val="es-MX"/>
          </w:rPr>
          <w:t>7.</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Déficit Fiscal</w:t>
        </w:r>
        <w:r w:rsidRPr="00C87E7F">
          <w:rPr>
            <w:noProof/>
            <w:webHidden/>
          </w:rPr>
          <w:tab/>
        </w:r>
        <w:r w:rsidRPr="00C87E7F">
          <w:rPr>
            <w:noProof/>
            <w:webHidden/>
          </w:rPr>
          <w:fldChar w:fldCharType="begin"/>
        </w:r>
        <w:r w:rsidRPr="00C87E7F">
          <w:rPr>
            <w:noProof/>
            <w:webHidden/>
          </w:rPr>
          <w:instrText xml:space="preserve"> PAGEREF _Toc20495571 \h </w:instrText>
        </w:r>
        <w:r w:rsidRPr="00C87E7F">
          <w:rPr>
            <w:noProof/>
            <w:webHidden/>
          </w:rPr>
        </w:r>
        <w:r w:rsidRPr="00C87E7F">
          <w:rPr>
            <w:noProof/>
            <w:webHidden/>
          </w:rPr>
          <w:fldChar w:fldCharType="separate"/>
        </w:r>
        <w:r w:rsidRPr="00C87E7F">
          <w:rPr>
            <w:noProof/>
            <w:webHidden/>
          </w:rPr>
          <w:t>24</w:t>
        </w:r>
        <w:r w:rsidRPr="00C87E7F">
          <w:rPr>
            <w:noProof/>
            <w:webHidden/>
          </w:rPr>
          <w:fldChar w:fldCharType="end"/>
        </w:r>
      </w:hyperlink>
    </w:p>
    <w:p w:rsidR="00C87E7F" w:rsidRPr="00C87E7F" w:rsidRDefault="00C87E7F">
      <w:pPr>
        <w:pStyle w:val="TDC3"/>
        <w:rPr>
          <w:rFonts w:asciiTheme="minorHAnsi" w:eastAsiaTheme="minorEastAsia" w:hAnsiTheme="minorHAnsi" w:cstheme="minorBidi"/>
          <w:noProof/>
          <w:sz w:val="22"/>
          <w:szCs w:val="22"/>
          <w:lang w:val="es-GT" w:eastAsia="es-GT"/>
        </w:rPr>
      </w:pPr>
      <w:hyperlink w:anchor="_Toc20495572" w:history="1">
        <w:r w:rsidRPr="00C87E7F">
          <w:rPr>
            <w:rStyle w:val="Hipervnculo"/>
            <w:bCs/>
            <w:noProof/>
            <w:lang w:val="es-MX"/>
          </w:rPr>
          <w:t>8.</w:t>
        </w:r>
        <w:r w:rsidRPr="00C87E7F">
          <w:rPr>
            <w:rFonts w:asciiTheme="minorHAnsi" w:eastAsiaTheme="minorEastAsia" w:hAnsiTheme="minorHAnsi" w:cstheme="minorBidi"/>
            <w:noProof/>
            <w:sz w:val="22"/>
            <w:szCs w:val="22"/>
            <w:lang w:val="es-GT" w:eastAsia="es-GT"/>
          </w:rPr>
          <w:tab/>
        </w:r>
        <w:r w:rsidRPr="00C87E7F">
          <w:rPr>
            <w:rStyle w:val="Hipervnculo"/>
            <w:bCs/>
            <w:noProof/>
            <w:lang w:val="es-MX"/>
          </w:rPr>
          <w:t>Servicios de la Deuda Pública</w:t>
        </w:r>
        <w:r w:rsidRPr="00C87E7F">
          <w:rPr>
            <w:noProof/>
            <w:webHidden/>
          </w:rPr>
          <w:tab/>
        </w:r>
        <w:r w:rsidRPr="00C87E7F">
          <w:rPr>
            <w:noProof/>
            <w:webHidden/>
          </w:rPr>
          <w:fldChar w:fldCharType="begin"/>
        </w:r>
        <w:r w:rsidRPr="00C87E7F">
          <w:rPr>
            <w:noProof/>
            <w:webHidden/>
          </w:rPr>
          <w:instrText xml:space="preserve"> PAGEREF _Toc20495572 \h </w:instrText>
        </w:r>
        <w:r w:rsidRPr="00C87E7F">
          <w:rPr>
            <w:noProof/>
            <w:webHidden/>
          </w:rPr>
        </w:r>
        <w:r w:rsidRPr="00C87E7F">
          <w:rPr>
            <w:noProof/>
            <w:webHidden/>
          </w:rPr>
          <w:fldChar w:fldCharType="separate"/>
        </w:r>
        <w:r w:rsidRPr="00C87E7F">
          <w:rPr>
            <w:noProof/>
            <w:webHidden/>
          </w:rPr>
          <w:t>27</w:t>
        </w:r>
        <w:r w:rsidRPr="00C87E7F">
          <w:rPr>
            <w:noProof/>
            <w:webHidden/>
          </w:rPr>
          <w:fldChar w:fldCharType="end"/>
        </w:r>
      </w:hyperlink>
    </w:p>
    <w:p w:rsidR="00C87E7F" w:rsidRDefault="00C87E7F">
      <w:pPr>
        <w:pStyle w:val="TDC1"/>
        <w:rPr>
          <w:rFonts w:asciiTheme="minorHAnsi" w:eastAsiaTheme="minorEastAsia" w:hAnsiTheme="minorHAnsi" w:cstheme="minorBidi"/>
          <w:noProof/>
          <w:sz w:val="22"/>
          <w:szCs w:val="22"/>
          <w:lang w:val="es-GT" w:eastAsia="es-GT"/>
        </w:rPr>
      </w:pPr>
      <w:hyperlink w:anchor="_Toc20495573" w:history="1">
        <w:r w:rsidRPr="003B372C">
          <w:rPr>
            <w:rStyle w:val="Hipervnculo"/>
            <w:noProof/>
          </w:rPr>
          <w:t>III.</w:t>
        </w:r>
        <w:r>
          <w:rPr>
            <w:rFonts w:asciiTheme="minorHAnsi" w:eastAsiaTheme="minorEastAsia" w:hAnsiTheme="minorHAnsi" w:cstheme="minorBidi"/>
            <w:noProof/>
            <w:sz w:val="22"/>
            <w:szCs w:val="22"/>
            <w:lang w:val="es-GT" w:eastAsia="es-GT"/>
          </w:rPr>
          <w:tab/>
        </w:r>
        <w:r w:rsidRPr="003B372C">
          <w:rPr>
            <w:rStyle w:val="Hipervnculo"/>
            <w:noProof/>
          </w:rPr>
          <w:t>Perspectivas de Cierre del Ejercicio Fiscal 2019</w:t>
        </w:r>
        <w:r>
          <w:rPr>
            <w:noProof/>
            <w:webHidden/>
          </w:rPr>
          <w:tab/>
        </w:r>
        <w:r>
          <w:rPr>
            <w:noProof/>
            <w:webHidden/>
          </w:rPr>
          <w:fldChar w:fldCharType="begin"/>
        </w:r>
        <w:r>
          <w:rPr>
            <w:noProof/>
            <w:webHidden/>
          </w:rPr>
          <w:instrText xml:space="preserve"> PAGEREF _Toc20495573 \h </w:instrText>
        </w:r>
        <w:r>
          <w:rPr>
            <w:noProof/>
            <w:webHidden/>
          </w:rPr>
        </w:r>
        <w:r>
          <w:rPr>
            <w:noProof/>
            <w:webHidden/>
          </w:rPr>
          <w:fldChar w:fldCharType="separate"/>
        </w:r>
        <w:r>
          <w:rPr>
            <w:noProof/>
            <w:webHidden/>
          </w:rPr>
          <w:t>28</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74" w:history="1">
        <w:r w:rsidRPr="003B372C">
          <w:rPr>
            <w:rStyle w:val="Hipervnculo"/>
            <w:noProof/>
          </w:rPr>
          <w:t>A.</w:t>
        </w:r>
        <w:r>
          <w:rPr>
            <w:rFonts w:asciiTheme="minorHAnsi" w:eastAsiaTheme="minorEastAsia" w:hAnsiTheme="minorHAnsi" w:cstheme="minorBidi"/>
            <w:noProof/>
            <w:sz w:val="22"/>
            <w:szCs w:val="22"/>
            <w:lang w:val="es-GT" w:eastAsia="es-GT"/>
          </w:rPr>
          <w:tab/>
        </w:r>
        <w:r w:rsidRPr="003B372C">
          <w:rPr>
            <w:rStyle w:val="Hipervnculo"/>
            <w:noProof/>
          </w:rPr>
          <w:t>Escenario Macroeconómico</w:t>
        </w:r>
        <w:r>
          <w:rPr>
            <w:noProof/>
            <w:webHidden/>
          </w:rPr>
          <w:tab/>
        </w:r>
        <w:r>
          <w:rPr>
            <w:noProof/>
            <w:webHidden/>
          </w:rPr>
          <w:fldChar w:fldCharType="begin"/>
        </w:r>
        <w:r>
          <w:rPr>
            <w:noProof/>
            <w:webHidden/>
          </w:rPr>
          <w:instrText xml:space="preserve"> PAGEREF _Toc20495574 \h </w:instrText>
        </w:r>
        <w:r>
          <w:rPr>
            <w:noProof/>
            <w:webHidden/>
          </w:rPr>
        </w:r>
        <w:r>
          <w:rPr>
            <w:noProof/>
            <w:webHidden/>
          </w:rPr>
          <w:fldChar w:fldCharType="separate"/>
        </w:r>
        <w:r>
          <w:rPr>
            <w:noProof/>
            <w:webHidden/>
          </w:rPr>
          <w:t>28</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75" w:history="1">
        <w:r w:rsidRPr="003B372C">
          <w:rPr>
            <w:rStyle w:val="Hipervnculo"/>
            <w:noProof/>
          </w:rPr>
          <w:t>B.</w:t>
        </w:r>
        <w:r>
          <w:rPr>
            <w:rFonts w:asciiTheme="minorHAnsi" w:eastAsiaTheme="minorEastAsia" w:hAnsiTheme="minorHAnsi" w:cstheme="minorBidi"/>
            <w:noProof/>
            <w:sz w:val="22"/>
            <w:szCs w:val="22"/>
            <w:lang w:val="es-GT" w:eastAsia="es-GT"/>
          </w:rPr>
          <w:tab/>
        </w:r>
        <w:r w:rsidRPr="003B372C">
          <w:rPr>
            <w:rStyle w:val="Hipervnculo"/>
            <w:noProof/>
          </w:rPr>
          <w:t>Ingresos Totales e Ingresos Tributarios</w:t>
        </w:r>
        <w:r>
          <w:rPr>
            <w:noProof/>
            <w:webHidden/>
          </w:rPr>
          <w:tab/>
        </w:r>
        <w:r>
          <w:rPr>
            <w:noProof/>
            <w:webHidden/>
          </w:rPr>
          <w:fldChar w:fldCharType="begin"/>
        </w:r>
        <w:r>
          <w:rPr>
            <w:noProof/>
            <w:webHidden/>
          </w:rPr>
          <w:instrText xml:space="preserve"> PAGEREF _Toc20495575 \h </w:instrText>
        </w:r>
        <w:r>
          <w:rPr>
            <w:noProof/>
            <w:webHidden/>
          </w:rPr>
        </w:r>
        <w:r>
          <w:rPr>
            <w:noProof/>
            <w:webHidden/>
          </w:rPr>
          <w:fldChar w:fldCharType="separate"/>
        </w:r>
        <w:r>
          <w:rPr>
            <w:noProof/>
            <w:webHidden/>
          </w:rPr>
          <w:t>30</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76" w:history="1">
        <w:r w:rsidRPr="003B372C">
          <w:rPr>
            <w:rStyle w:val="Hipervnculo"/>
            <w:noProof/>
          </w:rPr>
          <w:t>C.</w:t>
        </w:r>
        <w:r>
          <w:rPr>
            <w:rFonts w:asciiTheme="minorHAnsi" w:eastAsiaTheme="minorEastAsia" w:hAnsiTheme="minorHAnsi" w:cstheme="minorBidi"/>
            <w:noProof/>
            <w:sz w:val="22"/>
            <w:szCs w:val="22"/>
            <w:lang w:val="es-GT" w:eastAsia="es-GT"/>
          </w:rPr>
          <w:tab/>
        </w:r>
        <w:r w:rsidRPr="003B372C">
          <w:rPr>
            <w:rStyle w:val="Hipervnculo"/>
            <w:noProof/>
          </w:rPr>
          <w:t>Gasto Corriente y de Capital</w:t>
        </w:r>
        <w:r>
          <w:rPr>
            <w:noProof/>
            <w:webHidden/>
          </w:rPr>
          <w:tab/>
        </w:r>
        <w:r>
          <w:rPr>
            <w:noProof/>
            <w:webHidden/>
          </w:rPr>
          <w:fldChar w:fldCharType="begin"/>
        </w:r>
        <w:r>
          <w:rPr>
            <w:noProof/>
            <w:webHidden/>
          </w:rPr>
          <w:instrText xml:space="preserve"> PAGEREF _Toc20495576 \h </w:instrText>
        </w:r>
        <w:r>
          <w:rPr>
            <w:noProof/>
            <w:webHidden/>
          </w:rPr>
        </w:r>
        <w:r>
          <w:rPr>
            <w:noProof/>
            <w:webHidden/>
          </w:rPr>
          <w:fldChar w:fldCharType="separate"/>
        </w:r>
        <w:r>
          <w:rPr>
            <w:noProof/>
            <w:webHidden/>
          </w:rPr>
          <w:t>33</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77" w:history="1">
        <w:r w:rsidRPr="003B372C">
          <w:rPr>
            <w:rStyle w:val="Hipervnculo"/>
            <w:noProof/>
          </w:rPr>
          <w:t>D.</w:t>
        </w:r>
        <w:r>
          <w:rPr>
            <w:rFonts w:asciiTheme="minorHAnsi" w:eastAsiaTheme="minorEastAsia" w:hAnsiTheme="minorHAnsi" w:cstheme="minorBidi"/>
            <w:noProof/>
            <w:sz w:val="22"/>
            <w:szCs w:val="22"/>
            <w:lang w:val="es-GT" w:eastAsia="es-GT"/>
          </w:rPr>
          <w:tab/>
        </w:r>
        <w:r w:rsidRPr="003B372C">
          <w:rPr>
            <w:rStyle w:val="Hipervnculo"/>
            <w:noProof/>
          </w:rPr>
          <w:t>Gasto Institucional</w:t>
        </w:r>
        <w:r>
          <w:rPr>
            <w:noProof/>
            <w:webHidden/>
          </w:rPr>
          <w:tab/>
        </w:r>
        <w:r>
          <w:rPr>
            <w:noProof/>
            <w:webHidden/>
          </w:rPr>
          <w:fldChar w:fldCharType="begin"/>
        </w:r>
        <w:r>
          <w:rPr>
            <w:noProof/>
            <w:webHidden/>
          </w:rPr>
          <w:instrText xml:space="preserve"> PAGEREF _Toc20495577 \h </w:instrText>
        </w:r>
        <w:r>
          <w:rPr>
            <w:noProof/>
            <w:webHidden/>
          </w:rPr>
        </w:r>
        <w:r>
          <w:rPr>
            <w:noProof/>
            <w:webHidden/>
          </w:rPr>
          <w:fldChar w:fldCharType="separate"/>
        </w:r>
        <w:r>
          <w:rPr>
            <w:noProof/>
            <w:webHidden/>
          </w:rPr>
          <w:t>36</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78" w:history="1">
        <w:r w:rsidRPr="003B372C">
          <w:rPr>
            <w:rStyle w:val="Hipervnculo"/>
            <w:noProof/>
          </w:rPr>
          <w:t>E.</w:t>
        </w:r>
        <w:r>
          <w:rPr>
            <w:rFonts w:asciiTheme="minorHAnsi" w:eastAsiaTheme="minorEastAsia" w:hAnsiTheme="minorHAnsi" w:cstheme="minorBidi"/>
            <w:noProof/>
            <w:sz w:val="22"/>
            <w:szCs w:val="22"/>
            <w:lang w:val="es-GT" w:eastAsia="es-GT"/>
          </w:rPr>
          <w:tab/>
        </w:r>
        <w:r w:rsidRPr="003B372C">
          <w:rPr>
            <w:rStyle w:val="Hipervnculo"/>
            <w:noProof/>
          </w:rPr>
          <w:t>Gasto por Finalidad</w:t>
        </w:r>
        <w:r>
          <w:rPr>
            <w:noProof/>
            <w:webHidden/>
          </w:rPr>
          <w:tab/>
        </w:r>
        <w:r>
          <w:rPr>
            <w:noProof/>
            <w:webHidden/>
          </w:rPr>
          <w:fldChar w:fldCharType="begin"/>
        </w:r>
        <w:r>
          <w:rPr>
            <w:noProof/>
            <w:webHidden/>
          </w:rPr>
          <w:instrText xml:space="preserve"> PAGEREF _Toc20495578 \h </w:instrText>
        </w:r>
        <w:r>
          <w:rPr>
            <w:noProof/>
            <w:webHidden/>
          </w:rPr>
        </w:r>
        <w:r>
          <w:rPr>
            <w:noProof/>
            <w:webHidden/>
          </w:rPr>
          <w:fldChar w:fldCharType="separate"/>
        </w:r>
        <w:r>
          <w:rPr>
            <w:noProof/>
            <w:webHidden/>
          </w:rPr>
          <w:t>39</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79" w:history="1">
        <w:r w:rsidRPr="003B372C">
          <w:rPr>
            <w:rStyle w:val="Hipervnculo"/>
            <w:noProof/>
          </w:rPr>
          <w:t>F.</w:t>
        </w:r>
        <w:r>
          <w:rPr>
            <w:rFonts w:asciiTheme="minorHAnsi" w:eastAsiaTheme="minorEastAsia" w:hAnsiTheme="minorHAnsi" w:cstheme="minorBidi"/>
            <w:noProof/>
            <w:sz w:val="22"/>
            <w:szCs w:val="22"/>
            <w:lang w:val="es-GT" w:eastAsia="es-GT"/>
          </w:rPr>
          <w:tab/>
        </w:r>
        <w:r w:rsidRPr="003B372C">
          <w:rPr>
            <w:rStyle w:val="Hipervnculo"/>
            <w:noProof/>
          </w:rPr>
          <w:t>Déficit Fiscal y su Financiamiento</w:t>
        </w:r>
        <w:r>
          <w:rPr>
            <w:noProof/>
            <w:webHidden/>
          </w:rPr>
          <w:tab/>
        </w:r>
        <w:r>
          <w:rPr>
            <w:noProof/>
            <w:webHidden/>
          </w:rPr>
          <w:fldChar w:fldCharType="begin"/>
        </w:r>
        <w:r>
          <w:rPr>
            <w:noProof/>
            <w:webHidden/>
          </w:rPr>
          <w:instrText xml:space="preserve"> PAGEREF _Toc20495579 \h </w:instrText>
        </w:r>
        <w:r>
          <w:rPr>
            <w:noProof/>
            <w:webHidden/>
          </w:rPr>
        </w:r>
        <w:r>
          <w:rPr>
            <w:noProof/>
            <w:webHidden/>
          </w:rPr>
          <w:fldChar w:fldCharType="separate"/>
        </w:r>
        <w:r>
          <w:rPr>
            <w:noProof/>
            <w:webHidden/>
          </w:rPr>
          <w:t>40</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80" w:history="1">
        <w:r w:rsidRPr="003B372C">
          <w:rPr>
            <w:rStyle w:val="Hipervnculo"/>
            <w:noProof/>
          </w:rPr>
          <w:t>G.</w:t>
        </w:r>
        <w:r>
          <w:rPr>
            <w:rFonts w:asciiTheme="minorHAnsi" w:eastAsiaTheme="minorEastAsia" w:hAnsiTheme="minorHAnsi" w:cstheme="minorBidi"/>
            <w:noProof/>
            <w:sz w:val="22"/>
            <w:szCs w:val="22"/>
            <w:lang w:val="es-GT" w:eastAsia="es-GT"/>
          </w:rPr>
          <w:tab/>
        </w:r>
        <w:r w:rsidRPr="003B372C">
          <w:rPr>
            <w:rStyle w:val="Hipervnculo"/>
            <w:noProof/>
          </w:rPr>
          <w:t>Deuda Pública</w:t>
        </w:r>
        <w:r>
          <w:rPr>
            <w:noProof/>
            <w:webHidden/>
          </w:rPr>
          <w:tab/>
        </w:r>
        <w:r>
          <w:rPr>
            <w:noProof/>
            <w:webHidden/>
          </w:rPr>
          <w:fldChar w:fldCharType="begin"/>
        </w:r>
        <w:r>
          <w:rPr>
            <w:noProof/>
            <w:webHidden/>
          </w:rPr>
          <w:instrText xml:space="preserve"> PAGEREF _Toc20495580 \h </w:instrText>
        </w:r>
        <w:r>
          <w:rPr>
            <w:noProof/>
            <w:webHidden/>
          </w:rPr>
        </w:r>
        <w:r>
          <w:rPr>
            <w:noProof/>
            <w:webHidden/>
          </w:rPr>
          <w:fldChar w:fldCharType="separate"/>
        </w:r>
        <w:r>
          <w:rPr>
            <w:noProof/>
            <w:webHidden/>
          </w:rPr>
          <w:t>41</w:t>
        </w:r>
        <w:r>
          <w:rPr>
            <w:noProof/>
            <w:webHidden/>
          </w:rPr>
          <w:fldChar w:fldCharType="end"/>
        </w:r>
      </w:hyperlink>
    </w:p>
    <w:p w:rsidR="00C87E7F" w:rsidRDefault="00C87E7F">
      <w:pPr>
        <w:pStyle w:val="TDC1"/>
        <w:rPr>
          <w:rFonts w:asciiTheme="minorHAnsi" w:eastAsiaTheme="minorEastAsia" w:hAnsiTheme="minorHAnsi" w:cstheme="minorBidi"/>
          <w:noProof/>
          <w:sz w:val="22"/>
          <w:szCs w:val="22"/>
          <w:lang w:val="es-GT" w:eastAsia="es-GT"/>
        </w:rPr>
      </w:pPr>
      <w:hyperlink w:anchor="_Toc20495581" w:history="1">
        <w:r w:rsidRPr="003B372C">
          <w:rPr>
            <w:rStyle w:val="Hipervnculo"/>
            <w:noProof/>
          </w:rPr>
          <w:t>IV.</w:t>
        </w:r>
        <w:r>
          <w:rPr>
            <w:rFonts w:asciiTheme="minorHAnsi" w:eastAsiaTheme="minorEastAsia" w:hAnsiTheme="minorHAnsi" w:cstheme="minorBidi"/>
            <w:noProof/>
            <w:sz w:val="22"/>
            <w:szCs w:val="22"/>
            <w:lang w:val="es-GT" w:eastAsia="es-GT"/>
          </w:rPr>
          <w:tab/>
        </w:r>
        <w:r w:rsidRPr="003B372C">
          <w:rPr>
            <w:rStyle w:val="Hipervnculo"/>
            <w:noProof/>
          </w:rPr>
          <w:t>Aspectos Relevantes del Primer Semestre 2019 y su continuidad para Fin de Año</w:t>
        </w:r>
        <w:r>
          <w:rPr>
            <w:noProof/>
            <w:webHidden/>
          </w:rPr>
          <w:tab/>
        </w:r>
        <w:r>
          <w:rPr>
            <w:noProof/>
            <w:webHidden/>
          </w:rPr>
          <w:fldChar w:fldCharType="begin"/>
        </w:r>
        <w:r>
          <w:rPr>
            <w:noProof/>
            <w:webHidden/>
          </w:rPr>
          <w:instrText xml:space="preserve"> PAGEREF _Toc20495581 \h </w:instrText>
        </w:r>
        <w:r>
          <w:rPr>
            <w:noProof/>
            <w:webHidden/>
          </w:rPr>
        </w:r>
        <w:r>
          <w:rPr>
            <w:noProof/>
            <w:webHidden/>
          </w:rPr>
          <w:fldChar w:fldCharType="separate"/>
        </w:r>
        <w:r>
          <w:rPr>
            <w:noProof/>
            <w:webHidden/>
          </w:rPr>
          <w:t>42</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82" w:history="1">
        <w:r w:rsidRPr="003B372C">
          <w:rPr>
            <w:rStyle w:val="Hipervnculo"/>
            <w:noProof/>
          </w:rPr>
          <w:t>A.</w:t>
        </w:r>
        <w:r>
          <w:rPr>
            <w:rFonts w:asciiTheme="minorHAnsi" w:eastAsiaTheme="minorEastAsia" w:hAnsiTheme="minorHAnsi" w:cstheme="minorBidi"/>
            <w:noProof/>
            <w:sz w:val="22"/>
            <w:szCs w:val="22"/>
            <w:lang w:val="es-GT" w:eastAsia="es-GT"/>
          </w:rPr>
          <w:tab/>
        </w:r>
        <w:r w:rsidRPr="003B372C">
          <w:rPr>
            <w:rStyle w:val="Hipervnculo"/>
            <w:noProof/>
          </w:rPr>
          <w:t>Logros de Transparencia Fiscal</w:t>
        </w:r>
        <w:r>
          <w:rPr>
            <w:noProof/>
            <w:webHidden/>
          </w:rPr>
          <w:tab/>
        </w:r>
        <w:r>
          <w:rPr>
            <w:noProof/>
            <w:webHidden/>
          </w:rPr>
          <w:fldChar w:fldCharType="begin"/>
        </w:r>
        <w:r>
          <w:rPr>
            <w:noProof/>
            <w:webHidden/>
          </w:rPr>
          <w:instrText xml:space="preserve"> PAGEREF _Toc20495582 \h </w:instrText>
        </w:r>
        <w:r>
          <w:rPr>
            <w:noProof/>
            <w:webHidden/>
          </w:rPr>
        </w:r>
        <w:r>
          <w:rPr>
            <w:noProof/>
            <w:webHidden/>
          </w:rPr>
          <w:fldChar w:fldCharType="separate"/>
        </w:r>
        <w:r>
          <w:rPr>
            <w:noProof/>
            <w:webHidden/>
          </w:rPr>
          <w:t>42</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83" w:history="1">
        <w:r w:rsidRPr="003B372C">
          <w:rPr>
            <w:rStyle w:val="Hipervnculo"/>
            <w:noProof/>
          </w:rPr>
          <w:t>B.</w:t>
        </w:r>
        <w:r>
          <w:rPr>
            <w:rFonts w:asciiTheme="minorHAnsi" w:eastAsiaTheme="minorEastAsia" w:hAnsiTheme="minorHAnsi" w:cstheme="minorBidi"/>
            <w:noProof/>
            <w:sz w:val="22"/>
            <w:szCs w:val="22"/>
            <w:lang w:val="es-GT" w:eastAsia="es-GT"/>
          </w:rPr>
          <w:tab/>
        </w:r>
        <w:r w:rsidRPr="003B372C">
          <w:rPr>
            <w:rStyle w:val="Hipervnculo"/>
            <w:noProof/>
          </w:rPr>
          <w:t>Compromisos y Metas a cargo del Ministerio de Finanzas Públicas en el Cuarto Plan de Acción Nacional de Gobierno Abierto 2018-2020</w:t>
        </w:r>
        <w:r>
          <w:rPr>
            <w:noProof/>
            <w:webHidden/>
          </w:rPr>
          <w:tab/>
        </w:r>
        <w:r>
          <w:rPr>
            <w:noProof/>
            <w:webHidden/>
          </w:rPr>
          <w:fldChar w:fldCharType="begin"/>
        </w:r>
        <w:r>
          <w:rPr>
            <w:noProof/>
            <w:webHidden/>
          </w:rPr>
          <w:instrText xml:space="preserve"> PAGEREF _Toc20495583 \h </w:instrText>
        </w:r>
        <w:r>
          <w:rPr>
            <w:noProof/>
            <w:webHidden/>
          </w:rPr>
        </w:r>
        <w:r>
          <w:rPr>
            <w:noProof/>
            <w:webHidden/>
          </w:rPr>
          <w:fldChar w:fldCharType="separate"/>
        </w:r>
        <w:r>
          <w:rPr>
            <w:noProof/>
            <w:webHidden/>
          </w:rPr>
          <w:t>43</w:t>
        </w:r>
        <w:r>
          <w:rPr>
            <w:noProof/>
            <w:webHidden/>
          </w:rPr>
          <w:fldChar w:fldCharType="end"/>
        </w:r>
      </w:hyperlink>
    </w:p>
    <w:p w:rsidR="00C87E7F" w:rsidRDefault="00C87E7F">
      <w:pPr>
        <w:pStyle w:val="TDC2"/>
        <w:rPr>
          <w:rFonts w:asciiTheme="minorHAnsi" w:eastAsiaTheme="minorEastAsia" w:hAnsiTheme="minorHAnsi" w:cstheme="minorBidi"/>
          <w:noProof/>
          <w:sz w:val="22"/>
          <w:szCs w:val="22"/>
          <w:lang w:val="es-GT" w:eastAsia="es-GT"/>
        </w:rPr>
      </w:pPr>
      <w:hyperlink w:anchor="_Toc20495584" w:history="1">
        <w:r w:rsidRPr="003B372C">
          <w:rPr>
            <w:rStyle w:val="Hipervnculo"/>
            <w:noProof/>
          </w:rPr>
          <w:t>C.</w:t>
        </w:r>
        <w:r>
          <w:rPr>
            <w:rFonts w:asciiTheme="minorHAnsi" w:eastAsiaTheme="minorEastAsia" w:hAnsiTheme="minorHAnsi" w:cstheme="minorBidi"/>
            <w:noProof/>
            <w:sz w:val="22"/>
            <w:szCs w:val="22"/>
            <w:lang w:val="es-GT" w:eastAsia="es-GT"/>
          </w:rPr>
          <w:tab/>
        </w:r>
        <w:r w:rsidRPr="003B372C">
          <w:rPr>
            <w:rStyle w:val="Hipervnculo"/>
            <w:noProof/>
          </w:rPr>
          <w:t>Otras Acciones sobre Transparencia Fiscal</w:t>
        </w:r>
        <w:r>
          <w:rPr>
            <w:noProof/>
            <w:webHidden/>
          </w:rPr>
          <w:tab/>
        </w:r>
        <w:r>
          <w:rPr>
            <w:noProof/>
            <w:webHidden/>
          </w:rPr>
          <w:fldChar w:fldCharType="begin"/>
        </w:r>
        <w:r>
          <w:rPr>
            <w:noProof/>
            <w:webHidden/>
          </w:rPr>
          <w:instrText xml:space="preserve"> PAGEREF _Toc20495584 \h </w:instrText>
        </w:r>
        <w:r>
          <w:rPr>
            <w:noProof/>
            <w:webHidden/>
          </w:rPr>
        </w:r>
        <w:r>
          <w:rPr>
            <w:noProof/>
            <w:webHidden/>
          </w:rPr>
          <w:fldChar w:fldCharType="separate"/>
        </w:r>
        <w:r>
          <w:rPr>
            <w:noProof/>
            <w:webHidden/>
          </w:rPr>
          <w:t>45</w:t>
        </w:r>
        <w:r>
          <w:rPr>
            <w:noProof/>
            <w:webHidden/>
          </w:rPr>
          <w:fldChar w:fldCharType="end"/>
        </w:r>
      </w:hyperlink>
    </w:p>
    <w:p w:rsidR="009C2D46" w:rsidRPr="002414D8" w:rsidRDefault="007C7DEE" w:rsidP="002414D8">
      <w:pPr>
        <w:ind w:right="-142"/>
        <w:jc w:val="both"/>
      </w:pPr>
      <w:r w:rsidRPr="00C87438">
        <w:rPr>
          <w:b/>
          <w:bCs/>
          <w:highlight w:val="yellow"/>
        </w:rPr>
        <w:fldChar w:fldCharType="end"/>
      </w:r>
      <w:r w:rsidR="002414D8" w:rsidRPr="002414D8">
        <w:rPr>
          <w:bCs/>
        </w:rPr>
        <w:t>V</w:t>
      </w:r>
      <w:r w:rsidR="002414D8">
        <w:rPr>
          <w:bCs/>
        </w:rPr>
        <w:t>.    Anexos……………………………………………………………………………………</w:t>
      </w:r>
      <w:r w:rsidR="00C87E7F">
        <w:rPr>
          <w:bCs/>
        </w:rPr>
        <w:t>49</w:t>
      </w:r>
    </w:p>
    <w:p w:rsidR="00700218" w:rsidRPr="00C87438" w:rsidRDefault="00700218" w:rsidP="0090230E">
      <w:pPr>
        <w:pStyle w:val="Prrafodelista"/>
        <w:tabs>
          <w:tab w:val="left" w:pos="870"/>
        </w:tabs>
        <w:ind w:left="720"/>
        <w:contextualSpacing/>
        <w:jc w:val="right"/>
        <w:rPr>
          <w:highlight w:val="yellow"/>
        </w:rPr>
      </w:pPr>
    </w:p>
    <w:p w:rsidR="00612210" w:rsidRDefault="00612210">
      <w:pPr>
        <w:rPr>
          <w:highlight w:val="yellow"/>
          <w:lang w:val="es-MX"/>
        </w:rPr>
      </w:pPr>
      <w:r w:rsidRPr="00C87438">
        <w:rPr>
          <w:highlight w:val="yellow"/>
          <w:lang w:val="es-MX"/>
        </w:rPr>
        <w:br w:type="page"/>
      </w:r>
    </w:p>
    <w:p w:rsidR="00E425C1" w:rsidRDefault="00E425C1" w:rsidP="00E425C1">
      <w:pPr>
        <w:pStyle w:val="Ttulo1"/>
        <w:numPr>
          <w:ilvl w:val="0"/>
          <w:numId w:val="2"/>
        </w:numPr>
        <w:tabs>
          <w:tab w:val="num" w:pos="0"/>
        </w:tabs>
        <w:suppressAutoHyphens/>
        <w:ind w:left="709"/>
      </w:pPr>
      <w:bookmarkStart w:id="2" w:name="_Toc4742458"/>
      <w:bookmarkStart w:id="3" w:name="_Toc417992518"/>
      <w:bookmarkStart w:id="4" w:name="_Toc20495559"/>
      <w:r w:rsidRPr="00DD2DF7">
        <w:lastRenderedPageBreak/>
        <w:t>Entorno Macroeconómico</w:t>
      </w:r>
      <w:bookmarkEnd w:id="4"/>
    </w:p>
    <w:p w:rsidR="00E425C1" w:rsidRPr="00713CAB" w:rsidRDefault="00E425C1" w:rsidP="00E425C1"/>
    <w:p w:rsidR="00E425C1" w:rsidRPr="0059599D" w:rsidRDefault="00E425C1" w:rsidP="0059599D">
      <w:pPr>
        <w:pStyle w:val="Ttulo2"/>
        <w:rPr>
          <w:rFonts w:ascii="Times New Roman" w:hAnsi="Times New Roman"/>
          <w:color w:val="auto"/>
          <w:sz w:val="24"/>
          <w:lang w:val="es-MX"/>
        </w:rPr>
      </w:pPr>
      <w:bookmarkStart w:id="5" w:name="_Toc20495560"/>
      <w:r w:rsidRPr="0059599D">
        <w:rPr>
          <w:rFonts w:ascii="Times New Roman" w:hAnsi="Times New Roman"/>
          <w:color w:val="auto"/>
          <w:sz w:val="24"/>
          <w:lang w:val="es-MX"/>
        </w:rPr>
        <w:t>Entorno Macroeconómico Internacional</w:t>
      </w:r>
      <w:bookmarkEnd w:id="2"/>
      <w:bookmarkEnd w:id="5"/>
    </w:p>
    <w:p w:rsidR="00E425C1" w:rsidRPr="00124AD6" w:rsidRDefault="00E425C1" w:rsidP="00E425C1">
      <w:pPr>
        <w:pStyle w:val="Ttulo1"/>
        <w:numPr>
          <w:ilvl w:val="0"/>
          <w:numId w:val="0"/>
        </w:numPr>
        <w:suppressAutoHyphens/>
        <w:ind w:left="709"/>
        <w:rPr>
          <w:lang w:val="es-MX"/>
        </w:rPr>
      </w:pPr>
    </w:p>
    <w:p w:rsidR="00E425C1" w:rsidRPr="001E6D7B" w:rsidRDefault="00E425C1" w:rsidP="00E425C1">
      <w:pPr>
        <w:autoSpaceDE w:val="0"/>
        <w:autoSpaceDN w:val="0"/>
        <w:adjustRightInd w:val="0"/>
        <w:jc w:val="both"/>
      </w:pPr>
      <w:r>
        <w:t>Durante el primer semestre de 2019</w:t>
      </w:r>
      <w:r w:rsidRPr="00342AAF">
        <w:t xml:space="preserve"> la economía mundial registró un crecimiento </w:t>
      </w:r>
      <w:r>
        <w:t>moderado</w:t>
      </w:r>
      <w:r w:rsidRPr="001E6D7B">
        <w:t xml:space="preserve">, </w:t>
      </w:r>
      <w:r>
        <w:t xml:space="preserve">como resultado de la política de </w:t>
      </w:r>
      <w:r w:rsidRPr="001E6D7B">
        <w:t xml:space="preserve">Estados Unidos </w:t>
      </w:r>
      <w:r>
        <w:t xml:space="preserve">sobre el </w:t>
      </w:r>
      <w:r w:rsidRPr="001E6D7B">
        <w:t>increment</w:t>
      </w:r>
      <w:r>
        <w:t xml:space="preserve">o </w:t>
      </w:r>
      <w:r w:rsidR="00497B1C">
        <w:t>a</w:t>
      </w:r>
      <w:r>
        <w:t xml:space="preserve"> </w:t>
      </w:r>
      <w:r w:rsidRPr="001E6D7B">
        <w:t xml:space="preserve">los aranceles sobre ciertas importaciones chinas y </w:t>
      </w:r>
      <w:r>
        <w:t xml:space="preserve">la respuesta de </w:t>
      </w:r>
      <w:r w:rsidR="00497B1C">
        <w:t xml:space="preserve">la República de </w:t>
      </w:r>
      <w:r>
        <w:t xml:space="preserve">China </w:t>
      </w:r>
      <w:r w:rsidRPr="001E6D7B">
        <w:t>elevando los</w:t>
      </w:r>
      <w:r>
        <w:t xml:space="preserve"> </w:t>
      </w:r>
      <w:r w:rsidRPr="001E6D7B">
        <w:t>aranceles de un subconjunto de importaciones de Estados Unidos. Tras la cumbre del G-20</w:t>
      </w:r>
      <w:r>
        <w:t xml:space="preserve"> </w:t>
      </w:r>
      <w:r w:rsidRPr="001E6D7B">
        <w:t>celebrada en junio</w:t>
      </w:r>
      <w:r w:rsidR="00497B1C">
        <w:t xml:space="preserve"> de 2019</w:t>
      </w:r>
      <w:r w:rsidRPr="001E6D7B">
        <w:t xml:space="preserve"> se evitó una nueva escalada de estas medidas. Las cadenas mundiales de</w:t>
      </w:r>
      <w:r>
        <w:t xml:space="preserve"> </w:t>
      </w:r>
      <w:r w:rsidRPr="001E6D7B">
        <w:t>suministro</w:t>
      </w:r>
      <w:r w:rsidR="00497B1C">
        <w:t>s</w:t>
      </w:r>
      <w:r w:rsidRPr="001E6D7B">
        <w:t xml:space="preserve"> de tecnología se vieron amenazadas por la posibilidad de que Estados Unidos</w:t>
      </w:r>
      <w:r>
        <w:t xml:space="preserve"> </w:t>
      </w:r>
      <w:r w:rsidRPr="001E6D7B">
        <w:t>imponga sanciones</w:t>
      </w:r>
      <w:r w:rsidR="00497B1C">
        <w:t>;</w:t>
      </w:r>
      <w:r w:rsidRPr="001E6D7B">
        <w:t xml:space="preserve"> </w:t>
      </w:r>
      <w:r w:rsidR="00497B1C">
        <w:t xml:space="preserve">aún </w:t>
      </w:r>
      <w:r w:rsidRPr="001E6D7B">
        <w:t xml:space="preserve">no se ha disipado la incertidumbre relacionada con el </w:t>
      </w:r>
      <w:r w:rsidR="00497B1C">
        <w:t>B</w:t>
      </w:r>
      <w:r w:rsidRPr="001E6D7B">
        <w:t>rexit y las crecientes</w:t>
      </w:r>
      <w:r>
        <w:t xml:space="preserve"> </w:t>
      </w:r>
      <w:r w:rsidRPr="001E6D7B">
        <w:t>tensiones geopolíticas han alt</w:t>
      </w:r>
      <w:r>
        <w:t xml:space="preserve">erado los precios de la energía (FMI, </w:t>
      </w:r>
      <w:r>
        <w:rPr>
          <w:sz w:val="23"/>
          <w:szCs w:val="23"/>
        </w:rPr>
        <w:t xml:space="preserve">Actualización de </w:t>
      </w:r>
      <w:r>
        <w:rPr>
          <w:i/>
          <w:iCs/>
          <w:sz w:val="23"/>
          <w:szCs w:val="23"/>
        </w:rPr>
        <w:t>Perspectivas de la economía mundial</w:t>
      </w:r>
      <w:r>
        <w:rPr>
          <w:sz w:val="23"/>
          <w:szCs w:val="23"/>
        </w:rPr>
        <w:t>, julio de 2019).</w:t>
      </w:r>
    </w:p>
    <w:p w:rsidR="00E425C1" w:rsidRPr="001E6D7B" w:rsidRDefault="00E425C1" w:rsidP="00E425C1">
      <w:pPr>
        <w:autoSpaceDE w:val="0"/>
        <w:autoSpaceDN w:val="0"/>
        <w:adjustRightInd w:val="0"/>
        <w:rPr>
          <w:rFonts w:eastAsia="Calibri"/>
          <w:color w:val="000000"/>
          <w:lang w:val="es-GT" w:eastAsia="es-MX"/>
        </w:rPr>
      </w:pPr>
    </w:p>
    <w:p w:rsidR="00E425C1" w:rsidRPr="001E6D7B" w:rsidRDefault="00E425C1" w:rsidP="00E425C1">
      <w:pPr>
        <w:autoSpaceDE w:val="0"/>
        <w:autoSpaceDN w:val="0"/>
        <w:adjustRightInd w:val="0"/>
        <w:jc w:val="both"/>
      </w:pPr>
      <w:r>
        <w:t>De esta forma, se</w:t>
      </w:r>
      <w:r w:rsidRPr="001E6D7B">
        <w:t xml:space="preserve"> pronostica un crecimiento de 3</w:t>
      </w:r>
      <w:r>
        <w:t>.</w:t>
      </w:r>
      <w:r w:rsidRPr="001E6D7B">
        <w:t>2% para 2019, con un repunte a</w:t>
      </w:r>
      <w:r w:rsidR="00497B1C">
        <w:t>l</w:t>
      </w:r>
      <w:r w:rsidRPr="001E6D7B">
        <w:t xml:space="preserve"> 3</w:t>
      </w:r>
      <w:r>
        <w:t>.</w:t>
      </w:r>
      <w:r w:rsidRPr="001E6D7B">
        <w:t>5% en</w:t>
      </w:r>
      <w:r>
        <w:t xml:space="preserve"> </w:t>
      </w:r>
      <w:r w:rsidRPr="001E6D7B">
        <w:t>2020. Los datos sobre el PIB en lo que va del año, sumados a una moderación general de la</w:t>
      </w:r>
      <w:r>
        <w:t xml:space="preserve"> </w:t>
      </w:r>
      <w:r w:rsidRPr="001E6D7B">
        <w:t>inflación, apuntan a una actividad mundial más débil de l</w:t>
      </w:r>
      <w:r w:rsidR="00497B1C">
        <w:t>a</w:t>
      </w:r>
      <w:r w:rsidRPr="001E6D7B">
        <w:t xml:space="preserve"> previst</w:t>
      </w:r>
      <w:r w:rsidR="00497B1C">
        <w:t>a</w:t>
      </w:r>
      <w:r w:rsidRPr="001E6D7B">
        <w:t>. La inversión y la demanda</w:t>
      </w:r>
      <w:r>
        <w:t xml:space="preserve"> </w:t>
      </w:r>
      <w:r w:rsidRPr="001E6D7B">
        <w:t>de bienes de consumo duraderos han sido moderadas en las economías avanzadas y de</w:t>
      </w:r>
      <w:r>
        <w:t xml:space="preserve"> </w:t>
      </w:r>
      <w:r w:rsidRPr="001E6D7B">
        <w:t>mercados emergentes, dado que las empresas y los hogares continúan postergando el gasto a</w:t>
      </w:r>
      <w:r>
        <w:t xml:space="preserve"> </w:t>
      </w:r>
      <w:r w:rsidRPr="001E6D7B">
        <w:t>largo plazo. El repunte del crecimiento proyectado para</w:t>
      </w:r>
      <w:r>
        <w:t xml:space="preserve"> </w:t>
      </w:r>
      <w:r w:rsidRPr="001E6D7B">
        <w:t>2020 es precario, y supone la estabilización de las economías de mercados emergentes y en</w:t>
      </w:r>
      <w:r>
        <w:t xml:space="preserve"> </w:t>
      </w:r>
      <w:r w:rsidRPr="001E6D7B">
        <w:t>desarrollo que están atravesando tensiones y avances hacia la resolución de las diferencias en</w:t>
      </w:r>
      <w:r>
        <w:t xml:space="preserve"> </w:t>
      </w:r>
      <w:r w:rsidRPr="001E6D7B">
        <w:t>torno a políticas comerciales.</w:t>
      </w:r>
      <w:r>
        <w:t xml:space="preserve"> (FMI, </w:t>
      </w:r>
      <w:r>
        <w:rPr>
          <w:sz w:val="23"/>
          <w:szCs w:val="23"/>
        </w:rPr>
        <w:t>ídem).</w:t>
      </w:r>
    </w:p>
    <w:p w:rsidR="00497B1C" w:rsidRDefault="00497B1C" w:rsidP="00E425C1">
      <w:pPr>
        <w:autoSpaceDE w:val="0"/>
        <w:autoSpaceDN w:val="0"/>
        <w:adjustRightInd w:val="0"/>
        <w:jc w:val="both"/>
      </w:pPr>
    </w:p>
    <w:p w:rsidR="00E425C1" w:rsidRDefault="00E425C1" w:rsidP="00E425C1">
      <w:pPr>
        <w:autoSpaceDE w:val="0"/>
        <w:autoSpaceDN w:val="0"/>
        <w:adjustRightInd w:val="0"/>
        <w:jc w:val="both"/>
      </w:pPr>
      <w:r w:rsidRPr="001E6D7B">
        <w:t xml:space="preserve">El repunte proyectado del crecimiento mundial en 2020 depende de varios factores: 1) que la actitud de los mercados financieros se mantenga en general favorable; 2) que vayan desapareciendo los obstáculos temporales, especialmente en la </w:t>
      </w:r>
      <w:r w:rsidR="005D5912">
        <w:t>Z</w:t>
      </w:r>
      <w:r w:rsidRPr="001E6D7B">
        <w:t xml:space="preserve">ona del </w:t>
      </w:r>
      <w:r w:rsidR="005D5912">
        <w:t>E</w:t>
      </w:r>
      <w:r w:rsidRPr="001E6D7B">
        <w:t xml:space="preserve">uro; 3) que continúe la estabilización en algunas economías de mercados emergentes que se encuentran sometidas a tensiones, como Argentina y Turquía, y 4) que se eviten colapsos aún más pronunciados </w:t>
      </w:r>
      <w:r>
        <w:t>en otras, como Irán y Venezuela (FMI, Ib</w:t>
      </w:r>
      <w:r>
        <w:rPr>
          <w:sz w:val="23"/>
          <w:szCs w:val="23"/>
        </w:rPr>
        <w:t>ídem).</w:t>
      </w:r>
    </w:p>
    <w:p w:rsidR="00497B1C" w:rsidRDefault="00497B1C" w:rsidP="00E425C1">
      <w:pPr>
        <w:autoSpaceDE w:val="0"/>
        <w:autoSpaceDN w:val="0"/>
        <w:adjustRightInd w:val="0"/>
        <w:jc w:val="both"/>
      </w:pPr>
    </w:p>
    <w:p w:rsidR="00E425C1" w:rsidRDefault="00E425C1" w:rsidP="00E425C1">
      <w:pPr>
        <w:autoSpaceDE w:val="0"/>
        <w:autoSpaceDN w:val="0"/>
        <w:adjustRightInd w:val="0"/>
        <w:jc w:val="both"/>
      </w:pPr>
      <w:r w:rsidRPr="001E6D7B">
        <w:t xml:space="preserve">En las economías avanzadas, se proyecta un crecimiento </w:t>
      </w:r>
      <w:r>
        <w:t>de 1</w:t>
      </w:r>
      <w:r w:rsidR="005D5912">
        <w:t>.</w:t>
      </w:r>
      <w:r>
        <w:t>9% en 2019 y 1</w:t>
      </w:r>
      <w:r w:rsidR="005D5912">
        <w:t>.</w:t>
      </w:r>
      <w:r>
        <w:t xml:space="preserve">7% en 2020, </w:t>
      </w:r>
      <w:r w:rsidRPr="001E6D7B">
        <w:t>debido principalmente a revisiones al alza del crecimiento en Estados Unidos</w:t>
      </w:r>
      <w:r w:rsidR="005D5912">
        <w:t xml:space="preserve"> de América</w:t>
      </w:r>
      <w:r w:rsidRPr="001E6D7B">
        <w:t>.</w:t>
      </w:r>
    </w:p>
    <w:p w:rsidR="00E425C1" w:rsidRDefault="00E425C1" w:rsidP="00E425C1">
      <w:pPr>
        <w:pStyle w:val="Default"/>
        <w:jc w:val="both"/>
        <w:rPr>
          <w:rFonts w:ascii="Times New Roman" w:hAnsi="Times New Roman" w:cs="Times New Roman"/>
          <w:color w:val="auto"/>
        </w:rPr>
      </w:pPr>
    </w:p>
    <w:p w:rsidR="00E425C1" w:rsidRPr="001E6D7B" w:rsidRDefault="00E425C1" w:rsidP="00E425C1">
      <w:pPr>
        <w:autoSpaceDE w:val="0"/>
        <w:autoSpaceDN w:val="0"/>
        <w:adjustRightInd w:val="0"/>
        <w:jc w:val="both"/>
      </w:pPr>
      <w:r w:rsidRPr="001E6D7B">
        <w:t xml:space="preserve">En Estados Unidos, se prevé </w:t>
      </w:r>
      <w:r>
        <w:t xml:space="preserve">un </w:t>
      </w:r>
      <w:r w:rsidRPr="001E6D7B">
        <w:t>crecimiento para 2019 de 2</w:t>
      </w:r>
      <w:r>
        <w:t>.</w:t>
      </w:r>
      <w:r w:rsidRPr="001E6D7B">
        <w:t>6% y que se modere a 1</w:t>
      </w:r>
      <w:r w:rsidR="005D5912">
        <w:t>.</w:t>
      </w:r>
      <w:r w:rsidRPr="001E6D7B">
        <w:t>9% en</w:t>
      </w:r>
      <w:r>
        <w:t xml:space="preserve"> </w:t>
      </w:r>
      <w:r w:rsidRPr="001E6D7B">
        <w:t>2020 conforme se repliegue el estímulo fiscal.</w:t>
      </w:r>
      <w:r w:rsidRPr="001E6D7B">
        <w:br w:type="page"/>
      </w:r>
    </w:p>
    <w:p w:rsidR="00E425C1" w:rsidRPr="00190F0E" w:rsidRDefault="00E425C1" w:rsidP="00E425C1">
      <w:pPr>
        <w:jc w:val="center"/>
        <w:rPr>
          <w:b/>
        </w:rPr>
      </w:pPr>
      <w:r w:rsidRPr="00190F0E">
        <w:rPr>
          <w:b/>
        </w:rPr>
        <w:lastRenderedPageBreak/>
        <w:t>Cuadro 1</w:t>
      </w:r>
    </w:p>
    <w:p w:rsidR="00E425C1" w:rsidRPr="00124AD6" w:rsidRDefault="00E425C1" w:rsidP="00E425C1">
      <w:pPr>
        <w:autoSpaceDE w:val="0"/>
        <w:autoSpaceDN w:val="0"/>
        <w:adjustRightInd w:val="0"/>
        <w:jc w:val="center"/>
        <w:rPr>
          <w:rFonts w:eastAsia="Calibri"/>
          <w:color w:val="000000"/>
          <w:lang w:val="es-GT" w:eastAsia="es-GT"/>
        </w:rPr>
      </w:pPr>
      <w:r w:rsidRPr="00124AD6">
        <w:rPr>
          <w:rFonts w:eastAsia="Calibri"/>
          <w:b/>
          <w:bCs/>
          <w:color w:val="000000"/>
          <w:lang w:val="es-GT" w:eastAsia="es-GT"/>
        </w:rPr>
        <w:t>Crecimiento Económico Mundial</w:t>
      </w:r>
    </w:p>
    <w:p w:rsidR="00E425C1" w:rsidRDefault="00E425C1" w:rsidP="00E425C1">
      <w:pPr>
        <w:autoSpaceDE w:val="0"/>
        <w:autoSpaceDN w:val="0"/>
        <w:adjustRightInd w:val="0"/>
        <w:jc w:val="center"/>
        <w:rPr>
          <w:rFonts w:eastAsia="Calibri"/>
          <w:b/>
          <w:bCs/>
          <w:color w:val="000000"/>
          <w:lang w:val="es-GT" w:eastAsia="es-GT"/>
        </w:rPr>
      </w:pPr>
      <w:r>
        <w:rPr>
          <w:rFonts w:eastAsia="Calibri"/>
          <w:b/>
          <w:bCs/>
          <w:color w:val="000000"/>
          <w:lang w:val="es-GT" w:eastAsia="es-GT"/>
        </w:rPr>
        <w:t xml:space="preserve">Período </w:t>
      </w:r>
      <w:r w:rsidRPr="00124AD6">
        <w:rPr>
          <w:rFonts w:eastAsia="Calibri"/>
          <w:b/>
          <w:bCs/>
          <w:color w:val="000000"/>
          <w:lang w:val="es-GT" w:eastAsia="es-GT"/>
        </w:rPr>
        <w:t>20</w:t>
      </w:r>
      <w:r>
        <w:rPr>
          <w:rFonts w:eastAsia="Calibri"/>
          <w:b/>
          <w:bCs/>
          <w:color w:val="000000"/>
          <w:lang w:val="es-GT" w:eastAsia="es-GT"/>
        </w:rPr>
        <w:t>17</w:t>
      </w:r>
      <w:r w:rsidR="00E72B2E">
        <w:rPr>
          <w:rFonts w:eastAsia="Calibri"/>
          <w:b/>
          <w:bCs/>
          <w:color w:val="000000"/>
          <w:lang w:val="es-GT" w:eastAsia="es-GT"/>
        </w:rPr>
        <w:t xml:space="preserve"> </w:t>
      </w:r>
      <w:r w:rsidRPr="00124AD6">
        <w:rPr>
          <w:rFonts w:eastAsia="Calibri"/>
          <w:b/>
          <w:bCs/>
          <w:color w:val="000000"/>
          <w:lang w:val="es-GT" w:eastAsia="es-GT"/>
        </w:rPr>
        <w:t>-</w:t>
      </w:r>
      <w:r w:rsidR="00E72B2E">
        <w:rPr>
          <w:rFonts w:eastAsia="Calibri"/>
          <w:b/>
          <w:bCs/>
          <w:color w:val="000000"/>
          <w:lang w:val="es-GT" w:eastAsia="es-GT"/>
        </w:rPr>
        <w:t xml:space="preserve"> </w:t>
      </w:r>
      <w:r>
        <w:rPr>
          <w:rFonts w:eastAsia="Calibri"/>
          <w:b/>
          <w:bCs/>
          <w:color w:val="000000"/>
          <w:lang w:val="es-GT" w:eastAsia="es-GT"/>
        </w:rPr>
        <w:t>2020</w:t>
      </w:r>
    </w:p>
    <w:p w:rsidR="00E425C1" w:rsidRDefault="00E80FFE" w:rsidP="00E425C1">
      <w:pPr>
        <w:autoSpaceDE w:val="0"/>
        <w:autoSpaceDN w:val="0"/>
        <w:adjustRightInd w:val="0"/>
        <w:jc w:val="center"/>
        <w:rPr>
          <w:rFonts w:eastAsia="Calibri"/>
          <w:b/>
          <w:color w:val="000000"/>
          <w:lang w:val="es-GT" w:eastAsia="es-GT"/>
        </w:rPr>
      </w:pPr>
      <w:r>
        <w:rPr>
          <w:rFonts w:eastAsia="Calibri"/>
          <w:b/>
          <w:bCs/>
          <w:color w:val="000000"/>
          <w:lang w:val="es-GT" w:eastAsia="es-GT"/>
        </w:rPr>
        <w:t>(</w:t>
      </w:r>
      <w:r w:rsidR="00E72B2E">
        <w:rPr>
          <w:rFonts w:eastAsia="Calibri"/>
          <w:b/>
          <w:bCs/>
          <w:color w:val="000000"/>
          <w:lang w:val="es-GT" w:eastAsia="es-GT"/>
        </w:rPr>
        <w:t>Variación</w:t>
      </w:r>
      <w:r w:rsidR="00E425C1">
        <w:rPr>
          <w:rFonts w:eastAsia="Calibri"/>
          <w:b/>
          <w:bCs/>
          <w:color w:val="000000"/>
          <w:lang w:val="es-GT" w:eastAsia="es-GT"/>
        </w:rPr>
        <w:t xml:space="preserve"> </w:t>
      </w:r>
      <w:r>
        <w:rPr>
          <w:rFonts w:eastAsia="Calibri"/>
          <w:b/>
          <w:bCs/>
          <w:color w:val="000000"/>
          <w:lang w:val="es-GT" w:eastAsia="es-GT"/>
        </w:rPr>
        <w:t>P</w:t>
      </w:r>
      <w:r w:rsidR="00E425C1" w:rsidRPr="00190F0E">
        <w:rPr>
          <w:rFonts w:eastAsia="Calibri"/>
          <w:b/>
          <w:color w:val="000000"/>
          <w:lang w:val="es-GT" w:eastAsia="es-GT"/>
        </w:rPr>
        <w:t>orcent</w:t>
      </w:r>
      <w:r w:rsidR="00E72B2E">
        <w:rPr>
          <w:rFonts w:eastAsia="Calibri"/>
          <w:b/>
          <w:color w:val="000000"/>
          <w:lang w:val="es-GT" w:eastAsia="es-GT"/>
        </w:rPr>
        <w:t>ual</w:t>
      </w:r>
      <w:r>
        <w:rPr>
          <w:rFonts w:eastAsia="Calibri"/>
          <w:b/>
          <w:color w:val="000000"/>
          <w:lang w:val="es-GT" w:eastAsia="es-GT"/>
        </w:rPr>
        <w:t>)</w:t>
      </w:r>
    </w:p>
    <w:p w:rsidR="00E425C1" w:rsidRPr="0082029F" w:rsidRDefault="00E425C1" w:rsidP="00E425C1">
      <w:pPr>
        <w:autoSpaceDE w:val="0"/>
        <w:autoSpaceDN w:val="0"/>
        <w:adjustRightInd w:val="0"/>
        <w:jc w:val="center"/>
        <w:rPr>
          <w:sz w:val="12"/>
        </w:rPr>
      </w:pPr>
    </w:p>
    <w:tbl>
      <w:tblPr>
        <w:tblW w:w="8829" w:type="dxa"/>
        <w:tblInd w:w="55" w:type="dxa"/>
        <w:tblCellMar>
          <w:left w:w="70" w:type="dxa"/>
          <w:right w:w="70" w:type="dxa"/>
        </w:tblCellMar>
        <w:tblLook w:val="04A0" w:firstRow="1" w:lastRow="0" w:firstColumn="1" w:lastColumn="0" w:noHBand="0" w:noVBand="1"/>
      </w:tblPr>
      <w:tblGrid>
        <w:gridCol w:w="5544"/>
        <w:gridCol w:w="708"/>
        <w:gridCol w:w="993"/>
        <w:gridCol w:w="850"/>
        <w:gridCol w:w="734"/>
      </w:tblGrid>
      <w:tr w:rsidR="00E425C1" w:rsidRPr="00713CAB" w:rsidTr="00774B0C">
        <w:trPr>
          <w:trHeight w:val="258"/>
        </w:trPr>
        <w:tc>
          <w:tcPr>
            <w:tcW w:w="5544" w:type="dxa"/>
            <w:tcBorders>
              <w:top w:val="single" w:sz="12" w:space="0" w:color="auto"/>
              <w:left w:val="single" w:sz="12" w:space="0" w:color="auto"/>
              <w:right w:val="nil"/>
            </w:tcBorders>
            <w:shd w:val="clear" w:color="000000" w:fill="auto"/>
            <w:noWrap/>
            <w:vAlign w:val="bottom"/>
            <w:hideMark/>
          </w:tcPr>
          <w:p w:rsidR="00E425C1" w:rsidRPr="00713CAB" w:rsidRDefault="00E425C1" w:rsidP="00E425C1">
            <w:pPr>
              <w:jc w:val="center"/>
              <w:rPr>
                <w:color w:val="000000"/>
                <w:sz w:val="20"/>
                <w:lang w:val="es-GT" w:eastAsia="es-GT"/>
              </w:rPr>
            </w:pPr>
          </w:p>
        </w:tc>
        <w:tc>
          <w:tcPr>
            <w:tcW w:w="708" w:type="dxa"/>
            <w:tcBorders>
              <w:top w:val="single" w:sz="12" w:space="0" w:color="auto"/>
              <w:left w:val="nil"/>
              <w:right w:val="nil"/>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2017</w:t>
            </w:r>
          </w:p>
        </w:tc>
        <w:tc>
          <w:tcPr>
            <w:tcW w:w="993" w:type="dxa"/>
            <w:tcBorders>
              <w:top w:val="single" w:sz="12" w:space="0" w:color="auto"/>
              <w:left w:val="nil"/>
              <w:right w:val="nil"/>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2018</w:t>
            </w:r>
          </w:p>
        </w:tc>
        <w:tc>
          <w:tcPr>
            <w:tcW w:w="850" w:type="dxa"/>
            <w:tcBorders>
              <w:top w:val="single" w:sz="12" w:space="0" w:color="auto"/>
              <w:left w:val="nil"/>
              <w:right w:val="nil"/>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2019</w:t>
            </w:r>
          </w:p>
        </w:tc>
        <w:tc>
          <w:tcPr>
            <w:tcW w:w="734" w:type="dxa"/>
            <w:tcBorders>
              <w:top w:val="single" w:sz="12" w:space="0" w:color="auto"/>
              <w:left w:val="nil"/>
              <w:right w:val="single" w:sz="12" w:space="0" w:color="auto"/>
            </w:tcBorders>
            <w:shd w:val="clear" w:color="000000" w:fill="auto"/>
            <w:noWrap/>
            <w:vAlign w:val="center"/>
            <w:hideMark/>
          </w:tcPr>
          <w:p w:rsidR="00E425C1" w:rsidRPr="00713CAB" w:rsidRDefault="00E425C1" w:rsidP="00774B0C">
            <w:pPr>
              <w:jc w:val="center"/>
              <w:rPr>
                <w:b/>
                <w:bCs/>
                <w:color w:val="000000"/>
                <w:sz w:val="20"/>
                <w:lang w:val="es-GT" w:eastAsia="es-GT"/>
              </w:rPr>
            </w:pPr>
            <w:r w:rsidRPr="00713CAB">
              <w:rPr>
                <w:b/>
                <w:bCs/>
                <w:color w:val="000000"/>
                <w:sz w:val="20"/>
                <w:lang w:val="es-GT" w:eastAsia="es-GT"/>
              </w:rPr>
              <w:t>2020</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Producto Mundial</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3.8</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3.7</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3.2</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3.5</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Economías Avanzadas</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2.4</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2.3</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1.9</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1.7</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100" w:firstLine="201"/>
              <w:rPr>
                <w:b/>
                <w:color w:val="000000"/>
                <w:sz w:val="20"/>
                <w:szCs w:val="22"/>
                <w:lang w:val="es-GT" w:eastAsia="es-GT"/>
              </w:rPr>
            </w:pPr>
            <w:r w:rsidRPr="00713CAB">
              <w:rPr>
                <w:b/>
                <w:color w:val="000000"/>
                <w:sz w:val="20"/>
                <w:szCs w:val="22"/>
                <w:lang w:val="es-GT" w:eastAsia="es-GT"/>
              </w:rPr>
              <w:t>Estados Unidos</w:t>
            </w:r>
          </w:p>
        </w:tc>
        <w:tc>
          <w:tcPr>
            <w:tcW w:w="708"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2.2</w:t>
            </w:r>
          </w:p>
        </w:tc>
        <w:tc>
          <w:tcPr>
            <w:tcW w:w="993"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2.9</w:t>
            </w:r>
          </w:p>
        </w:tc>
        <w:tc>
          <w:tcPr>
            <w:tcW w:w="850"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2.6</w:t>
            </w:r>
          </w:p>
        </w:tc>
        <w:tc>
          <w:tcPr>
            <w:tcW w:w="734" w:type="dxa"/>
            <w:tcBorders>
              <w:top w:val="nil"/>
              <w:left w:val="nil"/>
              <w:bottom w:val="nil"/>
              <w:right w:val="single" w:sz="12" w:space="0" w:color="auto"/>
            </w:tcBorders>
            <w:shd w:val="clear" w:color="000000" w:fill="auto"/>
            <w:noWrap/>
            <w:vAlign w:val="bottom"/>
            <w:hideMark/>
          </w:tcPr>
          <w:p w:rsidR="00E425C1" w:rsidRPr="00E80FFE" w:rsidRDefault="00E425C1" w:rsidP="00E425C1">
            <w:pPr>
              <w:jc w:val="right"/>
              <w:rPr>
                <w:b/>
                <w:color w:val="000000"/>
                <w:sz w:val="20"/>
              </w:rPr>
            </w:pPr>
            <w:r w:rsidRPr="00E80FFE">
              <w:rPr>
                <w:b/>
                <w:color w:val="000000"/>
                <w:sz w:val="20"/>
              </w:rPr>
              <w:t>1.9</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100" w:firstLine="201"/>
              <w:rPr>
                <w:b/>
                <w:color w:val="000000"/>
                <w:sz w:val="20"/>
                <w:szCs w:val="22"/>
                <w:lang w:val="es-GT" w:eastAsia="es-GT"/>
              </w:rPr>
            </w:pPr>
            <w:r w:rsidRPr="00713CAB">
              <w:rPr>
                <w:b/>
                <w:color w:val="000000"/>
                <w:sz w:val="20"/>
                <w:szCs w:val="22"/>
                <w:lang w:val="es-GT" w:eastAsia="es-GT"/>
              </w:rPr>
              <w:t>Zona del Euro</w:t>
            </w:r>
          </w:p>
        </w:tc>
        <w:tc>
          <w:tcPr>
            <w:tcW w:w="708"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2.4</w:t>
            </w:r>
          </w:p>
        </w:tc>
        <w:tc>
          <w:tcPr>
            <w:tcW w:w="993"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1.8</w:t>
            </w:r>
          </w:p>
        </w:tc>
        <w:tc>
          <w:tcPr>
            <w:tcW w:w="850" w:type="dxa"/>
            <w:tcBorders>
              <w:top w:val="nil"/>
              <w:left w:val="nil"/>
              <w:bottom w:val="nil"/>
              <w:right w:val="nil"/>
            </w:tcBorders>
            <w:shd w:val="clear" w:color="000000" w:fill="auto"/>
            <w:noWrap/>
            <w:vAlign w:val="bottom"/>
            <w:hideMark/>
          </w:tcPr>
          <w:p w:rsidR="00E425C1" w:rsidRPr="00E80FFE" w:rsidRDefault="00E425C1" w:rsidP="00E425C1">
            <w:pPr>
              <w:jc w:val="center"/>
              <w:rPr>
                <w:b/>
                <w:color w:val="000000"/>
                <w:sz w:val="20"/>
                <w:szCs w:val="22"/>
              </w:rPr>
            </w:pPr>
            <w:r w:rsidRPr="00E80FFE">
              <w:rPr>
                <w:b/>
                <w:color w:val="000000"/>
                <w:sz w:val="20"/>
                <w:szCs w:val="22"/>
              </w:rPr>
              <w:t>1.3</w:t>
            </w:r>
          </w:p>
        </w:tc>
        <w:tc>
          <w:tcPr>
            <w:tcW w:w="734" w:type="dxa"/>
            <w:tcBorders>
              <w:top w:val="nil"/>
              <w:left w:val="nil"/>
              <w:bottom w:val="nil"/>
              <w:right w:val="single" w:sz="12" w:space="0" w:color="auto"/>
            </w:tcBorders>
            <w:shd w:val="clear" w:color="000000" w:fill="auto"/>
            <w:noWrap/>
            <w:vAlign w:val="bottom"/>
            <w:hideMark/>
          </w:tcPr>
          <w:p w:rsidR="00E425C1" w:rsidRPr="00E80FFE" w:rsidRDefault="00E425C1" w:rsidP="00E425C1">
            <w:pPr>
              <w:jc w:val="right"/>
              <w:rPr>
                <w:b/>
                <w:color w:val="000000"/>
                <w:sz w:val="20"/>
              </w:rPr>
            </w:pPr>
            <w:r w:rsidRPr="00E80FFE">
              <w:rPr>
                <w:b/>
                <w:color w:val="000000"/>
                <w:sz w:val="20"/>
              </w:rPr>
              <w:t>1.6</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Alemania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2.2</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1.4</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0.7</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1.7</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Francia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2.3</w:t>
            </w:r>
          </w:p>
        </w:tc>
        <w:tc>
          <w:tcPr>
            <w:tcW w:w="993" w:type="dxa"/>
            <w:tcBorders>
              <w:top w:val="nil"/>
              <w:left w:val="nil"/>
              <w:bottom w:val="nil"/>
              <w:right w:val="nil"/>
            </w:tcBorders>
            <w:shd w:val="clear" w:color="000000" w:fill="auto"/>
            <w:noWrap/>
            <w:vAlign w:val="bottom"/>
            <w:hideMark/>
          </w:tcPr>
          <w:p w:rsidR="00E425C1" w:rsidRPr="00774B0C" w:rsidRDefault="00E425C1" w:rsidP="00E425C1">
            <w:pPr>
              <w:jc w:val="center"/>
              <w:rPr>
                <w:b/>
                <w:color w:val="000000"/>
                <w:sz w:val="20"/>
                <w:szCs w:val="22"/>
              </w:rPr>
            </w:pPr>
            <w:r w:rsidRPr="00774B0C">
              <w:rPr>
                <w:b/>
                <w:color w:val="000000"/>
                <w:sz w:val="20"/>
                <w:szCs w:val="22"/>
              </w:rPr>
              <w:t>1.7</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1.3</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1.4</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 xml:space="preserve">Italia </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1.7</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0.9</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0.1</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0.8</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España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3.0</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2.6</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2.3</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1.9</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Japón</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1.9</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0.8</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0.9</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0.4</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Economías Emergentes y en Desarrollo</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4.8</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4.5</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4.1</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4.7</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rPr>
                <w:b/>
                <w:bCs/>
                <w:color w:val="000000"/>
                <w:sz w:val="20"/>
                <w:lang w:val="es-GT" w:eastAsia="es-GT"/>
              </w:rPr>
            </w:pPr>
            <w:r w:rsidRPr="00713CAB">
              <w:rPr>
                <w:b/>
                <w:bCs/>
                <w:color w:val="000000"/>
                <w:sz w:val="20"/>
                <w:lang w:val="es-GT" w:eastAsia="es-GT"/>
              </w:rPr>
              <w:t xml:space="preserve">   Asia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6.6</w:t>
            </w:r>
          </w:p>
        </w:tc>
        <w:tc>
          <w:tcPr>
            <w:tcW w:w="993" w:type="dxa"/>
            <w:tcBorders>
              <w:top w:val="nil"/>
              <w:left w:val="nil"/>
              <w:bottom w:val="nil"/>
              <w:right w:val="nil"/>
            </w:tcBorders>
            <w:shd w:val="clear" w:color="000000" w:fill="FFFFFF"/>
            <w:noWrap/>
            <w:vAlign w:val="bottom"/>
            <w:hideMark/>
          </w:tcPr>
          <w:p w:rsidR="00E425C1" w:rsidRPr="00713CAB" w:rsidRDefault="00E425C1" w:rsidP="00E425C1">
            <w:pPr>
              <w:jc w:val="center"/>
              <w:rPr>
                <w:b/>
                <w:bCs/>
                <w:color w:val="000000"/>
                <w:sz w:val="20"/>
              </w:rPr>
            </w:pPr>
            <w:r w:rsidRPr="00713CAB">
              <w:rPr>
                <w:b/>
                <w:bCs/>
                <w:color w:val="000000"/>
                <w:sz w:val="20"/>
              </w:rPr>
              <w:t>6.4</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6.2</w:t>
            </w:r>
          </w:p>
        </w:tc>
        <w:tc>
          <w:tcPr>
            <w:tcW w:w="734" w:type="dxa"/>
            <w:tcBorders>
              <w:top w:val="nil"/>
              <w:left w:val="nil"/>
              <w:bottom w:val="nil"/>
              <w:right w:val="single" w:sz="12" w:space="0" w:color="auto"/>
            </w:tcBorders>
            <w:shd w:val="clear" w:color="000000" w:fill="FFFFFF"/>
            <w:noWrap/>
            <w:vAlign w:val="bottom"/>
            <w:hideMark/>
          </w:tcPr>
          <w:p w:rsidR="00E425C1" w:rsidRPr="00713CAB" w:rsidRDefault="00E425C1" w:rsidP="00E425C1">
            <w:pPr>
              <w:jc w:val="right"/>
              <w:rPr>
                <w:b/>
                <w:bCs/>
                <w:color w:val="000000"/>
                <w:sz w:val="20"/>
              </w:rPr>
            </w:pPr>
            <w:r w:rsidRPr="00713CAB">
              <w:rPr>
                <w:b/>
                <w:bCs/>
                <w:color w:val="000000"/>
                <w:sz w:val="20"/>
              </w:rPr>
              <w:t>6.2</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China</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6.8</w:t>
            </w:r>
          </w:p>
        </w:tc>
        <w:tc>
          <w:tcPr>
            <w:tcW w:w="993" w:type="dxa"/>
            <w:tcBorders>
              <w:top w:val="nil"/>
              <w:left w:val="nil"/>
              <w:bottom w:val="nil"/>
              <w:right w:val="nil"/>
            </w:tcBorders>
            <w:shd w:val="clear" w:color="000000" w:fill="FFFFFF"/>
            <w:noWrap/>
            <w:vAlign w:val="bottom"/>
            <w:hideMark/>
          </w:tcPr>
          <w:p w:rsidR="00E425C1" w:rsidRPr="00713CAB" w:rsidRDefault="00E425C1" w:rsidP="00E425C1">
            <w:pPr>
              <w:jc w:val="center"/>
              <w:rPr>
                <w:color w:val="000000"/>
                <w:sz w:val="20"/>
                <w:szCs w:val="22"/>
              </w:rPr>
            </w:pPr>
            <w:r w:rsidRPr="00713CAB">
              <w:rPr>
                <w:color w:val="000000"/>
                <w:sz w:val="20"/>
                <w:szCs w:val="22"/>
              </w:rPr>
              <w:t>6.6</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6.2</w:t>
            </w:r>
          </w:p>
        </w:tc>
        <w:tc>
          <w:tcPr>
            <w:tcW w:w="734" w:type="dxa"/>
            <w:tcBorders>
              <w:top w:val="nil"/>
              <w:left w:val="nil"/>
              <w:bottom w:val="nil"/>
              <w:right w:val="single" w:sz="12" w:space="0" w:color="auto"/>
            </w:tcBorders>
            <w:shd w:val="clear" w:color="000000" w:fill="FFFFFF"/>
            <w:noWrap/>
            <w:vAlign w:val="bottom"/>
            <w:hideMark/>
          </w:tcPr>
          <w:p w:rsidR="00E425C1" w:rsidRPr="00713CAB" w:rsidRDefault="00E425C1" w:rsidP="00E425C1">
            <w:pPr>
              <w:jc w:val="right"/>
              <w:rPr>
                <w:color w:val="000000"/>
                <w:sz w:val="20"/>
              </w:rPr>
            </w:pPr>
            <w:r w:rsidRPr="00713CAB">
              <w:rPr>
                <w:color w:val="000000"/>
                <w:sz w:val="20"/>
              </w:rPr>
              <w:t>6.0</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 xml:space="preserve">India </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7.2</w:t>
            </w:r>
          </w:p>
        </w:tc>
        <w:tc>
          <w:tcPr>
            <w:tcW w:w="993" w:type="dxa"/>
            <w:tcBorders>
              <w:top w:val="nil"/>
              <w:left w:val="nil"/>
              <w:bottom w:val="nil"/>
              <w:right w:val="nil"/>
            </w:tcBorders>
            <w:shd w:val="clear" w:color="000000" w:fill="FFFFFF"/>
            <w:noWrap/>
            <w:vAlign w:val="bottom"/>
            <w:hideMark/>
          </w:tcPr>
          <w:p w:rsidR="00E425C1" w:rsidRPr="00713CAB" w:rsidRDefault="00E425C1" w:rsidP="00E425C1">
            <w:pPr>
              <w:jc w:val="center"/>
              <w:rPr>
                <w:color w:val="000000"/>
                <w:sz w:val="20"/>
                <w:szCs w:val="22"/>
              </w:rPr>
            </w:pPr>
            <w:r w:rsidRPr="00713CAB">
              <w:rPr>
                <w:color w:val="000000"/>
                <w:sz w:val="20"/>
                <w:szCs w:val="22"/>
              </w:rPr>
              <w:t>6.8</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7.0</w:t>
            </w:r>
          </w:p>
        </w:tc>
        <w:tc>
          <w:tcPr>
            <w:tcW w:w="734" w:type="dxa"/>
            <w:tcBorders>
              <w:top w:val="nil"/>
              <w:left w:val="nil"/>
              <w:bottom w:val="nil"/>
              <w:right w:val="single" w:sz="12" w:space="0" w:color="auto"/>
            </w:tcBorders>
            <w:shd w:val="clear" w:color="000000" w:fill="FFFFFF"/>
            <w:noWrap/>
            <w:vAlign w:val="bottom"/>
            <w:hideMark/>
          </w:tcPr>
          <w:p w:rsidR="00E425C1" w:rsidRPr="00713CAB" w:rsidRDefault="00E425C1" w:rsidP="00E425C1">
            <w:pPr>
              <w:jc w:val="right"/>
              <w:rPr>
                <w:color w:val="000000"/>
                <w:sz w:val="20"/>
              </w:rPr>
            </w:pPr>
            <w:r w:rsidRPr="00713CAB">
              <w:rPr>
                <w:color w:val="000000"/>
                <w:sz w:val="20"/>
              </w:rPr>
              <w:t>7.2</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80FFE">
            <w:pPr>
              <w:rPr>
                <w:b/>
                <w:bCs/>
                <w:color w:val="000000"/>
                <w:sz w:val="20"/>
                <w:lang w:val="es-GT" w:eastAsia="es-GT"/>
              </w:rPr>
            </w:pPr>
            <w:r w:rsidRPr="00713CAB">
              <w:rPr>
                <w:b/>
                <w:bCs/>
                <w:color w:val="000000"/>
                <w:sz w:val="20"/>
                <w:lang w:val="es-GT" w:eastAsia="es-GT"/>
              </w:rPr>
              <w:t xml:space="preserve">   América Latina y </w:t>
            </w:r>
            <w:r w:rsidR="00E80FFE">
              <w:rPr>
                <w:b/>
                <w:bCs/>
                <w:color w:val="000000"/>
                <w:sz w:val="20"/>
                <w:lang w:val="es-GT" w:eastAsia="es-GT"/>
              </w:rPr>
              <w:t>E</w:t>
            </w:r>
            <w:r w:rsidRPr="00713CAB">
              <w:rPr>
                <w:b/>
                <w:bCs/>
                <w:color w:val="000000"/>
                <w:sz w:val="20"/>
                <w:lang w:val="es-GT" w:eastAsia="es-GT"/>
              </w:rPr>
              <w:t>l Caribe</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1.3</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1.1</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b/>
                <w:bCs/>
                <w:color w:val="000000"/>
                <w:sz w:val="20"/>
              </w:rPr>
            </w:pPr>
            <w:r w:rsidRPr="00713CAB">
              <w:rPr>
                <w:b/>
                <w:bCs/>
                <w:color w:val="000000"/>
                <w:sz w:val="20"/>
              </w:rPr>
              <w:t>2.0</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b/>
                <w:bCs/>
                <w:color w:val="000000"/>
                <w:sz w:val="20"/>
              </w:rPr>
            </w:pPr>
            <w:r w:rsidRPr="00713CAB">
              <w:rPr>
                <w:b/>
                <w:bCs/>
                <w:color w:val="000000"/>
                <w:sz w:val="20"/>
              </w:rPr>
              <w:t>2.5</w:t>
            </w:r>
          </w:p>
        </w:tc>
      </w:tr>
      <w:tr w:rsidR="00E425C1" w:rsidRPr="00713CAB" w:rsidTr="00774B0C">
        <w:trPr>
          <w:trHeight w:val="193"/>
        </w:trPr>
        <w:tc>
          <w:tcPr>
            <w:tcW w:w="5544" w:type="dxa"/>
            <w:tcBorders>
              <w:top w:val="nil"/>
              <w:left w:val="single" w:sz="12" w:space="0" w:color="auto"/>
              <w:bottom w:val="nil"/>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Brasil</w:t>
            </w:r>
          </w:p>
        </w:tc>
        <w:tc>
          <w:tcPr>
            <w:tcW w:w="708"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1.1</w:t>
            </w:r>
          </w:p>
        </w:tc>
        <w:tc>
          <w:tcPr>
            <w:tcW w:w="993"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1.1</w:t>
            </w:r>
          </w:p>
        </w:tc>
        <w:tc>
          <w:tcPr>
            <w:tcW w:w="850" w:type="dxa"/>
            <w:tcBorders>
              <w:top w:val="nil"/>
              <w:left w:val="nil"/>
              <w:bottom w:val="nil"/>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0.8</w:t>
            </w:r>
          </w:p>
        </w:tc>
        <w:tc>
          <w:tcPr>
            <w:tcW w:w="734" w:type="dxa"/>
            <w:tcBorders>
              <w:top w:val="nil"/>
              <w:left w:val="nil"/>
              <w:bottom w:val="nil"/>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2.4</w:t>
            </w:r>
          </w:p>
        </w:tc>
      </w:tr>
      <w:tr w:rsidR="00E425C1" w:rsidRPr="00713CAB" w:rsidTr="00774B0C">
        <w:trPr>
          <w:trHeight w:val="193"/>
        </w:trPr>
        <w:tc>
          <w:tcPr>
            <w:tcW w:w="5544" w:type="dxa"/>
            <w:tcBorders>
              <w:top w:val="nil"/>
              <w:left w:val="single" w:sz="12" w:space="0" w:color="auto"/>
              <w:bottom w:val="single" w:sz="12" w:space="0" w:color="auto"/>
              <w:right w:val="nil"/>
            </w:tcBorders>
            <w:shd w:val="clear" w:color="000000" w:fill="auto"/>
            <w:noWrap/>
            <w:vAlign w:val="bottom"/>
            <w:hideMark/>
          </w:tcPr>
          <w:p w:rsidR="00E425C1" w:rsidRPr="00713CAB" w:rsidRDefault="00E425C1" w:rsidP="00E425C1">
            <w:pPr>
              <w:ind w:firstLineChars="200" w:firstLine="400"/>
              <w:rPr>
                <w:color w:val="000000"/>
                <w:sz w:val="20"/>
                <w:szCs w:val="22"/>
                <w:lang w:val="es-GT" w:eastAsia="es-GT"/>
              </w:rPr>
            </w:pPr>
            <w:r w:rsidRPr="00713CAB">
              <w:rPr>
                <w:color w:val="000000"/>
                <w:sz w:val="20"/>
                <w:szCs w:val="22"/>
                <w:lang w:val="es-GT" w:eastAsia="es-GT"/>
              </w:rPr>
              <w:t>México</w:t>
            </w:r>
          </w:p>
        </w:tc>
        <w:tc>
          <w:tcPr>
            <w:tcW w:w="708" w:type="dxa"/>
            <w:tcBorders>
              <w:top w:val="nil"/>
              <w:left w:val="nil"/>
              <w:bottom w:val="single" w:sz="12" w:space="0" w:color="auto"/>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2.1</w:t>
            </w:r>
          </w:p>
        </w:tc>
        <w:tc>
          <w:tcPr>
            <w:tcW w:w="993" w:type="dxa"/>
            <w:tcBorders>
              <w:top w:val="nil"/>
              <w:left w:val="nil"/>
              <w:bottom w:val="single" w:sz="12" w:space="0" w:color="auto"/>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2.0</w:t>
            </w:r>
          </w:p>
        </w:tc>
        <w:tc>
          <w:tcPr>
            <w:tcW w:w="850" w:type="dxa"/>
            <w:tcBorders>
              <w:top w:val="nil"/>
              <w:left w:val="nil"/>
              <w:bottom w:val="single" w:sz="12" w:space="0" w:color="auto"/>
              <w:right w:val="nil"/>
            </w:tcBorders>
            <w:shd w:val="clear" w:color="000000" w:fill="auto"/>
            <w:noWrap/>
            <w:vAlign w:val="bottom"/>
            <w:hideMark/>
          </w:tcPr>
          <w:p w:rsidR="00E425C1" w:rsidRPr="00713CAB" w:rsidRDefault="00E425C1" w:rsidP="00E425C1">
            <w:pPr>
              <w:jc w:val="center"/>
              <w:rPr>
                <w:color w:val="000000"/>
                <w:sz w:val="20"/>
                <w:szCs w:val="22"/>
              </w:rPr>
            </w:pPr>
            <w:r w:rsidRPr="00713CAB">
              <w:rPr>
                <w:color w:val="000000"/>
                <w:sz w:val="20"/>
                <w:szCs w:val="22"/>
              </w:rPr>
              <w:t>0.9</w:t>
            </w:r>
          </w:p>
        </w:tc>
        <w:tc>
          <w:tcPr>
            <w:tcW w:w="734" w:type="dxa"/>
            <w:tcBorders>
              <w:top w:val="nil"/>
              <w:left w:val="nil"/>
              <w:bottom w:val="single" w:sz="12" w:space="0" w:color="auto"/>
              <w:right w:val="single" w:sz="12" w:space="0" w:color="auto"/>
            </w:tcBorders>
            <w:shd w:val="clear" w:color="000000" w:fill="auto"/>
            <w:noWrap/>
            <w:vAlign w:val="bottom"/>
            <w:hideMark/>
          </w:tcPr>
          <w:p w:rsidR="00E425C1" w:rsidRPr="00713CAB" w:rsidRDefault="00E425C1" w:rsidP="00E425C1">
            <w:pPr>
              <w:jc w:val="right"/>
              <w:rPr>
                <w:color w:val="000000"/>
                <w:sz w:val="20"/>
              </w:rPr>
            </w:pPr>
            <w:r w:rsidRPr="00713CAB">
              <w:rPr>
                <w:color w:val="000000"/>
                <w:sz w:val="20"/>
              </w:rPr>
              <w:t>1.9</w:t>
            </w:r>
          </w:p>
        </w:tc>
      </w:tr>
      <w:tr w:rsidR="00E425C1" w:rsidRPr="00DB277A" w:rsidTr="00774B0C">
        <w:trPr>
          <w:trHeight w:val="258"/>
        </w:trPr>
        <w:tc>
          <w:tcPr>
            <w:tcW w:w="8829" w:type="dxa"/>
            <w:gridSpan w:val="5"/>
            <w:tcBorders>
              <w:top w:val="nil"/>
              <w:left w:val="nil"/>
              <w:bottom w:val="nil"/>
              <w:right w:val="nil"/>
            </w:tcBorders>
            <w:shd w:val="clear" w:color="000000" w:fill="auto"/>
            <w:vAlign w:val="bottom"/>
            <w:hideMark/>
          </w:tcPr>
          <w:p w:rsidR="00E425C1" w:rsidRPr="00DB277A" w:rsidRDefault="00E425C1" w:rsidP="00126FA0">
            <w:pPr>
              <w:rPr>
                <w:bCs/>
                <w:color w:val="000000"/>
                <w:sz w:val="18"/>
                <w:szCs w:val="20"/>
                <w:lang w:val="es-GT" w:eastAsia="es-GT"/>
              </w:rPr>
            </w:pPr>
            <w:r w:rsidRPr="00DB277A">
              <w:rPr>
                <w:bCs/>
                <w:color w:val="000000"/>
                <w:sz w:val="18"/>
                <w:szCs w:val="20"/>
                <w:lang w:val="es-GT" w:eastAsia="es-GT"/>
              </w:rPr>
              <w:t xml:space="preserve">Fuente: FMI  "Actualización de </w:t>
            </w:r>
            <w:r w:rsidR="00126FA0">
              <w:rPr>
                <w:bCs/>
                <w:color w:val="000000"/>
                <w:sz w:val="18"/>
                <w:szCs w:val="20"/>
                <w:lang w:val="es-GT" w:eastAsia="es-GT"/>
              </w:rPr>
              <w:t>P</w:t>
            </w:r>
            <w:r w:rsidRPr="00DB277A">
              <w:rPr>
                <w:bCs/>
                <w:color w:val="000000"/>
                <w:sz w:val="18"/>
                <w:szCs w:val="20"/>
                <w:lang w:val="es-GT" w:eastAsia="es-GT"/>
              </w:rPr>
              <w:t>erspectivas  de la Economía Mundial,  julio de 2019".</w:t>
            </w:r>
          </w:p>
        </w:tc>
      </w:tr>
    </w:tbl>
    <w:p w:rsidR="00E425C1" w:rsidRPr="00E837CB" w:rsidRDefault="00E425C1" w:rsidP="00E425C1">
      <w:pPr>
        <w:pStyle w:val="Default"/>
        <w:jc w:val="both"/>
        <w:rPr>
          <w:rFonts w:ascii="Times New Roman" w:hAnsi="Times New Roman" w:cs="Times New Roman"/>
          <w:color w:val="auto"/>
        </w:rPr>
      </w:pPr>
    </w:p>
    <w:p w:rsidR="00E425C1" w:rsidRDefault="00E425C1" w:rsidP="00E425C1">
      <w:pPr>
        <w:autoSpaceDE w:val="0"/>
        <w:autoSpaceDN w:val="0"/>
        <w:adjustRightInd w:val="0"/>
        <w:jc w:val="both"/>
      </w:pPr>
      <w:r>
        <w:t xml:space="preserve">En la Zona del Euro, </w:t>
      </w:r>
      <w:r w:rsidRPr="001E6D7B">
        <w:t>se proyecta un</w:t>
      </w:r>
      <w:r w:rsidRPr="002E1FDA">
        <w:t xml:space="preserve"> </w:t>
      </w:r>
      <w:r w:rsidRPr="001E6D7B">
        <w:t>crecimiento del 1</w:t>
      </w:r>
      <w:r>
        <w:t>.</w:t>
      </w:r>
      <w:r w:rsidRPr="001E6D7B">
        <w:t>3% en 2019 y del 1</w:t>
      </w:r>
      <w:r>
        <w:t>.</w:t>
      </w:r>
      <w:r w:rsidRPr="001E6D7B">
        <w:t>6% en</w:t>
      </w:r>
      <w:r>
        <w:t xml:space="preserve"> </w:t>
      </w:r>
      <w:r w:rsidRPr="001E6D7B">
        <w:t>2020. El pronóstico para 2019 se ha</w:t>
      </w:r>
      <w:r>
        <w:t xml:space="preserve"> </w:t>
      </w:r>
      <w:r w:rsidRPr="001E6D7B">
        <w:t>revisado ligeramente a la baja para Alemania</w:t>
      </w:r>
      <w:r>
        <w:t xml:space="preserve"> </w:t>
      </w:r>
      <w:r w:rsidRPr="001E6D7B">
        <w:t>(debido a una demanda externa más débil de lo</w:t>
      </w:r>
      <w:r>
        <w:t xml:space="preserve"> </w:t>
      </w:r>
      <w:r w:rsidRPr="001E6D7B">
        <w:t>esperado)</w:t>
      </w:r>
      <w:r w:rsidR="008241B3">
        <w:t>;</w:t>
      </w:r>
      <w:r w:rsidRPr="001E6D7B">
        <w:t xml:space="preserve"> no varía </w:t>
      </w:r>
      <w:r>
        <w:t>para</w:t>
      </w:r>
      <w:r w:rsidRPr="002E1FDA">
        <w:t xml:space="preserve"> </w:t>
      </w:r>
      <w:r w:rsidRPr="001E6D7B">
        <w:t>Francia (donde se prevé que las medidas fiscales respalden el crecimiento y los efectos negativos de las protestas callejeras se están disipando)</w:t>
      </w:r>
      <w:r w:rsidR="008241B3">
        <w:t>,</w:t>
      </w:r>
      <w:r w:rsidRPr="001E6D7B">
        <w:t xml:space="preserve"> e Italia (donde las perspectivas fiscales inciertas son similares a las señaladas en abril, lo que perjudica la inversión y la demanda interna).</w:t>
      </w:r>
    </w:p>
    <w:p w:rsidR="00E425C1" w:rsidRDefault="00E425C1" w:rsidP="00E425C1">
      <w:pPr>
        <w:autoSpaceDE w:val="0"/>
        <w:autoSpaceDN w:val="0"/>
        <w:adjustRightInd w:val="0"/>
        <w:jc w:val="both"/>
      </w:pPr>
    </w:p>
    <w:p w:rsidR="00E425C1" w:rsidRPr="002E1FDA" w:rsidRDefault="00E425C1" w:rsidP="00E425C1">
      <w:pPr>
        <w:autoSpaceDE w:val="0"/>
        <w:autoSpaceDN w:val="0"/>
        <w:adjustRightInd w:val="0"/>
        <w:jc w:val="both"/>
      </w:pPr>
      <w:r w:rsidRPr="001E6D7B">
        <w:t xml:space="preserve">Las proyecciones de crecimiento para España en 2019 se han revisado al alza, como reflejo de la fuerte inversión y la debilidad de las importaciones al comienzo del año. Se prevé un repunte del crecimiento en la </w:t>
      </w:r>
      <w:r w:rsidR="008241B3">
        <w:t>Z</w:t>
      </w:r>
      <w:r w:rsidRPr="001E6D7B">
        <w:t xml:space="preserve">ona del </w:t>
      </w:r>
      <w:r w:rsidR="008241B3">
        <w:t>E</w:t>
      </w:r>
      <w:r w:rsidRPr="001E6D7B">
        <w:t>uro en lo que queda de este año y hasta 2020</w:t>
      </w:r>
      <w:r>
        <w:t>.</w:t>
      </w:r>
    </w:p>
    <w:p w:rsidR="00E425C1" w:rsidRPr="002E1FDA" w:rsidRDefault="00E425C1" w:rsidP="00E425C1">
      <w:pPr>
        <w:autoSpaceDE w:val="0"/>
        <w:autoSpaceDN w:val="0"/>
        <w:adjustRightInd w:val="0"/>
        <w:jc w:val="both"/>
      </w:pPr>
    </w:p>
    <w:p w:rsidR="00E425C1" w:rsidRPr="002E1FDA" w:rsidRDefault="00E425C1" w:rsidP="00E425C1">
      <w:pPr>
        <w:pStyle w:val="Default"/>
        <w:jc w:val="both"/>
        <w:rPr>
          <w:rFonts w:ascii="Times New Roman" w:hAnsi="Times New Roman" w:cs="Times New Roman"/>
          <w:color w:val="auto"/>
        </w:rPr>
      </w:pPr>
      <w:r w:rsidRPr="001E302E">
        <w:rPr>
          <w:rFonts w:ascii="Times New Roman" w:hAnsi="Times New Roman" w:cs="Times New Roman"/>
          <w:color w:val="auto"/>
        </w:rPr>
        <w:t>Las condiciones financieras en los mercados emergentes proyecta</w:t>
      </w:r>
      <w:r>
        <w:rPr>
          <w:rFonts w:ascii="Times New Roman" w:hAnsi="Times New Roman" w:cs="Times New Roman"/>
          <w:color w:val="auto"/>
        </w:rPr>
        <w:t>n</w:t>
      </w:r>
      <w:r w:rsidRPr="001E302E">
        <w:rPr>
          <w:rFonts w:ascii="Times New Roman" w:hAnsi="Times New Roman" w:cs="Times New Roman"/>
          <w:color w:val="auto"/>
        </w:rPr>
        <w:t xml:space="preserve"> </w:t>
      </w:r>
      <w:r>
        <w:rPr>
          <w:rFonts w:ascii="Times New Roman" w:hAnsi="Times New Roman" w:cs="Times New Roman"/>
          <w:color w:val="auto"/>
        </w:rPr>
        <w:t>e</w:t>
      </w:r>
      <w:r w:rsidRPr="001E302E">
        <w:rPr>
          <w:rFonts w:ascii="Times New Roman" w:hAnsi="Times New Roman" w:cs="Times New Roman"/>
          <w:color w:val="auto"/>
        </w:rPr>
        <w:t>n el caso de China</w:t>
      </w:r>
      <w:r>
        <w:rPr>
          <w:rFonts w:ascii="Times New Roman" w:hAnsi="Times New Roman" w:cs="Times New Roman"/>
          <w:color w:val="auto"/>
        </w:rPr>
        <w:t xml:space="preserve">, un crecimiento de 6.2% en 2019 y de 6.0% en 2020, derivado de </w:t>
      </w:r>
      <w:r w:rsidRPr="002E1FDA">
        <w:rPr>
          <w:rFonts w:ascii="Times New Roman" w:hAnsi="Times New Roman" w:cs="Times New Roman"/>
          <w:color w:val="auto"/>
        </w:rPr>
        <w:t>los efectos negativos del aumento de</w:t>
      </w:r>
      <w:r>
        <w:rPr>
          <w:rFonts w:ascii="Times New Roman" w:hAnsi="Times New Roman" w:cs="Times New Roman"/>
          <w:color w:val="auto"/>
        </w:rPr>
        <w:t xml:space="preserve"> </w:t>
      </w:r>
      <w:r w:rsidRPr="002E1FDA">
        <w:rPr>
          <w:rFonts w:ascii="Times New Roman" w:hAnsi="Times New Roman" w:cs="Times New Roman"/>
          <w:color w:val="auto"/>
        </w:rPr>
        <w:t>los aranceles y el debilitamiento de la demanda</w:t>
      </w:r>
      <w:r>
        <w:rPr>
          <w:rFonts w:ascii="Times New Roman" w:hAnsi="Times New Roman" w:cs="Times New Roman"/>
          <w:color w:val="auto"/>
        </w:rPr>
        <w:t xml:space="preserve"> externa. Para India, </w:t>
      </w:r>
      <w:r w:rsidRPr="002E1FDA">
        <w:rPr>
          <w:rFonts w:ascii="Times New Roman" w:hAnsi="Times New Roman" w:cs="Times New Roman"/>
          <w:color w:val="auto"/>
        </w:rPr>
        <w:t>se prevé que la economía crezca a una</w:t>
      </w:r>
      <w:r>
        <w:rPr>
          <w:rFonts w:ascii="Times New Roman" w:hAnsi="Times New Roman" w:cs="Times New Roman"/>
          <w:color w:val="auto"/>
        </w:rPr>
        <w:t xml:space="preserve"> tasa de 7.0% en 2019, y que repunte a 7.</w:t>
      </w:r>
      <w:r w:rsidRPr="002E1FDA">
        <w:rPr>
          <w:rFonts w:ascii="Times New Roman" w:hAnsi="Times New Roman" w:cs="Times New Roman"/>
          <w:color w:val="auto"/>
        </w:rPr>
        <w:t>2% en</w:t>
      </w:r>
      <w:r>
        <w:rPr>
          <w:rFonts w:ascii="Times New Roman" w:hAnsi="Times New Roman" w:cs="Times New Roman"/>
          <w:color w:val="auto"/>
        </w:rPr>
        <w:t xml:space="preserve"> </w:t>
      </w:r>
      <w:r w:rsidR="008241B3">
        <w:rPr>
          <w:rFonts w:ascii="Times New Roman" w:hAnsi="Times New Roman" w:cs="Times New Roman"/>
          <w:color w:val="auto"/>
        </w:rPr>
        <w:t>2020.</w:t>
      </w:r>
    </w:p>
    <w:p w:rsidR="00E425C1" w:rsidRDefault="00E425C1" w:rsidP="00E425C1">
      <w:pPr>
        <w:pStyle w:val="Default"/>
        <w:jc w:val="both"/>
        <w:rPr>
          <w:rFonts w:ascii="Times New Roman" w:hAnsi="Times New Roman" w:cs="Times New Roman"/>
          <w:color w:val="auto"/>
        </w:rPr>
      </w:pPr>
    </w:p>
    <w:p w:rsidR="00E425C1" w:rsidRPr="002E1FDA" w:rsidRDefault="00E425C1" w:rsidP="00E425C1">
      <w:pPr>
        <w:pStyle w:val="Default"/>
        <w:jc w:val="both"/>
        <w:rPr>
          <w:rFonts w:ascii="Times New Roman" w:hAnsi="Times New Roman" w:cs="Times New Roman"/>
          <w:color w:val="auto"/>
        </w:rPr>
      </w:pPr>
      <w:r>
        <w:rPr>
          <w:rFonts w:ascii="Times New Roman" w:hAnsi="Times New Roman" w:cs="Times New Roman"/>
          <w:color w:val="auto"/>
        </w:rPr>
        <w:t>Para</w:t>
      </w:r>
      <w:r w:rsidRPr="00806042">
        <w:rPr>
          <w:rFonts w:ascii="Times New Roman" w:hAnsi="Times New Roman" w:cs="Times New Roman"/>
          <w:color w:val="auto"/>
        </w:rPr>
        <w:t xml:space="preserve"> América Latina se proyecta que el crecimiento </w:t>
      </w:r>
      <w:r>
        <w:rPr>
          <w:rFonts w:ascii="Times New Roman" w:hAnsi="Times New Roman" w:cs="Times New Roman"/>
          <w:color w:val="auto"/>
        </w:rPr>
        <w:t>se ubique en</w:t>
      </w:r>
      <w:r w:rsidRPr="00806042">
        <w:rPr>
          <w:rFonts w:ascii="Times New Roman" w:hAnsi="Times New Roman" w:cs="Times New Roman"/>
          <w:color w:val="auto"/>
        </w:rPr>
        <w:t xml:space="preserve"> 2</w:t>
      </w:r>
      <w:r>
        <w:rPr>
          <w:rFonts w:ascii="Times New Roman" w:hAnsi="Times New Roman" w:cs="Times New Roman"/>
          <w:color w:val="auto"/>
        </w:rPr>
        <w:t>.</w:t>
      </w:r>
      <w:r w:rsidRPr="00806042">
        <w:rPr>
          <w:rFonts w:ascii="Times New Roman" w:hAnsi="Times New Roman" w:cs="Times New Roman"/>
          <w:color w:val="auto"/>
        </w:rPr>
        <w:t>0% en 2019 y 2</w:t>
      </w:r>
      <w:r>
        <w:rPr>
          <w:rFonts w:ascii="Times New Roman" w:hAnsi="Times New Roman" w:cs="Times New Roman"/>
          <w:color w:val="auto"/>
        </w:rPr>
        <w:t xml:space="preserve">.5% en 2020. Influye el caso de Brasil, 0.8% </w:t>
      </w:r>
      <w:r w:rsidR="008241B3">
        <w:rPr>
          <w:rFonts w:ascii="Times New Roman" w:hAnsi="Times New Roman" w:cs="Times New Roman"/>
          <w:color w:val="auto"/>
        </w:rPr>
        <w:t xml:space="preserve">en 2019 </w:t>
      </w:r>
      <w:r>
        <w:rPr>
          <w:rFonts w:ascii="Times New Roman" w:hAnsi="Times New Roman" w:cs="Times New Roman"/>
          <w:color w:val="auto"/>
        </w:rPr>
        <w:t>y 2.4% en 2020; la confianza en la economía se</w:t>
      </w:r>
      <w:r w:rsidRPr="002E1FDA">
        <w:rPr>
          <w:rFonts w:ascii="Times New Roman" w:hAnsi="Times New Roman" w:cs="Times New Roman"/>
          <w:color w:val="auto"/>
        </w:rPr>
        <w:t xml:space="preserve"> ha deteriorado notablemente</w:t>
      </w:r>
      <w:r>
        <w:rPr>
          <w:rFonts w:ascii="Times New Roman" w:hAnsi="Times New Roman" w:cs="Times New Roman"/>
          <w:color w:val="auto"/>
        </w:rPr>
        <w:t xml:space="preserve"> dada la </w:t>
      </w:r>
      <w:r w:rsidRPr="002E1FDA">
        <w:rPr>
          <w:rFonts w:ascii="Times New Roman" w:hAnsi="Times New Roman" w:cs="Times New Roman"/>
          <w:color w:val="auto"/>
        </w:rPr>
        <w:t>incertidumbre</w:t>
      </w:r>
      <w:r>
        <w:rPr>
          <w:rFonts w:ascii="Times New Roman" w:hAnsi="Times New Roman" w:cs="Times New Roman"/>
          <w:color w:val="auto"/>
        </w:rPr>
        <w:t xml:space="preserve"> </w:t>
      </w:r>
      <w:r w:rsidRPr="002E1FDA">
        <w:rPr>
          <w:rFonts w:ascii="Times New Roman" w:hAnsi="Times New Roman" w:cs="Times New Roman"/>
          <w:color w:val="auto"/>
        </w:rPr>
        <w:t>acerca de la aprobación de la reforma de las</w:t>
      </w:r>
      <w:r>
        <w:rPr>
          <w:rFonts w:ascii="Times New Roman" w:hAnsi="Times New Roman" w:cs="Times New Roman"/>
          <w:color w:val="auto"/>
        </w:rPr>
        <w:t xml:space="preserve"> </w:t>
      </w:r>
      <w:r w:rsidRPr="002E1FDA">
        <w:rPr>
          <w:rFonts w:ascii="Times New Roman" w:hAnsi="Times New Roman" w:cs="Times New Roman"/>
          <w:color w:val="auto"/>
        </w:rPr>
        <w:t>pensiones y otras reformas estructurales</w:t>
      </w:r>
      <w:r>
        <w:rPr>
          <w:rFonts w:ascii="Times New Roman" w:hAnsi="Times New Roman" w:cs="Times New Roman"/>
          <w:color w:val="auto"/>
        </w:rPr>
        <w:t xml:space="preserve">; </w:t>
      </w:r>
      <w:r w:rsidRPr="002E1FDA">
        <w:rPr>
          <w:rFonts w:ascii="Times New Roman" w:hAnsi="Times New Roman" w:cs="Times New Roman"/>
          <w:color w:val="auto"/>
        </w:rPr>
        <w:t>y</w:t>
      </w:r>
      <w:r>
        <w:rPr>
          <w:rFonts w:ascii="Times New Roman" w:hAnsi="Times New Roman" w:cs="Times New Roman"/>
          <w:color w:val="auto"/>
        </w:rPr>
        <w:t xml:space="preserve"> </w:t>
      </w:r>
      <w:r w:rsidR="008241B3">
        <w:rPr>
          <w:rFonts w:ascii="Times New Roman" w:hAnsi="Times New Roman" w:cs="Times New Roman"/>
          <w:color w:val="auto"/>
        </w:rPr>
        <w:t xml:space="preserve">en </w:t>
      </w:r>
      <w:r w:rsidRPr="002E1FDA">
        <w:rPr>
          <w:rFonts w:ascii="Times New Roman" w:hAnsi="Times New Roman" w:cs="Times New Roman"/>
          <w:color w:val="auto"/>
        </w:rPr>
        <w:t>México</w:t>
      </w:r>
      <w:r w:rsidR="008241B3">
        <w:rPr>
          <w:rFonts w:ascii="Times New Roman" w:hAnsi="Times New Roman" w:cs="Times New Roman"/>
          <w:color w:val="auto"/>
        </w:rPr>
        <w:t xml:space="preserve"> se prevé</w:t>
      </w:r>
      <w:r w:rsidRPr="002E1FDA">
        <w:rPr>
          <w:rFonts w:ascii="Times New Roman" w:hAnsi="Times New Roman" w:cs="Times New Roman"/>
          <w:color w:val="auto"/>
        </w:rPr>
        <w:t xml:space="preserve"> </w:t>
      </w:r>
      <w:r>
        <w:rPr>
          <w:rFonts w:ascii="Times New Roman" w:hAnsi="Times New Roman" w:cs="Times New Roman"/>
          <w:color w:val="auto"/>
        </w:rPr>
        <w:t>0.9%</w:t>
      </w:r>
      <w:r w:rsidR="008241B3">
        <w:rPr>
          <w:rFonts w:ascii="Times New Roman" w:hAnsi="Times New Roman" w:cs="Times New Roman"/>
          <w:color w:val="auto"/>
        </w:rPr>
        <w:t xml:space="preserve"> en 2019</w:t>
      </w:r>
      <w:r>
        <w:rPr>
          <w:rFonts w:ascii="Times New Roman" w:hAnsi="Times New Roman" w:cs="Times New Roman"/>
          <w:color w:val="auto"/>
        </w:rPr>
        <w:t xml:space="preserve"> y 1.9% en 2020, </w:t>
      </w:r>
      <w:r w:rsidRPr="002E1FDA">
        <w:rPr>
          <w:rFonts w:ascii="Times New Roman" w:hAnsi="Times New Roman" w:cs="Times New Roman"/>
          <w:color w:val="auto"/>
        </w:rPr>
        <w:t>como</w:t>
      </w:r>
      <w:r>
        <w:rPr>
          <w:rFonts w:ascii="Times New Roman" w:hAnsi="Times New Roman" w:cs="Times New Roman"/>
          <w:color w:val="auto"/>
        </w:rPr>
        <w:t xml:space="preserve"> </w:t>
      </w:r>
      <w:r w:rsidRPr="002E1FDA">
        <w:rPr>
          <w:rFonts w:ascii="Times New Roman" w:hAnsi="Times New Roman" w:cs="Times New Roman"/>
          <w:color w:val="auto"/>
        </w:rPr>
        <w:t>resultado de la incertidumbre en torno a las</w:t>
      </w:r>
      <w:r>
        <w:rPr>
          <w:rFonts w:ascii="Times New Roman" w:hAnsi="Times New Roman" w:cs="Times New Roman"/>
          <w:color w:val="auto"/>
        </w:rPr>
        <w:t xml:space="preserve"> políticas económicas </w:t>
      </w:r>
      <w:r w:rsidRPr="002E1FDA">
        <w:rPr>
          <w:rFonts w:ascii="Times New Roman" w:hAnsi="Times New Roman" w:cs="Times New Roman"/>
          <w:color w:val="auto"/>
        </w:rPr>
        <w:t xml:space="preserve">y </w:t>
      </w:r>
      <w:r w:rsidR="008241B3">
        <w:rPr>
          <w:rFonts w:ascii="Times New Roman" w:hAnsi="Times New Roman" w:cs="Times New Roman"/>
          <w:color w:val="auto"/>
        </w:rPr>
        <w:t>a</w:t>
      </w:r>
      <w:r w:rsidRPr="002E1FDA">
        <w:rPr>
          <w:rFonts w:ascii="Times New Roman" w:hAnsi="Times New Roman" w:cs="Times New Roman"/>
          <w:color w:val="auto"/>
        </w:rPr>
        <w:t>l</w:t>
      </w:r>
      <w:r>
        <w:rPr>
          <w:rFonts w:ascii="Times New Roman" w:hAnsi="Times New Roman" w:cs="Times New Roman"/>
          <w:color w:val="auto"/>
        </w:rPr>
        <w:t xml:space="preserve"> </w:t>
      </w:r>
      <w:r w:rsidRPr="002E1FDA">
        <w:rPr>
          <w:rFonts w:ascii="Times New Roman" w:hAnsi="Times New Roman" w:cs="Times New Roman"/>
          <w:color w:val="auto"/>
        </w:rPr>
        <w:t>aumento de los costos de endeudamiento, que</w:t>
      </w:r>
      <w:r>
        <w:rPr>
          <w:rFonts w:ascii="Times New Roman" w:hAnsi="Times New Roman" w:cs="Times New Roman"/>
          <w:color w:val="auto"/>
        </w:rPr>
        <w:t xml:space="preserve"> </w:t>
      </w:r>
      <w:r w:rsidRPr="002E1FDA">
        <w:rPr>
          <w:rFonts w:ascii="Times New Roman" w:hAnsi="Times New Roman" w:cs="Times New Roman"/>
          <w:color w:val="auto"/>
        </w:rPr>
        <w:t>podrían seguir aumentando tras la reciente reb</w:t>
      </w:r>
      <w:r>
        <w:rPr>
          <w:rFonts w:ascii="Times New Roman" w:hAnsi="Times New Roman" w:cs="Times New Roman"/>
          <w:color w:val="auto"/>
        </w:rPr>
        <w:t>aja de su calificación soberana</w:t>
      </w:r>
      <w:r w:rsidR="008241B3">
        <w:rPr>
          <w:rFonts w:ascii="Times New Roman" w:hAnsi="Times New Roman" w:cs="Times New Roman"/>
          <w:color w:val="auto"/>
        </w:rPr>
        <w:t>.</w:t>
      </w:r>
    </w:p>
    <w:p w:rsidR="00E425C1" w:rsidRDefault="00E425C1" w:rsidP="00E425C1"/>
    <w:p w:rsidR="00E425C1" w:rsidRDefault="00E425C1" w:rsidP="00E425C1"/>
    <w:p w:rsidR="00E425C1" w:rsidRPr="0059599D" w:rsidRDefault="00E425C1" w:rsidP="0059599D">
      <w:pPr>
        <w:pStyle w:val="Ttulo2"/>
        <w:rPr>
          <w:rFonts w:ascii="Times New Roman" w:hAnsi="Times New Roman"/>
          <w:color w:val="auto"/>
          <w:sz w:val="24"/>
          <w:lang w:val="es-MX"/>
        </w:rPr>
      </w:pPr>
      <w:bookmarkStart w:id="6" w:name="_Toc4742460"/>
      <w:bookmarkStart w:id="7" w:name="_Toc20495561"/>
      <w:r w:rsidRPr="0059599D">
        <w:rPr>
          <w:rFonts w:ascii="Times New Roman" w:hAnsi="Times New Roman"/>
          <w:color w:val="auto"/>
          <w:sz w:val="24"/>
          <w:lang w:val="es-MX"/>
        </w:rPr>
        <w:lastRenderedPageBreak/>
        <w:t>Entorno Macroeconómico</w:t>
      </w:r>
      <w:bookmarkEnd w:id="3"/>
      <w:r w:rsidRPr="0059599D">
        <w:rPr>
          <w:rFonts w:ascii="Times New Roman" w:hAnsi="Times New Roman"/>
          <w:color w:val="auto"/>
          <w:sz w:val="24"/>
          <w:lang w:val="es-MX"/>
        </w:rPr>
        <w:t xml:space="preserve"> Nacional</w:t>
      </w:r>
      <w:bookmarkEnd w:id="6"/>
      <w:bookmarkEnd w:id="7"/>
    </w:p>
    <w:p w:rsidR="00E425C1" w:rsidRPr="00124AD6" w:rsidRDefault="00E425C1" w:rsidP="00E425C1">
      <w:pPr>
        <w:rPr>
          <w:lang w:val="es-MX"/>
        </w:rPr>
      </w:pPr>
    </w:p>
    <w:p w:rsidR="00E425C1" w:rsidRDefault="00E425C1" w:rsidP="00E425C1">
      <w:pPr>
        <w:jc w:val="both"/>
      </w:pPr>
      <w:r w:rsidRPr="00124AD6">
        <w:rPr>
          <w:lang w:val="es-MX"/>
        </w:rPr>
        <w:t xml:space="preserve">La actividad económica </w:t>
      </w:r>
      <w:r>
        <w:rPr>
          <w:lang w:val="es-MX"/>
        </w:rPr>
        <w:t>medida en función del Producto Interno Bruto</w:t>
      </w:r>
      <w:r w:rsidR="007669EB">
        <w:rPr>
          <w:lang w:val="es-MX"/>
        </w:rPr>
        <w:t xml:space="preserve"> (PIB)</w:t>
      </w:r>
      <w:r>
        <w:rPr>
          <w:lang w:val="es-MX"/>
        </w:rPr>
        <w:t xml:space="preserve"> </w:t>
      </w:r>
      <w:r w:rsidRPr="00124AD6">
        <w:rPr>
          <w:lang w:val="es-MX"/>
        </w:rPr>
        <w:t xml:space="preserve">en términos reales mostró para </w:t>
      </w:r>
      <w:r>
        <w:rPr>
          <w:lang w:val="es-MX"/>
        </w:rPr>
        <w:t xml:space="preserve">el primer semestre de </w:t>
      </w:r>
      <w:r w:rsidRPr="00124AD6">
        <w:rPr>
          <w:lang w:val="es-MX"/>
        </w:rPr>
        <w:t>201</w:t>
      </w:r>
      <w:r>
        <w:rPr>
          <w:lang w:val="es-MX"/>
        </w:rPr>
        <w:t>9</w:t>
      </w:r>
      <w:r w:rsidRPr="00124AD6">
        <w:rPr>
          <w:lang w:val="es-MX"/>
        </w:rPr>
        <w:t xml:space="preserve"> un </w:t>
      </w:r>
      <w:r>
        <w:rPr>
          <w:lang w:val="es-MX"/>
        </w:rPr>
        <w:t>desempeño</w:t>
      </w:r>
      <w:r w:rsidRPr="00124AD6">
        <w:rPr>
          <w:lang w:val="es-MX"/>
        </w:rPr>
        <w:t xml:space="preserve"> </w:t>
      </w:r>
      <w:r>
        <w:rPr>
          <w:lang w:val="es-MX"/>
        </w:rPr>
        <w:t>que respalda el rango de crecimiento establecido a principio</w:t>
      </w:r>
      <w:r w:rsidR="007669EB">
        <w:rPr>
          <w:lang w:val="es-MX"/>
        </w:rPr>
        <w:t>s</w:t>
      </w:r>
      <w:r>
        <w:rPr>
          <w:lang w:val="es-MX"/>
        </w:rPr>
        <w:t xml:space="preserve"> de año en las proyecciones de crecimiento</w:t>
      </w:r>
      <w:r w:rsidRPr="00124AD6">
        <w:rPr>
          <w:lang w:val="es-MX"/>
        </w:rPr>
        <w:t xml:space="preserve">.  </w:t>
      </w:r>
      <w:r w:rsidRPr="008203ED">
        <w:rPr>
          <w:lang w:val="es-MX"/>
        </w:rPr>
        <w:t xml:space="preserve">De acuerdo </w:t>
      </w:r>
      <w:r>
        <w:rPr>
          <w:lang w:val="es-MX"/>
        </w:rPr>
        <w:t xml:space="preserve">con </w:t>
      </w:r>
      <w:r w:rsidRPr="008203ED">
        <w:rPr>
          <w:lang w:val="es-MX"/>
        </w:rPr>
        <w:t xml:space="preserve">el Banco de Guatemala, </w:t>
      </w:r>
      <w:r>
        <w:rPr>
          <w:lang w:val="es-MX"/>
        </w:rPr>
        <w:t>dicho</w:t>
      </w:r>
      <w:r w:rsidRPr="008203ED">
        <w:rPr>
          <w:lang w:val="es-MX"/>
        </w:rPr>
        <w:t xml:space="preserve"> crecimiento se explica</w:t>
      </w:r>
      <w:r>
        <w:t>, en el ámbito interno, por el comportamiento de algunos indicadores de corto plazo de la actividad económica (el Índice Mensual de la Actividad Económica, las remesas familiares, el crédito bancario al sector privado, la ejecución del gasto público y las importaciones) muestran un dinamismo congruente con el crecimiento económico anual previsto.</w:t>
      </w:r>
    </w:p>
    <w:p w:rsidR="00E425C1" w:rsidRPr="008203ED" w:rsidRDefault="00E425C1" w:rsidP="00E425C1">
      <w:pPr>
        <w:jc w:val="both"/>
        <w:rPr>
          <w:lang w:val="es-MX"/>
        </w:rPr>
      </w:pPr>
      <w:r w:rsidRPr="008203ED">
        <w:rPr>
          <w:lang w:val="es-MX"/>
        </w:rPr>
        <w:t xml:space="preserve"> </w:t>
      </w:r>
    </w:p>
    <w:p w:rsidR="00E425C1" w:rsidRDefault="00E425C1" w:rsidP="00E425C1">
      <w:pPr>
        <w:jc w:val="both"/>
        <w:rPr>
          <w:lang w:val="es-MX"/>
        </w:rPr>
      </w:pPr>
      <w:r w:rsidRPr="00B533AF">
        <w:rPr>
          <w:lang w:val="es-MX"/>
        </w:rPr>
        <w:t xml:space="preserve">De acuerdo </w:t>
      </w:r>
      <w:r w:rsidR="007669EB">
        <w:rPr>
          <w:lang w:val="es-MX"/>
        </w:rPr>
        <w:t>con</w:t>
      </w:r>
      <w:r w:rsidRPr="00B533AF">
        <w:rPr>
          <w:lang w:val="es-MX"/>
        </w:rPr>
        <w:t xml:space="preserve"> las proyecciones</w:t>
      </w:r>
      <w:r>
        <w:rPr>
          <w:lang w:val="es-MX"/>
        </w:rPr>
        <w:t>,</w:t>
      </w:r>
      <w:r w:rsidRPr="00B533AF">
        <w:rPr>
          <w:lang w:val="es-MX"/>
        </w:rPr>
        <w:t xml:space="preserve"> se espera para 201</w:t>
      </w:r>
      <w:r>
        <w:rPr>
          <w:lang w:val="es-MX"/>
        </w:rPr>
        <w:t xml:space="preserve">9 un </w:t>
      </w:r>
      <w:r w:rsidRPr="00B533AF">
        <w:rPr>
          <w:lang w:val="es-MX"/>
        </w:rPr>
        <w:t>crecimiento de la economía en un rango de entre 3.0</w:t>
      </w:r>
      <w:r>
        <w:rPr>
          <w:lang w:val="es-MX"/>
        </w:rPr>
        <w:t xml:space="preserve">% </w:t>
      </w:r>
      <w:r w:rsidRPr="00B533AF">
        <w:rPr>
          <w:lang w:val="es-MX"/>
        </w:rPr>
        <w:t xml:space="preserve">  y  3.8</w:t>
      </w:r>
      <w:r w:rsidR="00BB7AC3">
        <w:rPr>
          <w:lang w:val="es-MX"/>
        </w:rPr>
        <w:t xml:space="preserve">%; </w:t>
      </w:r>
      <w:r>
        <w:rPr>
          <w:lang w:val="es-MX"/>
        </w:rPr>
        <w:t>por lo que para efectos de este informe, la proyección media se establece en 3.4%</w:t>
      </w:r>
      <w:r w:rsidRPr="00B533AF">
        <w:rPr>
          <w:lang w:val="es-MX"/>
        </w:rPr>
        <w:t xml:space="preserve">, </w:t>
      </w:r>
      <w:r>
        <w:rPr>
          <w:lang w:val="es-MX"/>
        </w:rPr>
        <w:t xml:space="preserve">lo cual </w:t>
      </w:r>
      <w:r w:rsidRPr="00B533AF">
        <w:rPr>
          <w:lang w:val="es-MX"/>
        </w:rPr>
        <w:t xml:space="preserve">se basa en la estimación </w:t>
      </w:r>
      <w:r>
        <w:rPr>
          <w:lang w:val="es-MX"/>
        </w:rPr>
        <w:t xml:space="preserve">del Banco de Guatemala, de </w:t>
      </w:r>
      <w:r w:rsidRPr="00B533AF">
        <w:rPr>
          <w:lang w:val="es-MX"/>
        </w:rPr>
        <w:t xml:space="preserve">que las actividades económicas </w:t>
      </w:r>
      <w:r>
        <w:rPr>
          <w:lang w:val="es-MX"/>
        </w:rPr>
        <w:t xml:space="preserve">continuarán </w:t>
      </w:r>
      <w:r w:rsidRPr="00B533AF">
        <w:rPr>
          <w:lang w:val="es-MX"/>
        </w:rPr>
        <w:t>registra</w:t>
      </w:r>
      <w:r>
        <w:rPr>
          <w:lang w:val="es-MX"/>
        </w:rPr>
        <w:t>ndo</w:t>
      </w:r>
      <w:r w:rsidRPr="00B533AF">
        <w:rPr>
          <w:lang w:val="es-MX"/>
        </w:rPr>
        <w:t xml:space="preserve"> crecimiento</w:t>
      </w:r>
      <w:r>
        <w:rPr>
          <w:lang w:val="es-MX"/>
        </w:rPr>
        <w:t>s positivos superiores a los de</w:t>
      </w:r>
      <w:r w:rsidRPr="00B533AF">
        <w:rPr>
          <w:lang w:val="es-MX"/>
        </w:rPr>
        <w:t xml:space="preserve"> </w:t>
      </w:r>
      <w:r>
        <w:rPr>
          <w:lang w:val="es-MX"/>
        </w:rPr>
        <w:t>2018</w:t>
      </w:r>
      <w:r w:rsidRPr="00B533AF">
        <w:rPr>
          <w:lang w:val="es-MX"/>
        </w:rPr>
        <w:t xml:space="preserve"> (Banco de Guatemala</w:t>
      </w:r>
      <w:r>
        <w:rPr>
          <w:lang w:val="es-MX"/>
        </w:rPr>
        <w:t>. “D</w:t>
      </w:r>
      <w:r w:rsidRPr="00B533AF">
        <w:rPr>
          <w:lang w:val="es-MX"/>
        </w:rPr>
        <w:t xml:space="preserve">esempeño macroeconómico </w:t>
      </w:r>
      <w:r>
        <w:rPr>
          <w:lang w:val="es-MX"/>
        </w:rPr>
        <w:t xml:space="preserve">reciente y </w:t>
      </w:r>
      <w:r w:rsidRPr="00B533AF">
        <w:rPr>
          <w:lang w:val="es-MX"/>
        </w:rPr>
        <w:t>perspectivas</w:t>
      </w:r>
      <w:r>
        <w:rPr>
          <w:lang w:val="es-MX"/>
        </w:rPr>
        <w:t>”,</w:t>
      </w:r>
      <w:r w:rsidRPr="00DA1A56">
        <w:rPr>
          <w:lang w:val="es-MX"/>
        </w:rPr>
        <w:t xml:space="preserve"> </w:t>
      </w:r>
      <w:r>
        <w:rPr>
          <w:lang w:val="es-MX"/>
        </w:rPr>
        <w:t>junio 2019)</w:t>
      </w:r>
      <w:r w:rsidRPr="00B533AF">
        <w:rPr>
          <w:lang w:val="es-MX"/>
        </w:rPr>
        <w:t>.</w:t>
      </w:r>
    </w:p>
    <w:p w:rsidR="00E425C1" w:rsidRDefault="00E425C1" w:rsidP="00E425C1">
      <w:pPr>
        <w:rPr>
          <w:b/>
        </w:rPr>
      </w:pPr>
    </w:p>
    <w:p w:rsidR="00E425C1" w:rsidRPr="00124AD6" w:rsidRDefault="00E425C1" w:rsidP="00E425C1">
      <w:pPr>
        <w:jc w:val="center"/>
        <w:rPr>
          <w:b/>
        </w:rPr>
      </w:pPr>
      <w:r w:rsidRPr="00124AD6">
        <w:rPr>
          <w:b/>
        </w:rPr>
        <w:t>Gráfica 1</w:t>
      </w:r>
    </w:p>
    <w:p w:rsidR="00E425C1" w:rsidRPr="00124AD6" w:rsidRDefault="00E425C1" w:rsidP="00E425C1">
      <w:pPr>
        <w:jc w:val="center"/>
        <w:rPr>
          <w:b/>
        </w:rPr>
      </w:pPr>
      <w:r w:rsidRPr="00124AD6">
        <w:rPr>
          <w:b/>
        </w:rPr>
        <w:t>Guatemala: Producto Interno Bruto</w:t>
      </w:r>
      <w:r>
        <w:rPr>
          <w:b/>
        </w:rPr>
        <w:t xml:space="preserve"> e</w:t>
      </w:r>
      <w:r w:rsidRPr="00124AD6">
        <w:rPr>
          <w:b/>
        </w:rPr>
        <w:t xml:space="preserve">n </w:t>
      </w:r>
      <w:r w:rsidR="00BB7AC3">
        <w:rPr>
          <w:b/>
        </w:rPr>
        <w:t>T</w:t>
      </w:r>
      <w:r w:rsidRPr="00124AD6">
        <w:rPr>
          <w:b/>
        </w:rPr>
        <w:t xml:space="preserve">érminos </w:t>
      </w:r>
      <w:r w:rsidR="00BB7AC3">
        <w:rPr>
          <w:b/>
        </w:rPr>
        <w:t>R</w:t>
      </w:r>
      <w:r w:rsidRPr="00124AD6">
        <w:rPr>
          <w:b/>
        </w:rPr>
        <w:t>eales</w:t>
      </w:r>
    </w:p>
    <w:p w:rsidR="00E425C1" w:rsidRPr="00124AD6" w:rsidRDefault="00E425C1" w:rsidP="00E425C1">
      <w:pPr>
        <w:jc w:val="center"/>
        <w:rPr>
          <w:b/>
        </w:rPr>
      </w:pPr>
      <w:r w:rsidRPr="00124AD6">
        <w:rPr>
          <w:b/>
        </w:rPr>
        <w:t xml:space="preserve">(Tasas de </w:t>
      </w:r>
      <w:r w:rsidR="00BB7AC3">
        <w:rPr>
          <w:b/>
        </w:rPr>
        <w:t>V</w:t>
      </w:r>
      <w:r w:rsidRPr="00124AD6">
        <w:rPr>
          <w:b/>
        </w:rPr>
        <w:t xml:space="preserve">ariación </w:t>
      </w:r>
      <w:r w:rsidR="00BB7AC3">
        <w:rPr>
          <w:b/>
        </w:rPr>
        <w:t>I</w:t>
      </w:r>
      <w:r w:rsidRPr="00124AD6">
        <w:rPr>
          <w:b/>
        </w:rPr>
        <w:t>nteranual 200</w:t>
      </w:r>
      <w:r>
        <w:rPr>
          <w:b/>
        </w:rPr>
        <w:t xml:space="preserve">8 </w:t>
      </w:r>
      <w:r w:rsidRPr="00124AD6">
        <w:rPr>
          <w:b/>
        </w:rPr>
        <w:t>- 20</w:t>
      </w:r>
      <w:r>
        <w:rPr>
          <w:b/>
        </w:rPr>
        <w:t>19</w:t>
      </w:r>
      <w:r w:rsidRPr="00124AD6">
        <w:rPr>
          <w:b/>
        </w:rPr>
        <w:t>)</w:t>
      </w:r>
    </w:p>
    <w:p w:rsidR="00E425C1" w:rsidRPr="00B533AF" w:rsidRDefault="00774B0C" w:rsidP="00E425C1">
      <w:pPr>
        <w:rPr>
          <w:lang w:val="es-MX"/>
        </w:rPr>
      </w:pPr>
      <w:r w:rsidRPr="00774B0C">
        <w:rPr>
          <w:noProof/>
          <w:lang w:val="es-GT" w:eastAsia="es-GT"/>
        </w:rPr>
        <mc:AlternateContent>
          <mc:Choice Requires="wps">
            <w:drawing>
              <wp:anchor distT="0" distB="0" distL="114300" distR="114300" simplePos="0" relativeHeight="251659264" behindDoc="0" locked="0" layoutInCell="1" allowOverlap="1" wp14:anchorId="29BEDDD3" wp14:editId="1A50AC97">
                <wp:simplePos x="0" y="0"/>
                <wp:positionH relativeFrom="column">
                  <wp:posOffset>-1905</wp:posOffset>
                </wp:positionH>
                <wp:positionV relativeFrom="paragraph">
                  <wp:posOffset>2857339</wp:posOffset>
                </wp:positionV>
                <wp:extent cx="1216025" cy="573206"/>
                <wp:effectExtent l="0" t="0" r="0" b="0"/>
                <wp:wrapNone/>
                <wp:docPr id="3" name="1 CuadroTexto"/>
                <wp:cNvGraphicFramePr/>
                <a:graphic xmlns:a="http://schemas.openxmlformats.org/drawingml/2006/main">
                  <a:graphicData uri="http://schemas.microsoft.com/office/word/2010/wordprocessingShape">
                    <wps:wsp>
                      <wps:cNvSpPr txBox="1"/>
                      <wps:spPr>
                        <a:xfrm>
                          <a:off x="0" y="0"/>
                          <a:ext cx="1216025" cy="573206"/>
                        </a:xfrm>
                        <a:prstGeom prst="rect">
                          <a:avLst/>
                        </a:prstGeom>
                      </wps:spPr>
                      <wps:txbx>
                        <w:txbxContent>
                          <w:p w:rsidR="008E1BAF" w:rsidRDefault="008E1BAF" w:rsidP="00774B0C">
                            <w:pPr>
                              <w:pStyle w:val="NormalWeb"/>
                              <w:spacing w:before="0" w:beforeAutospacing="0" w:after="0" w:afterAutospacing="0"/>
                            </w:pPr>
                            <w:r>
                              <w:rPr>
                                <w:sz w:val="18"/>
                                <w:szCs w:val="18"/>
                              </w:rPr>
                              <w:t>p/   Preliminar</w:t>
                            </w:r>
                          </w:p>
                          <w:p w:rsidR="008E1BAF" w:rsidRPr="00774B0C" w:rsidRDefault="008E1BAF" w:rsidP="00774B0C">
                            <w:pPr>
                              <w:pStyle w:val="NormalWeb"/>
                              <w:spacing w:before="0" w:beforeAutospacing="0" w:after="0" w:afterAutospacing="0"/>
                              <w:rPr>
                                <w:sz w:val="18"/>
                                <w:szCs w:val="18"/>
                              </w:rPr>
                            </w:pPr>
                            <w:r>
                              <w:rPr>
                                <w:sz w:val="18"/>
                                <w:szCs w:val="18"/>
                              </w:rPr>
                              <w:t xml:space="preserve">py/ </w:t>
                            </w:r>
                            <w:r w:rsidRPr="00774B0C">
                              <w:rPr>
                                <w:sz w:val="18"/>
                                <w:szCs w:val="18"/>
                              </w:rPr>
                              <w:t>Proyectado escenario medio a junio de 2019</w:t>
                            </w:r>
                          </w:p>
                          <w:p w:rsidR="008E1BAF" w:rsidRPr="00774B0C" w:rsidRDefault="008E1BAF" w:rsidP="00774B0C">
                            <w:pPr>
                              <w:pStyle w:val="NormalWeb"/>
                              <w:spacing w:before="0" w:beforeAutospacing="0" w:after="0" w:afterAutospacing="0"/>
                              <w:rPr>
                                <w:sz w:val="18"/>
                                <w:szCs w:val="18"/>
                              </w:rPr>
                            </w:pPr>
                            <w:r w:rsidRPr="00774B0C">
                              <w:rPr>
                                <w:sz w:val="18"/>
                                <w:szCs w:val="18"/>
                              </w:rPr>
                              <w:t xml:space="preserve">   </w:t>
                            </w:r>
                            <w:r>
                              <w:rPr>
                                <w:sz w:val="18"/>
                                <w:szCs w:val="18"/>
                              </w:rPr>
                              <w:t xml:space="preserve"> </w:t>
                            </w:r>
                            <w:r w:rsidRPr="00774B0C">
                              <w:rPr>
                                <w:sz w:val="18"/>
                                <w:szCs w:val="18"/>
                              </w:rPr>
                              <w:t xml:space="preserve">   Fuente: Banco de Guatemala</w:t>
                            </w:r>
                            <w:r>
                              <w:rPr>
                                <w:sz w:val="18"/>
                                <w:szCs w:val="18"/>
                              </w:rPr>
                              <w:t>.</w:t>
                            </w:r>
                          </w:p>
                        </w:txbxContent>
                      </wps:txbx>
                      <wps:bodyPr vertOverflow="clip" wrap="non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Texto" o:spid="_x0000_s1026" type="#_x0000_t202" style="position:absolute;margin-left:-.15pt;margin-top:225pt;width:95.75pt;height:45.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" filled="f" stroked="f">
                <v:textbox>
                  <w:txbxContent>
                    <w:p w:rsidR="008E1BAF" w:rsidRDefault="008E1BAF" w:rsidP="00774B0C">
                      <w:pPr>
                        <w:pStyle w:val="NormalWeb"/>
                        <w:spacing w:before="0" w:beforeAutospacing="0" w:after="0" w:afterAutospacing="0"/>
                      </w:pPr>
                      <w:r>
                        <w:rPr>
                          <w:sz w:val="18"/>
                          <w:szCs w:val="18"/>
                        </w:rPr>
                        <w:t>p/   Preliminar</w:t>
                      </w:r>
                    </w:p>
                    <w:p w:rsidR="008E1BAF" w:rsidRPr="00774B0C" w:rsidRDefault="008E1BAF" w:rsidP="00774B0C">
                      <w:pPr>
                        <w:pStyle w:val="NormalWeb"/>
                        <w:spacing w:before="0" w:beforeAutospacing="0" w:after="0" w:afterAutospacing="0"/>
                        <w:rPr>
                          <w:sz w:val="18"/>
                          <w:szCs w:val="18"/>
                        </w:rPr>
                      </w:pPr>
                      <w:r>
                        <w:rPr>
                          <w:sz w:val="18"/>
                          <w:szCs w:val="18"/>
                        </w:rPr>
                        <w:t xml:space="preserve">py/ </w:t>
                      </w:r>
                      <w:r w:rsidRPr="00774B0C">
                        <w:rPr>
                          <w:sz w:val="18"/>
                          <w:szCs w:val="18"/>
                        </w:rPr>
                        <w:t>Proyectado escenario medio a junio de 2019</w:t>
                      </w:r>
                    </w:p>
                    <w:p w:rsidR="008E1BAF" w:rsidRPr="00774B0C" w:rsidRDefault="008E1BAF" w:rsidP="00774B0C">
                      <w:pPr>
                        <w:pStyle w:val="NormalWeb"/>
                        <w:spacing w:before="0" w:beforeAutospacing="0" w:after="0" w:afterAutospacing="0"/>
                        <w:rPr>
                          <w:sz w:val="18"/>
                          <w:szCs w:val="18"/>
                        </w:rPr>
                      </w:pPr>
                      <w:r w:rsidRPr="00774B0C">
                        <w:rPr>
                          <w:sz w:val="18"/>
                          <w:szCs w:val="18"/>
                        </w:rPr>
                        <w:t xml:space="preserve">   </w:t>
                      </w:r>
                      <w:r>
                        <w:rPr>
                          <w:sz w:val="18"/>
                          <w:szCs w:val="18"/>
                        </w:rPr>
                        <w:t xml:space="preserve"> </w:t>
                      </w:r>
                      <w:r w:rsidRPr="00774B0C">
                        <w:rPr>
                          <w:sz w:val="18"/>
                          <w:szCs w:val="18"/>
                        </w:rPr>
                        <w:t xml:space="preserve">   Fuente: Banco de Guatemala</w:t>
                      </w:r>
                      <w:r>
                        <w:rPr>
                          <w:sz w:val="18"/>
                          <w:szCs w:val="18"/>
                        </w:rPr>
                        <w:t>.</w:t>
                      </w:r>
                    </w:p>
                  </w:txbxContent>
                </v:textbox>
              </v:shape>
            </w:pict>
          </mc:Fallback>
        </mc:AlternateContent>
      </w:r>
      <w:r w:rsidR="00E425C1">
        <w:rPr>
          <w:noProof/>
          <w:lang w:val="es-GT" w:eastAsia="es-GT"/>
        </w:rPr>
        <w:drawing>
          <wp:inline distT="0" distB="0" distL="0" distR="0" wp14:anchorId="23F9D487" wp14:editId="425B174F">
            <wp:extent cx="5609230" cy="2886501"/>
            <wp:effectExtent l="0" t="0" r="1079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4B0C" w:rsidRDefault="00774B0C" w:rsidP="00E425C1">
      <w:pPr>
        <w:jc w:val="both"/>
      </w:pPr>
    </w:p>
    <w:p w:rsidR="00774B0C" w:rsidRDefault="00774B0C" w:rsidP="00E425C1">
      <w:pPr>
        <w:jc w:val="both"/>
      </w:pPr>
    </w:p>
    <w:p w:rsidR="00774B0C" w:rsidRDefault="00774B0C" w:rsidP="00E425C1">
      <w:pPr>
        <w:jc w:val="both"/>
      </w:pPr>
    </w:p>
    <w:p w:rsidR="00E425C1" w:rsidRDefault="00E425C1" w:rsidP="00E425C1">
      <w:pPr>
        <w:jc w:val="both"/>
      </w:pPr>
      <w:r>
        <w:t xml:space="preserve">El Índice de Confianza de la Actividad Económica, </w:t>
      </w:r>
      <w:r w:rsidRPr="00124AD6">
        <w:t xml:space="preserve">refleja la percepción </w:t>
      </w:r>
      <w:r>
        <w:t xml:space="preserve">que </w:t>
      </w:r>
      <w:r w:rsidRPr="00124AD6">
        <w:t xml:space="preserve">sobre la situación económica actual </w:t>
      </w:r>
      <w:r>
        <w:t>y el ambiente para los negocios, tiene el panel de analistas económicos entr</w:t>
      </w:r>
      <w:r w:rsidR="00BB7AC3">
        <w:t>evistados para su realización.</w:t>
      </w:r>
    </w:p>
    <w:p w:rsidR="00E425C1" w:rsidRDefault="00E425C1" w:rsidP="00E425C1">
      <w:pPr>
        <w:jc w:val="both"/>
      </w:pPr>
    </w:p>
    <w:p w:rsidR="00E425C1" w:rsidRDefault="00E425C1" w:rsidP="00E425C1">
      <w:pPr>
        <w:jc w:val="both"/>
      </w:pPr>
      <w:r>
        <w:lastRenderedPageBreak/>
        <w:t>A junio de 2019, el nivel del Índice de Confianza de la Actividad Económica se situó en 37.5 puntos, inferior en 6.</w:t>
      </w:r>
      <w:r w:rsidR="004312A9">
        <w:t>8</w:t>
      </w:r>
      <w:r>
        <w:t>% con respecto al registrado en junio de 2018 (44.</w:t>
      </w:r>
      <w:r w:rsidR="004312A9">
        <w:t>3</w:t>
      </w:r>
      <w:r>
        <w:t xml:space="preserve"> puntos) y menor en 11.</w:t>
      </w:r>
      <w:r w:rsidR="004312A9">
        <w:t>3</w:t>
      </w:r>
      <w:r>
        <w:t xml:space="preserve">% respecto </w:t>
      </w:r>
      <w:r w:rsidR="004312A9">
        <w:t>del</w:t>
      </w:r>
      <w:r>
        <w:t xml:space="preserve"> registrado en diciembre de 2018 (48.8 puntos).</w:t>
      </w:r>
    </w:p>
    <w:p w:rsidR="00E425C1" w:rsidRDefault="00E425C1" w:rsidP="00E425C1">
      <w:pPr>
        <w:jc w:val="both"/>
      </w:pPr>
    </w:p>
    <w:p w:rsidR="00E425C1" w:rsidRDefault="00E425C1" w:rsidP="00E425C1">
      <w:pPr>
        <w:jc w:val="both"/>
      </w:pPr>
      <w:r>
        <w:t>Es</w:t>
      </w:r>
      <w:r w:rsidRPr="00124AD6">
        <w:t xml:space="preserve"> importante indicar que </w:t>
      </w:r>
      <w:r>
        <w:t>e</w:t>
      </w:r>
      <w:r w:rsidR="004312A9">
        <w:t>ste</w:t>
      </w:r>
      <w:r>
        <w:t xml:space="preserve"> índice </w:t>
      </w:r>
      <w:r w:rsidRPr="00124AD6">
        <w:t xml:space="preserve">se </w:t>
      </w:r>
      <w:r>
        <w:t xml:space="preserve">basa en perspectivas, las que son influenciadas por los temas de coyuntura que de acuerdo al panel, afecten el clima general de negocios; de esta forma si el índice se </w:t>
      </w:r>
      <w:r w:rsidRPr="00124AD6">
        <w:t>posiciona por encima de 50 puntos</w:t>
      </w:r>
      <w:r>
        <w:t xml:space="preserve"> se espera un dinamismo en el ritmo de la actividad económica para los próximos seis meses</w:t>
      </w:r>
      <w:r w:rsidR="004312A9">
        <w:t>. P</w:t>
      </w:r>
      <w:r>
        <w:t>or el contrario, con una posición menor</w:t>
      </w:r>
      <w:r w:rsidR="004312A9">
        <w:t>,</w:t>
      </w:r>
      <w:r>
        <w:t xml:space="preserve"> lo que se visualiza es una contracción. </w:t>
      </w:r>
      <w:r w:rsidR="004312A9">
        <w:t>Con</w:t>
      </w:r>
      <w:r>
        <w:t xml:space="preserve"> base a lo anterior</w:t>
      </w:r>
      <w:r w:rsidR="004312A9">
        <w:t>,</w:t>
      </w:r>
      <w:r>
        <w:t xml:space="preserve"> se considera que el comportamiento del índice durante el primer semestre 2019 estuvo influenciado por la coyuntura política y el panorama electoral.</w:t>
      </w:r>
    </w:p>
    <w:p w:rsidR="00E425C1" w:rsidRPr="00124AD6" w:rsidRDefault="00E425C1" w:rsidP="00E425C1">
      <w:pPr>
        <w:jc w:val="both"/>
      </w:pPr>
    </w:p>
    <w:p w:rsidR="00E425C1" w:rsidRDefault="00E425C1" w:rsidP="00E425C1">
      <w:pPr>
        <w:jc w:val="center"/>
        <w:rPr>
          <w:b/>
        </w:rPr>
      </w:pPr>
    </w:p>
    <w:p w:rsidR="00E425C1" w:rsidRPr="00124AD6" w:rsidRDefault="00E425C1" w:rsidP="00E425C1">
      <w:pPr>
        <w:jc w:val="center"/>
        <w:rPr>
          <w:b/>
        </w:rPr>
      </w:pPr>
      <w:r w:rsidRPr="00124AD6">
        <w:rPr>
          <w:b/>
        </w:rPr>
        <w:t>Gráfica 2</w:t>
      </w:r>
    </w:p>
    <w:p w:rsidR="00E425C1" w:rsidRPr="00124AD6" w:rsidRDefault="00E425C1" w:rsidP="00E425C1">
      <w:pPr>
        <w:autoSpaceDE w:val="0"/>
        <w:autoSpaceDN w:val="0"/>
        <w:adjustRightInd w:val="0"/>
        <w:jc w:val="center"/>
        <w:rPr>
          <w:rFonts w:eastAsia="Calibri"/>
          <w:color w:val="000000"/>
          <w:lang w:val="es-GT" w:eastAsia="es-GT"/>
        </w:rPr>
      </w:pPr>
      <w:r w:rsidRPr="00124AD6">
        <w:rPr>
          <w:rFonts w:eastAsia="Calibri"/>
          <w:b/>
          <w:bCs/>
          <w:color w:val="000000"/>
          <w:lang w:val="es-GT" w:eastAsia="es-GT"/>
        </w:rPr>
        <w:t>Índice de Confianza de la Actividad Económica</w:t>
      </w:r>
    </w:p>
    <w:p w:rsidR="00E425C1" w:rsidRPr="00124AD6" w:rsidRDefault="00E425C1" w:rsidP="00E425C1">
      <w:pPr>
        <w:jc w:val="center"/>
        <w:rPr>
          <w:rFonts w:eastAsia="Calibri"/>
          <w:b/>
          <w:bCs/>
          <w:color w:val="000000"/>
          <w:lang w:val="es-GT" w:eastAsia="es-GT"/>
        </w:rPr>
      </w:pPr>
      <w:r w:rsidRPr="00124AD6">
        <w:rPr>
          <w:rFonts w:eastAsia="Calibri"/>
          <w:b/>
          <w:bCs/>
          <w:color w:val="000000"/>
          <w:lang w:val="es-GT" w:eastAsia="es-GT"/>
        </w:rPr>
        <w:t>Enero 201</w:t>
      </w:r>
      <w:r>
        <w:rPr>
          <w:rFonts w:eastAsia="Calibri"/>
          <w:b/>
          <w:bCs/>
          <w:color w:val="000000"/>
          <w:lang w:val="es-GT" w:eastAsia="es-GT"/>
        </w:rPr>
        <w:t>6</w:t>
      </w:r>
      <w:r w:rsidRPr="00124AD6">
        <w:rPr>
          <w:rFonts w:eastAsia="Calibri"/>
          <w:b/>
          <w:bCs/>
          <w:color w:val="000000"/>
          <w:lang w:val="es-GT" w:eastAsia="es-GT"/>
        </w:rPr>
        <w:t xml:space="preserve"> </w:t>
      </w:r>
      <w:r w:rsidR="004312A9">
        <w:rPr>
          <w:rFonts w:eastAsia="Calibri"/>
          <w:b/>
          <w:bCs/>
          <w:color w:val="000000"/>
          <w:lang w:val="es-GT" w:eastAsia="es-GT"/>
        </w:rPr>
        <w:t>-</w:t>
      </w:r>
      <w:r w:rsidRPr="00124AD6">
        <w:rPr>
          <w:rFonts w:eastAsia="Calibri"/>
          <w:b/>
          <w:bCs/>
          <w:color w:val="000000"/>
          <w:lang w:val="es-GT" w:eastAsia="es-GT"/>
        </w:rPr>
        <w:t xml:space="preserve"> </w:t>
      </w:r>
      <w:r>
        <w:rPr>
          <w:rFonts w:eastAsia="Calibri"/>
          <w:b/>
          <w:bCs/>
          <w:color w:val="000000"/>
          <w:lang w:val="es-GT" w:eastAsia="es-GT"/>
        </w:rPr>
        <w:t xml:space="preserve">Junio </w:t>
      </w:r>
      <w:r w:rsidRPr="00124AD6">
        <w:rPr>
          <w:rFonts w:eastAsia="Calibri"/>
          <w:b/>
          <w:bCs/>
          <w:color w:val="000000"/>
          <w:lang w:val="es-GT" w:eastAsia="es-GT"/>
        </w:rPr>
        <w:t>201</w:t>
      </w:r>
      <w:r>
        <w:rPr>
          <w:rFonts w:eastAsia="Calibri"/>
          <w:b/>
          <w:bCs/>
          <w:color w:val="000000"/>
          <w:lang w:val="es-GT" w:eastAsia="es-GT"/>
        </w:rPr>
        <w:t>9*</w:t>
      </w:r>
    </w:p>
    <w:p w:rsidR="00E425C1" w:rsidRPr="00124AD6" w:rsidRDefault="00E425C1" w:rsidP="00E425C1">
      <w:pPr>
        <w:jc w:val="center"/>
        <w:rPr>
          <w:lang w:val="es-MX"/>
        </w:rPr>
      </w:pPr>
      <w:r w:rsidRPr="00124AD6">
        <w:rPr>
          <w:rFonts w:eastAsia="Calibri"/>
          <w:b/>
          <w:bCs/>
          <w:color w:val="000000"/>
          <w:lang w:val="es-GT" w:eastAsia="es-GT"/>
        </w:rPr>
        <w:t>Puntos</w:t>
      </w:r>
    </w:p>
    <w:p w:rsidR="00E425C1" w:rsidRPr="00124AD6" w:rsidRDefault="00E425C1" w:rsidP="00E425C1">
      <w:pPr>
        <w:jc w:val="both"/>
        <w:rPr>
          <w:lang w:val="es-MX"/>
        </w:rPr>
      </w:pPr>
      <w:r>
        <w:rPr>
          <w:noProof/>
          <w:lang w:val="es-GT" w:eastAsia="es-GT"/>
        </w:rPr>
        <w:drawing>
          <wp:inline distT="0" distB="0" distL="0" distR="0" wp14:anchorId="7E04473C" wp14:editId="052DC003">
            <wp:extent cx="5612130" cy="2872740"/>
            <wp:effectExtent l="0" t="0" r="26670" b="228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25C1" w:rsidRPr="004312A9" w:rsidRDefault="00E425C1" w:rsidP="00E425C1">
      <w:pPr>
        <w:jc w:val="both"/>
        <w:rPr>
          <w:sz w:val="18"/>
          <w:lang w:val="es-MX"/>
        </w:rPr>
      </w:pPr>
      <w:r>
        <w:rPr>
          <w:sz w:val="16"/>
          <w:lang w:val="es-MX"/>
        </w:rPr>
        <w:t>*</w:t>
      </w:r>
      <w:r w:rsidR="00E72B2E">
        <w:rPr>
          <w:sz w:val="16"/>
          <w:lang w:val="es-MX"/>
        </w:rPr>
        <w:t xml:space="preserve"> </w:t>
      </w:r>
      <w:r w:rsidRPr="004312A9">
        <w:rPr>
          <w:sz w:val="18"/>
          <w:lang w:val="es-MX"/>
        </w:rPr>
        <w:t>Al 30 de junio de 2019</w:t>
      </w:r>
    </w:p>
    <w:p w:rsidR="00E425C1" w:rsidRPr="004312A9" w:rsidRDefault="00E72B2E" w:rsidP="00E425C1">
      <w:pPr>
        <w:jc w:val="both"/>
        <w:rPr>
          <w:sz w:val="18"/>
          <w:lang w:val="es-MX"/>
        </w:rPr>
      </w:pPr>
      <w:r>
        <w:rPr>
          <w:sz w:val="18"/>
          <w:lang w:val="es-MX"/>
        </w:rPr>
        <w:t xml:space="preserve">   </w:t>
      </w:r>
      <w:r w:rsidR="00E425C1" w:rsidRPr="004312A9">
        <w:rPr>
          <w:sz w:val="18"/>
          <w:lang w:val="es-MX"/>
        </w:rPr>
        <w:t>Fuente: Banco de Guatemala.</w:t>
      </w:r>
    </w:p>
    <w:p w:rsidR="00E425C1" w:rsidRPr="00124AD6" w:rsidRDefault="00E425C1" w:rsidP="00E425C1">
      <w:pPr>
        <w:jc w:val="both"/>
        <w:rPr>
          <w:lang w:val="es-MX"/>
        </w:rPr>
      </w:pPr>
    </w:p>
    <w:p w:rsidR="00E425C1" w:rsidRDefault="00E425C1" w:rsidP="00E425C1"/>
    <w:p w:rsidR="00E425C1" w:rsidRDefault="00E425C1" w:rsidP="00E425C1">
      <w:pPr>
        <w:jc w:val="both"/>
      </w:pPr>
      <w:r>
        <w:t xml:space="preserve">De acuerdo con el Banco de Guatemala, </w:t>
      </w:r>
      <w:r w:rsidR="005A6292">
        <w:t>a</w:t>
      </w:r>
      <w:r w:rsidRPr="009D0467">
        <w:t xml:space="preserve"> </w:t>
      </w:r>
      <w:r>
        <w:t xml:space="preserve">junio </w:t>
      </w:r>
      <w:r w:rsidRPr="009D0467">
        <w:t>de 201</w:t>
      </w:r>
      <w:r>
        <w:t>9</w:t>
      </w:r>
      <w:r w:rsidRPr="009D0467">
        <w:t xml:space="preserve">, el ritmo inflacionario se situó en </w:t>
      </w:r>
      <w:r>
        <w:t>4.8</w:t>
      </w:r>
      <w:r w:rsidRPr="009D0467">
        <w:t xml:space="preserve">%, valor que se encuentra </w:t>
      </w:r>
      <w:r>
        <w:t>dentro</w:t>
      </w:r>
      <w:r w:rsidRPr="009D0467">
        <w:t xml:space="preserve"> de la meta de inflación establecida por la Junta Monetaria (4.0 +/- 1 punto porcentual). Entre enero y ju</w:t>
      </w:r>
      <w:r>
        <w:t>n</w:t>
      </w:r>
      <w:r w:rsidRPr="009D0467">
        <w:t xml:space="preserve">io del presente año, la evolución de precios mostró </w:t>
      </w:r>
      <w:r>
        <w:t xml:space="preserve">una variación interanual, superior en 1.01 puntos porcentuales a lo registrado en junio </w:t>
      </w:r>
      <w:r w:rsidR="005A6292">
        <w:t xml:space="preserve">de </w:t>
      </w:r>
      <w:r>
        <w:t>2018 (3.</w:t>
      </w:r>
      <w:r w:rsidR="005A6292">
        <w:t>8</w:t>
      </w:r>
      <w:r>
        <w:t>%).</w:t>
      </w:r>
    </w:p>
    <w:p w:rsidR="00E425C1" w:rsidRDefault="00E425C1" w:rsidP="00E425C1">
      <w:pPr>
        <w:jc w:val="both"/>
      </w:pPr>
    </w:p>
    <w:p w:rsidR="00E425C1" w:rsidRDefault="00E425C1" w:rsidP="00E425C1">
      <w:pPr>
        <w:jc w:val="both"/>
      </w:pPr>
    </w:p>
    <w:p w:rsidR="00E425C1" w:rsidRDefault="00E425C1" w:rsidP="00E425C1">
      <w:pPr>
        <w:jc w:val="both"/>
      </w:pPr>
    </w:p>
    <w:p w:rsidR="00E425C1" w:rsidRPr="008578BF" w:rsidRDefault="00E425C1" w:rsidP="00E425C1">
      <w:pPr>
        <w:jc w:val="both"/>
      </w:pPr>
      <w:r>
        <w:t xml:space="preserve">La inflación subyacente a junio </w:t>
      </w:r>
      <w:r w:rsidR="00117227">
        <w:t xml:space="preserve">de </w:t>
      </w:r>
      <w:r>
        <w:t xml:space="preserve">2019 se ubica en 3.0, superior en 0.4 puntos a la registrada durante el mismo período de 2018. El nivel de inflación que se registró en junio (0.83%) se </w:t>
      </w:r>
      <w:r>
        <w:lastRenderedPageBreak/>
        <w:t>debe principalmente a un incremento importante en las divisiones de comunicaciones (6.55%), alimentos (1.49%) y salud (0.22%)</w:t>
      </w:r>
      <w:r w:rsidR="00117227">
        <w:t>;</w:t>
      </w:r>
      <w:r>
        <w:t xml:space="preserve"> aunque también se registraron disminuciones en las divisiones de recreación (-0.57%), vivienda (-0.21%) y transporte (-0.13%).  (Fundesa, </w:t>
      </w:r>
      <w:r w:rsidR="00EB3A2D">
        <w:t>Boletín</w:t>
      </w:r>
      <w:r>
        <w:t xml:space="preserve"> Económico a </w:t>
      </w:r>
      <w:r w:rsidR="00117227">
        <w:t>j</w:t>
      </w:r>
      <w:r>
        <w:t xml:space="preserve">ulio </w:t>
      </w:r>
      <w:r w:rsidR="00117227">
        <w:t xml:space="preserve">de </w:t>
      </w:r>
      <w:r>
        <w:t>2019).</w:t>
      </w:r>
    </w:p>
    <w:p w:rsidR="00E425C1" w:rsidRDefault="00E425C1" w:rsidP="00E425C1">
      <w:pPr>
        <w:jc w:val="center"/>
        <w:rPr>
          <w:b/>
        </w:rPr>
      </w:pPr>
    </w:p>
    <w:p w:rsidR="00E72B2E" w:rsidRDefault="00E72B2E" w:rsidP="00E425C1">
      <w:pPr>
        <w:jc w:val="center"/>
        <w:rPr>
          <w:b/>
        </w:rPr>
      </w:pPr>
    </w:p>
    <w:p w:rsidR="00E425C1" w:rsidRPr="00124AD6" w:rsidRDefault="00E425C1" w:rsidP="00E425C1">
      <w:pPr>
        <w:jc w:val="center"/>
        <w:rPr>
          <w:b/>
        </w:rPr>
      </w:pPr>
      <w:r w:rsidRPr="00124AD6">
        <w:rPr>
          <w:b/>
        </w:rPr>
        <w:t xml:space="preserve">Gráfica </w:t>
      </w:r>
      <w:r>
        <w:rPr>
          <w:b/>
        </w:rPr>
        <w:t>3</w:t>
      </w:r>
    </w:p>
    <w:p w:rsidR="00E425C1" w:rsidRDefault="00E425C1" w:rsidP="00E425C1">
      <w:pPr>
        <w:jc w:val="center"/>
        <w:rPr>
          <w:b/>
        </w:rPr>
      </w:pPr>
      <w:r w:rsidRPr="00124AD6">
        <w:rPr>
          <w:b/>
        </w:rPr>
        <w:t>Guatemala: Ritmo Inflacionario</w:t>
      </w:r>
      <w:r>
        <w:rPr>
          <w:b/>
        </w:rPr>
        <w:t xml:space="preserve"> Total </w:t>
      </w:r>
      <w:r w:rsidR="00E72B2E">
        <w:rPr>
          <w:b/>
        </w:rPr>
        <w:t>e Inflación</w:t>
      </w:r>
      <w:r>
        <w:rPr>
          <w:b/>
        </w:rPr>
        <w:t xml:space="preserve"> Subyacente</w:t>
      </w:r>
    </w:p>
    <w:p w:rsidR="00E425C1" w:rsidRDefault="00E425C1" w:rsidP="00E425C1">
      <w:pPr>
        <w:jc w:val="center"/>
        <w:rPr>
          <w:b/>
        </w:rPr>
      </w:pPr>
      <w:r>
        <w:rPr>
          <w:b/>
        </w:rPr>
        <w:t>Período 2012</w:t>
      </w:r>
      <w:r w:rsidR="00E72B2E">
        <w:rPr>
          <w:b/>
        </w:rPr>
        <w:t xml:space="preserve"> </w:t>
      </w:r>
      <w:r>
        <w:rPr>
          <w:b/>
        </w:rPr>
        <w:t>-</w:t>
      </w:r>
      <w:r w:rsidR="00E72B2E">
        <w:rPr>
          <w:b/>
        </w:rPr>
        <w:t xml:space="preserve"> </w:t>
      </w:r>
      <w:r>
        <w:rPr>
          <w:b/>
        </w:rPr>
        <w:t>2019*</w:t>
      </w:r>
    </w:p>
    <w:p w:rsidR="00E425C1" w:rsidRDefault="00E425C1" w:rsidP="00E425C1">
      <w:pPr>
        <w:jc w:val="center"/>
        <w:rPr>
          <w:b/>
        </w:rPr>
      </w:pPr>
      <w:r>
        <w:rPr>
          <w:noProof/>
          <w:lang w:val="es-GT" w:eastAsia="es-GT"/>
        </w:rPr>
        <w:drawing>
          <wp:inline distT="0" distB="0" distL="0" distR="0" wp14:anchorId="472BE644" wp14:editId="7A2D9ADD">
            <wp:extent cx="5609230" cy="2825086"/>
            <wp:effectExtent l="0" t="0" r="10795"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25C1" w:rsidRPr="00117227" w:rsidRDefault="00E72B2E" w:rsidP="00E425C1">
      <w:pPr>
        <w:rPr>
          <w:sz w:val="18"/>
          <w:lang w:val="es-MX"/>
        </w:rPr>
      </w:pPr>
      <w:r>
        <w:rPr>
          <w:sz w:val="18"/>
          <w:lang w:val="es-MX"/>
        </w:rPr>
        <w:t xml:space="preserve">  </w:t>
      </w:r>
      <w:r w:rsidR="00E425C1" w:rsidRPr="00117227">
        <w:rPr>
          <w:sz w:val="18"/>
          <w:lang w:val="es-MX"/>
        </w:rPr>
        <w:t>*</w:t>
      </w:r>
      <w:r>
        <w:rPr>
          <w:sz w:val="18"/>
          <w:lang w:val="es-MX"/>
        </w:rPr>
        <w:t xml:space="preserve"> </w:t>
      </w:r>
      <w:r w:rsidR="00E425C1" w:rsidRPr="00117227">
        <w:rPr>
          <w:sz w:val="18"/>
          <w:lang w:val="es-MX"/>
        </w:rPr>
        <w:t>Al 30 de junio de 2019</w:t>
      </w:r>
    </w:p>
    <w:p w:rsidR="00E425C1" w:rsidRPr="00117227" w:rsidRDefault="00E72B2E" w:rsidP="00E425C1">
      <w:pPr>
        <w:rPr>
          <w:sz w:val="18"/>
          <w:lang w:val="es-MX"/>
        </w:rPr>
      </w:pPr>
      <w:r>
        <w:rPr>
          <w:sz w:val="18"/>
          <w:lang w:val="es-MX"/>
        </w:rPr>
        <w:t xml:space="preserve">     </w:t>
      </w:r>
      <w:r w:rsidR="00E425C1" w:rsidRPr="00117227">
        <w:rPr>
          <w:sz w:val="18"/>
          <w:lang w:val="es-MX"/>
        </w:rPr>
        <w:t>Fuente: Banco de Guatemala.</w:t>
      </w:r>
    </w:p>
    <w:p w:rsidR="00E425C1" w:rsidRPr="00117227" w:rsidRDefault="00E72B2E" w:rsidP="00E425C1">
      <w:pPr>
        <w:rPr>
          <w:sz w:val="18"/>
          <w:lang w:val="es-MX"/>
        </w:rPr>
      </w:pPr>
      <w:r>
        <w:rPr>
          <w:sz w:val="18"/>
          <w:lang w:val="es-MX"/>
        </w:rPr>
        <w:t xml:space="preserve">     </w:t>
      </w:r>
      <w:r w:rsidR="00E425C1" w:rsidRPr="00117227">
        <w:rPr>
          <w:sz w:val="18"/>
          <w:lang w:val="es-MX"/>
        </w:rPr>
        <w:t xml:space="preserve">Base de datos </w:t>
      </w:r>
      <w:r>
        <w:rPr>
          <w:sz w:val="18"/>
          <w:lang w:val="es-MX"/>
        </w:rPr>
        <w:t>de I</w:t>
      </w:r>
      <w:r w:rsidR="00E425C1" w:rsidRPr="00117227">
        <w:rPr>
          <w:sz w:val="18"/>
          <w:lang w:val="es-MX"/>
        </w:rPr>
        <w:t xml:space="preserve">nflación </w:t>
      </w:r>
      <w:r>
        <w:rPr>
          <w:sz w:val="18"/>
          <w:lang w:val="es-MX"/>
        </w:rPr>
        <w:t>S</w:t>
      </w:r>
      <w:r w:rsidR="00E425C1" w:rsidRPr="00117227">
        <w:rPr>
          <w:sz w:val="18"/>
          <w:lang w:val="es-MX"/>
        </w:rPr>
        <w:t xml:space="preserve">ubyacente y </w:t>
      </w:r>
      <w:r>
        <w:rPr>
          <w:sz w:val="18"/>
          <w:lang w:val="es-MX"/>
        </w:rPr>
        <w:t>R</w:t>
      </w:r>
      <w:r w:rsidR="00E425C1" w:rsidRPr="00117227">
        <w:rPr>
          <w:sz w:val="18"/>
          <w:lang w:val="es-MX"/>
        </w:rPr>
        <w:t xml:space="preserve">itmo </w:t>
      </w:r>
      <w:r>
        <w:rPr>
          <w:sz w:val="18"/>
          <w:lang w:val="es-MX"/>
        </w:rPr>
        <w:t>I</w:t>
      </w:r>
      <w:r w:rsidR="00E425C1" w:rsidRPr="00117227">
        <w:rPr>
          <w:sz w:val="18"/>
          <w:lang w:val="es-MX"/>
        </w:rPr>
        <w:t xml:space="preserve">nflacionario </w:t>
      </w:r>
      <w:r>
        <w:rPr>
          <w:sz w:val="18"/>
          <w:lang w:val="es-MX"/>
        </w:rPr>
        <w:t>T</w:t>
      </w:r>
      <w:r w:rsidR="00E425C1" w:rsidRPr="00117227">
        <w:rPr>
          <w:sz w:val="18"/>
          <w:lang w:val="es-MX"/>
        </w:rPr>
        <w:t>otal 2019.</w:t>
      </w:r>
    </w:p>
    <w:p w:rsidR="00E425C1" w:rsidRDefault="00E425C1" w:rsidP="00E425C1">
      <w:pPr>
        <w:jc w:val="both"/>
      </w:pPr>
    </w:p>
    <w:p w:rsidR="00E425C1" w:rsidRDefault="00E425C1" w:rsidP="00E425C1">
      <w:pPr>
        <w:rPr>
          <w:lang w:val="es-MX"/>
        </w:rPr>
      </w:pPr>
    </w:p>
    <w:p w:rsidR="00E425C1" w:rsidRPr="00124AD6" w:rsidRDefault="00E425C1" w:rsidP="00E425C1">
      <w:pPr>
        <w:jc w:val="both"/>
        <w:rPr>
          <w:lang w:val="es-MX"/>
        </w:rPr>
      </w:pPr>
      <w:r w:rsidRPr="00124AD6">
        <w:rPr>
          <w:lang w:val="es-MX"/>
        </w:rPr>
        <w:t xml:space="preserve">Por su parte, las remesas familiares registraron un crecimiento de </w:t>
      </w:r>
      <w:r w:rsidR="00117227">
        <w:rPr>
          <w:lang w:val="es-MX"/>
        </w:rPr>
        <w:t>US</w:t>
      </w:r>
      <w:r>
        <w:rPr>
          <w:lang w:val="es-MX"/>
        </w:rPr>
        <w:t>$527.8 millones (12.0%)</w:t>
      </w:r>
      <w:r w:rsidRPr="00124AD6">
        <w:rPr>
          <w:lang w:val="es-MX"/>
        </w:rPr>
        <w:t xml:space="preserve">, con relación a </w:t>
      </w:r>
      <w:r>
        <w:rPr>
          <w:lang w:val="es-MX"/>
        </w:rPr>
        <w:t xml:space="preserve">lo acumulado a junio </w:t>
      </w:r>
      <w:r w:rsidR="00117227">
        <w:rPr>
          <w:lang w:val="es-MX"/>
        </w:rPr>
        <w:t xml:space="preserve">de </w:t>
      </w:r>
      <w:r w:rsidRPr="00124AD6">
        <w:rPr>
          <w:lang w:val="es-MX"/>
        </w:rPr>
        <w:t>201</w:t>
      </w:r>
      <w:r>
        <w:rPr>
          <w:lang w:val="es-MX"/>
        </w:rPr>
        <w:t xml:space="preserve">8. </w:t>
      </w:r>
      <w:r w:rsidRPr="00BE3F06">
        <w:rPr>
          <w:lang w:val="es-MX"/>
        </w:rPr>
        <w:t xml:space="preserve">Dicho resultado sigue explicándose, principalmente, por la reducción del nivel de desempleo hispano </w:t>
      </w:r>
      <w:r>
        <w:rPr>
          <w:lang w:val="es-MX"/>
        </w:rPr>
        <w:t xml:space="preserve">y </w:t>
      </w:r>
      <w:r w:rsidRPr="00BE3F06">
        <w:rPr>
          <w:lang w:val="es-MX"/>
        </w:rPr>
        <w:t>el incremento del número de guatemaltecos que residen</w:t>
      </w:r>
      <w:r w:rsidR="00117227">
        <w:rPr>
          <w:lang w:val="es-MX"/>
        </w:rPr>
        <w:t xml:space="preserve"> en</w:t>
      </w:r>
      <w:r w:rsidRPr="00BE3F06">
        <w:rPr>
          <w:lang w:val="es-MX"/>
        </w:rPr>
        <w:t xml:space="preserve"> </w:t>
      </w:r>
      <w:r>
        <w:rPr>
          <w:lang w:val="es-MX"/>
        </w:rPr>
        <w:t>los Estados Unidos de Norteamérica.</w:t>
      </w:r>
    </w:p>
    <w:p w:rsidR="00E425C1" w:rsidRPr="00124AD6" w:rsidRDefault="00E425C1" w:rsidP="00E425C1">
      <w:pPr>
        <w:jc w:val="both"/>
        <w:rPr>
          <w:lang w:val="es-MX"/>
        </w:rPr>
      </w:pPr>
    </w:p>
    <w:p w:rsidR="00E425C1" w:rsidRDefault="00E425C1" w:rsidP="00E425C1">
      <w:pPr>
        <w:rPr>
          <w:b/>
        </w:rPr>
      </w:pPr>
      <w:r>
        <w:rPr>
          <w:b/>
        </w:rPr>
        <w:br w:type="page"/>
      </w:r>
    </w:p>
    <w:p w:rsidR="00E425C1" w:rsidRPr="00124AD6" w:rsidRDefault="00E425C1" w:rsidP="00E425C1">
      <w:pPr>
        <w:jc w:val="center"/>
        <w:rPr>
          <w:b/>
        </w:rPr>
      </w:pPr>
      <w:r w:rsidRPr="00124AD6">
        <w:rPr>
          <w:b/>
        </w:rPr>
        <w:lastRenderedPageBreak/>
        <w:t xml:space="preserve">Gráfica </w:t>
      </w:r>
      <w:r>
        <w:rPr>
          <w:b/>
        </w:rPr>
        <w:t>4</w:t>
      </w:r>
    </w:p>
    <w:p w:rsidR="00E425C1" w:rsidRDefault="00E425C1" w:rsidP="00E425C1">
      <w:pPr>
        <w:jc w:val="center"/>
        <w:rPr>
          <w:b/>
        </w:rPr>
      </w:pPr>
      <w:r w:rsidRPr="00124AD6">
        <w:rPr>
          <w:b/>
        </w:rPr>
        <w:t>Guatemala: Remesas Familiares</w:t>
      </w:r>
    </w:p>
    <w:p w:rsidR="00E425C1" w:rsidRPr="00124AD6" w:rsidRDefault="00E425C1" w:rsidP="00E425C1">
      <w:pPr>
        <w:jc w:val="center"/>
        <w:rPr>
          <w:b/>
        </w:rPr>
      </w:pPr>
      <w:r>
        <w:rPr>
          <w:b/>
        </w:rPr>
        <w:t>En Millones de US Dólares</w:t>
      </w:r>
    </w:p>
    <w:p w:rsidR="00E425C1" w:rsidRDefault="00E425C1" w:rsidP="00E425C1">
      <w:pPr>
        <w:jc w:val="center"/>
        <w:rPr>
          <w:b/>
        </w:rPr>
      </w:pPr>
      <w:r w:rsidRPr="00124AD6">
        <w:rPr>
          <w:b/>
        </w:rPr>
        <w:t xml:space="preserve">(Acumulado </w:t>
      </w:r>
      <w:r w:rsidR="00117227">
        <w:rPr>
          <w:b/>
        </w:rPr>
        <w:t>A</w:t>
      </w:r>
      <w:r w:rsidRPr="00124AD6">
        <w:rPr>
          <w:b/>
        </w:rPr>
        <w:t xml:space="preserve">nual 2010 </w:t>
      </w:r>
      <w:r w:rsidR="00117227">
        <w:rPr>
          <w:b/>
        </w:rPr>
        <w:t>-</w:t>
      </w:r>
      <w:r w:rsidRPr="00124AD6">
        <w:rPr>
          <w:b/>
        </w:rPr>
        <w:t xml:space="preserve"> 201</w:t>
      </w:r>
      <w:r>
        <w:rPr>
          <w:b/>
        </w:rPr>
        <w:t>9*</w:t>
      </w:r>
      <w:r w:rsidRPr="00124AD6">
        <w:rPr>
          <w:b/>
        </w:rPr>
        <w:t>)</w:t>
      </w:r>
    </w:p>
    <w:p w:rsidR="00F03607" w:rsidRDefault="00F03607" w:rsidP="00E425C1">
      <w:pPr>
        <w:jc w:val="center"/>
        <w:rPr>
          <w:b/>
        </w:rPr>
      </w:pPr>
      <w:r w:rsidRPr="00F03607">
        <w:rPr>
          <w:noProof/>
          <w:color w:val="00B050"/>
          <w:lang w:val="es-GT" w:eastAsia="es-GT"/>
        </w:rPr>
        <w:drawing>
          <wp:inline distT="0" distB="0" distL="0" distR="0" wp14:anchorId="429AFA29" wp14:editId="4E7BC3B2">
            <wp:extent cx="5612130" cy="3358515"/>
            <wp:effectExtent l="0" t="0" r="26670"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25C1" w:rsidRPr="00117227" w:rsidRDefault="00774B0C" w:rsidP="00E425C1">
      <w:pPr>
        <w:jc w:val="both"/>
        <w:rPr>
          <w:noProof/>
          <w:sz w:val="18"/>
        </w:rPr>
      </w:pPr>
      <w:r>
        <w:rPr>
          <w:noProof/>
          <w:sz w:val="18"/>
        </w:rPr>
        <w:t xml:space="preserve">  </w:t>
      </w:r>
      <w:r w:rsidR="00E425C1" w:rsidRPr="00117227">
        <w:rPr>
          <w:noProof/>
          <w:sz w:val="18"/>
        </w:rPr>
        <w:t>*</w:t>
      </w:r>
      <w:r>
        <w:rPr>
          <w:noProof/>
          <w:sz w:val="18"/>
        </w:rPr>
        <w:t xml:space="preserve"> </w:t>
      </w:r>
      <w:r w:rsidR="00E425C1" w:rsidRPr="00117227">
        <w:rPr>
          <w:noProof/>
          <w:sz w:val="18"/>
        </w:rPr>
        <w:t xml:space="preserve">Acumulado al 30 de junio </w:t>
      </w:r>
      <w:r w:rsidR="00117227">
        <w:rPr>
          <w:noProof/>
          <w:sz w:val="18"/>
        </w:rPr>
        <w:t xml:space="preserve">de </w:t>
      </w:r>
      <w:r w:rsidR="00E425C1" w:rsidRPr="00117227">
        <w:rPr>
          <w:noProof/>
          <w:sz w:val="18"/>
        </w:rPr>
        <w:t xml:space="preserve">2019 </w:t>
      </w:r>
    </w:p>
    <w:p w:rsidR="00E425C1" w:rsidRPr="00117227" w:rsidRDefault="00774B0C" w:rsidP="00E425C1">
      <w:pPr>
        <w:jc w:val="both"/>
        <w:rPr>
          <w:noProof/>
          <w:sz w:val="18"/>
        </w:rPr>
      </w:pPr>
      <w:r>
        <w:rPr>
          <w:noProof/>
          <w:sz w:val="18"/>
        </w:rPr>
        <w:t xml:space="preserve">     </w:t>
      </w:r>
      <w:r w:rsidR="00E425C1" w:rsidRPr="00117227">
        <w:rPr>
          <w:noProof/>
          <w:sz w:val="18"/>
        </w:rPr>
        <w:t>Fuente: Banco de Guatemala.</w:t>
      </w:r>
    </w:p>
    <w:p w:rsidR="00E425C1" w:rsidRPr="00124AD6" w:rsidRDefault="00E425C1" w:rsidP="00E425C1">
      <w:pPr>
        <w:jc w:val="both"/>
        <w:rPr>
          <w:lang w:val="es-MX"/>
        </w:rPr>
      </w:pPr>
    </w:p>
    <w:p w:rsidR="00E425C1" w:rsidRDefault="00E425C1" w:rsidP="00E425C1">
      <w:pPr>
        <w:rPr>
          <w:lang w:val="es-MX"/>
        </w:rPr>
      </w:pPr>
    </w:p>
    <w:p w:rsidR="00E425C1" w:rsidRDefault="00E425C1" w:rsidP="00E425C1">
      <w:pPr>
        <w:jc w:val="both"/>
        <w:rPr>
          <w:lang w:val="es-MX"/>
        </w:rPr>
      </w:pPr>
      <w:r>
        <w:rPr>
          <w:lang w:val="es-MX"/>
        </w:rPr>
        <w:t xml:space="preserve">Las </w:t>
      </w:r>
      <w:r w:rsidRPr="00124AD6">
        <w:rPr>
          <w:lang w:val="es-MX"/>
        </w:rPr>
        <w:t>Reservas Monetarias Internacionales</w:t>
      </w:r>
      <w:r>
        <w:rPr>
          <w:lang w:val="es-MX"/>
        </w:rPr>
        <w:t xml:space="preserve"> </w:t>
      </w:r>
      <w:r w:rsidRPr="00124AD6">
        <w:rPr>
          <w:lang w:val="es-MX"/>
        </w:rPr>
        <w:t>Netas</w:t>
      </w:r>
      <w:r>
        <w:rPr>
          <w:lang w:val="es-MX"/>
        </w:rPr>
        <w:t xml:space="preserve"> RIN, </w:t>
      </w:r>
      <w:r w:rsidRPr="00124AD6">
        <w:rPr>
          <w:lang w:val="es-MX"/>
        </w:rPr>
        <w:t xml:space="preserve">continuaron reflejando </w:t>
      </w:r>
      <w:r>
        <w:rPr>
          <w:lang w:val="es-MX"/>
        </w:rPr>
        <w:t>l</w:t>
      </w:r>
      <w:r w:rsidRPr="00124AD6">
        <w:rPr>
          <w:lang w:val="es-MX"/>
        </w:rPr>
        <w:t xml:space="preserve">a sólida posición externa del país.  </w:t>
      </w:r>
      <w:r>
        <w:rPr>
          <w:lang w:val="es-MX"/>
        </w:rPr>
        <w:t xml:space="preserve">Al 30 de junio de 2019 </w:t>
      </w:r>
      <w:r w:rsidRPr="00124AD6">
        <w:rPr>
          <w:lang w:val="es-MX"/>
        </w:rPr>
        <w:t>se situ</w:t>
      </w:r>
      <w:r>
        <w:rPr>
          <w:lang w:val="es-MX"/>
        </w:rPr>
        <w:t>aron</w:t>
      </w:r>
      <w:r w:rsidRPr="00124AD6">
        <w:rPr>
          <w:lang w:val="es-MX"/>
        </w:rPr>
        <w:t xml:space="preserve"> en US$</w:t>
      </w:r>
      <w:r>
        <w:rPr>
          <w:lang w:val="es-MX"/>
        </w:rPr>
        <w:t>14,279.8</w:t>
      </w:r>
      <w:r w:rsidRPr="00124AD6">
        <w:rPr>
          <w:lang w:val="es-MX"/>
        </w:rPr>
        <w:t xml:space="preserve"> millones, </w:t>
      </w:r>
      <w:r>
        <w:rPr>
          <w:lang w:val="es-MX"/>
        </w:rPr>
        <w:t xml:space="preserve">monto superior en </w:t>
      </w:r>
      <w:r w:rsidRPr="00124AD6">
        <w:rPr>
          <w:lang w:val="es-MX"/>
        </w:rPr>
        <w:t>US$</w:t>
      </w:r>
      <w:r>
        <w:rPr>
          <w:lang w:val="es-MX"/>
        </w:rPr>
        <w:t>1,524.20 millones</w:t>
      </w:r>
      <w:r w:rsidR="00117227">
        <w:rPr>
          <w:lang w:val="es-MX"/>
        </w:rPr>
        <w:t>,</w:t>
      </w:r>
      <w:r>
        <w:rPr>
          <w:lang w:val="es-MX"/>
        </w:rPr>
        <w:t xml:space="preserve"> </w:t>
      </w:r>
      <w:r w:rsidRPr="00124AD6">
        <w:rPr>
          <w:lang w:val="es-MX"/>
        </w:rPr>
        <w:t>equivalente</w:t>
      </w:r>
      <w:r w:rsidR="00117227">
        <w:rPr>
          <w:lang w:val="es-MX"/>
        </w:rPr>
        <w:t>s</w:t>
      </w:r>
      <w:r w:rsidRPr="00124AD6">
        <w:rPr>
          <w:lang w:val="es-MX"/>
        </w:rPr>
        <w:t xml:space="preserve"> a </w:t>
      </w:r>
      <w:r>
        <w:rPr>
          <w:lang w:val="es-MX"/>
        </w:rPr>
        <w:t>11.9%</w:t>
      </w:r>
      <w:r w:rsidRPr="00124AD6">
        <w:rPr>
          <w:lang w:val="es-MX"/>
        </w:rPr>
        <w:t xml:space="preserve"> de incremento respecto a</w:t>
      </w:r>
      <w:r>
        <w:rPr>
          <w:lang w:val="es-MX"/>
        </w:rPr>
        <w:t xml:space="preserve"> diciembre</w:t>
      </w:r>
      <w:r w:rsidRPr="00124AD6">
        <w:rPr>
          <w:lang w:val="es-MX"/>
        </w:rPr>
        <w:t xml:space="preserve"> </w:t>
      </w:r>
      <w:r w:rsidR="00117227">
        <w:rPr>
          <w:lang w:val="es-MX"/>
        </w:rPr>
        <w:t xml:space="preserve">de </w:t>
      </w:r>
      <w:r w:rsidRPr="00124AD6">
        <w:rPr>
          <w:lang w:val="es-MX"/>
        </w:rPr>
        <w:t>201</w:t>
      </w:r>
      <w:r>
        <w:rPr>
          <w:lang w:val="es-MX"/>
        </w:rPr>
        <w:t>8</w:t>
      </w:r>
      <w:r w:rsidRPr="00124AD6">
        <w:rPr>
          <w:lang w:val="es-MX"/>
        </w:rPr>
        <w:t>.</w:t>
      </w:r>
    </w:p>
    <w:p w:rsidR="00E425C1" w:rsidRDefault="00E425C1" w:rsidP="00E425C1">
      <w:pPr>
        <w:jc w:val="both"/>
        <w:rPr>
          <w:lang w:val="es-MX"/>
        </w:rPr>
      </w:pPr>
    </w:p>
    <w:p w:rsidR="00E425C1" w:rsidRDefault="00E425C1" w:rsidP="00E425C1">
      <w:pPr>
        <w:jc w:val="both"/>
        <w:rPr>
          <w:lang w:val="es-MX"/>
        </w:rPr>
      </w:pPr>
      <w:r>
        <w:t xml:space="preserve">La posición es resultado principalmente, de la colocación de Bonos del Tesoro de la República de Guatemala en el mercado internacional (US$1,200.0 millones) y de las compras netas por activación de la regla cambiaria (US$636.4 millones), los cuales fueron compensados, parcialmente, por los pagos netos por deuda externa del sector público, por la amortización neta de los depósitos a plazo en dólares de los Estados Unidos de América emitidos por el Banco de Guatemala y por la disminución en la posición de encaje en moneda extranjera del sistema financiero. </w:t>
      </w:r>
      <w:r w:rsidRPr="00B52C97">
        <w:rPr>
          <w:lang w:val="es-MX"/>
        </w:rPr>
        <w:t>El referido nivel de RIN equivale a</w:t>
      </w:r>
      <w:r>
        <w:rPr>
          <w:lang w:val="es-MX"/>
        </w:rPr>
        <w:t>proximadamente a</w:t>
      </w:r>
      <w:r w:rsidRPr="00B52C97">
        <w:rPr>
          <w:lang w:val="es-MX"/>
        </w:rPr>
        <w:t xml:space="preserve"> </w:t>
      </w:r>
      <w:r>
        <w:rPr>
          <w:lang w:val="es-MX"/>
        </w:rPr>
        <w:t>8</w:t>
      </w:r>
      <w:r w:rsidRPr="00B52C97">
        <w:rPr>
          <w:lang w:val="es-MX"/>
        </w:rPr>
        <w:t xml:space="preserve"> meses de importación de bienes, lo que refleja la sólida posición externa del país.</w:t>
      </w:r>
      <w:r>
        <w:rPr>
          <w:lang w:val="es-MX"/>
        </w:rPr>
        <w:t xml:space="preserve"> (Banco de Guatemala. </w:t>
      </w:r>
      <w:r w:rsidRPr="00BA5590">
        <w:rPr>
          <w:lang w:val="es-MX"/>
        </w:rPr>
        <w:t xml:space="preserve">Informe </w:t>
      </w:r>
      <w:r>
        <w:rPr>
          <w:lang w:val="es-MX"/>
        </w:rPr>
        <w:t>d</w:t>
      </w:r>
      <w:r w:rsidRPr="00BA5590">
        <w:rPr>
          <w:lang w:val="es-MX"/>
        </w:rPr>
        <w:t xml:space="preserve">el Presidente </w:t>
      </w:r>
      <w:r>
        <w:rPr>
          <w:lang w:val="es-MX"/>
        </w:rPr>
        <w:t>d</w:t>
      </w:r>
      <w:r w:rsidRPr="00BA5590">
        <w:rPr>
          <w:lang w:val="es-MX"/>
        </w:rPr>
        <w:t xml:space="preserve">el Banco </w:t>
      </w:r>
      <w:r>
        <w:rPr>
          <w:lang w:val="es-MX"/>
        </w:rPr>
        <w:t>d</w:t>
      </w:r>
      <w:r w:rsidRPr="00BA5590">
        <w:rPr>
          <w:lang w:val="es-MX"/>
        </w:rPr>
        <w:t xml:space="preserve">e Guatemala </w:t>
      </w:r>
      <w:r>
        <w:rPr>
          <w:lang w:val="es-MX"/>
        </w:rPr>
        <w:t>a</w:t>
      </w:r>
      <w:r w:rsidRPr="00BA5590">
        <w:rPr>
          <w:lang w:val="es-MX"/>
        </w:rPr>
        <w:t xml:space="preserve">nte </w:t>
      </w:r>
      <w:r>
        <w:rPr>
          <w:lang w:val="es-MX"/>
        </w:rPr>
        <w:t>el</w:t>
      </w:r>
      <w:r w:rsidRPr="00BA5590">
        <w:rPr>
          <w:lang w:val="es-MX"/>
        </w:rPr>
        <w:t xml:space="preserve"> Congreso </w:t>
      </w:r>
      <w:r>
        <w:rPr>
          <w:lang w:val="es-MX"/>
        </w:rPr>
        <w:t>d</w:t>
      </w:r>
      <w:r w:rsidRPr="00BA5590">
        <w:rPr>
          <w:lang w:val="es-MX"/>
        </w:rPr>
        <w:t xml:space="preserve">e </w:t>
      </w:r>
      <w:r>
        <w:rPr>
          <w:lang w:val="es-MX"/>
        </w:rPr>
        <w:t>l</w:t>
      </w:r>
      <w:r w:rsidRPr="00BA5590">
        <w:rPr>
          <w:lang w:val="es-MX"/>
        </w:rPr>
        <w:t>a República</w:t>
      </w:r>
      <w:r>
        <w:rPr>
          <w:lang w:val="es-MX"/>
        </w:rPr>
        <w:t xml:space="preserve">, julio </w:t>
      </w:r>
      <w:r w:rsidR="00A3282E">
        <w:rPr>
          <w:lang w:val="es-MX"/>
        </w:rPr>
        <w:t xml:space="preserve">de </w:t>
      </w:r>
      <w:r>
        <w:rPr>
          <w:lang w:val="es-MX"/>
        </w:rPr>
        <w:t>2019).</w:t>
      </w:r>
    </w:p>
    <w:p w:rsidR="00E425C1" w:rsidRDefault="00E425C1" w:rsidP="00E425C1">
      <w:pPr>
        <w:jc w:val="both"/>
        <w:rPr>
          <w:lang w:val="es-MX"/>
        </w:rPr>
      </w:pPr>
    </w:p>
    <w:p w:rsidR="00E425C1" w:rsidRPr="008A6ABA" w:rsidRDefault="00E425C1" w:rsidP="00E425C1">
      <w:pPr>
        <w:jc w:val="both"/>
        <w:rPr>
          <w:lang w:val="es-MX"/>
        </w:rPr>
      </w:pPr>
    </w:p>
    <w:p w:rsidR="00E425C1" w:rsidRDefault="00E425C1" w:rsidP="00E425C1">
      <w:pPr>
        <w:rPr>
          <w:b/>
          <w:lang w:val="es-MX"/>
        </w:rPr>
      </w:pPr>
      <w:r>
        <w:rPr>
          <w:b/>
          <w:lang w:val="es-MX"/>
        </w:rPr>
        <w:br w:type="page"/>
      </w:r>
    </w:p>
    <w:p w:rsidR="00E425C1" w:rsidRPr="00124AD6" w:rsidRDefault="00E425C1" w:rsidP="00E425C1">
      <w:pPr>
        <w:jc w:val="center"/>
        <w:rPr>
          <w:b/>
          <w:lang w:val="es-MX"/>
        </w:rPr>
      </w:pPr>
      <w:r w:rsidRPr="00124AD6">
        <w:rPr>
          <w:b/>
          <w:lang w:val="es-MX"/>
        </w:rPr>
        <w:lastRenderedPageBreak/>
        <w:t xml:space="preserve">Gráfica </w:t>
      </w:r>
      <w:r>
        <w:rPr>
          <w:b/>
          <w:lang w:val="es-MX"/>
        </w:rPr>
        <w:t>5</w:t>
      </w:r>
    </w:p>
    <w:p w:rsidR="00E425C1" w:rsidRPr="00124AD6" w:rsidRDefault="00E425C1" w:rsidP="00E425C1">
      <w:pPr>
        <w:jc w:val="center"/>
        <w:rPr>
          <w:b/>
          <w:lang w:val="es-MX"/>
        </w:rPr>
      </w:pPr>
      <w:r w:rsidRPr="00124AD6">
        <w:rPr>
          <w:b/>
          <w:lang w:val="es-MX"/>
        </w:rPr>
        <w:t>Reservas Monetarias Internacionales 2010</w:t>
      </w:r>
      <w:r w:rsidR="00131277">
        <w:rPr>
          <w:b/>
          <w:lang w:val="es-MX"/>
        </w:rPr>
        <w:t xml:space="preserve"> </w:t>
      </w:r>
      <w:r w:rsidRPr="00124AD6">
        <w:rPr>
          <w:b/>
          <w:lang w:val="es-MX"/>
        </w:rPr>
        <w:t>-</w:t>
      </w:r>
      <w:r w:rsidR="00131277">
        <w:rPr>
          <w:b/>
          <w:lang w:val="es-MX"/>
        </w:rPr>
        <w:t xml:space="preserve"> </w:t>
      </w:r>
      <w:r w:rsidRPr="00124AD6">
        <w:rPr>
          <w:b/>
          <w:lang w:val="es-MX"/>
        </w:rPr>
        <w:t>201</w:t>
      </w:r>
      <w:r>
        <w:rPr>
          <w:b/>
          <w:lang w:val="es-MX"/>
        </w:rPr>
        <w:t>9*</w:t>
      </w:r>
    </w:p>
    <w:p w:rsidR="00E425C1" w:rsidRDefault="00E425C1" w:rsidP="00E425C1">
      <w:pPr>
        <w:jc w:val="center"/>
        <w:rPr>
          <w:noProof/>
          <w:lang w:val="es-GT" w:eastAsia="es-GT"/>
        </w:rPr>
      </w:pPr>
      <w:r w:rsidRPr="00124AD6">
        <w:rPr>
          <w:b/>
          <w:lang w:val="es-MX"/>
        </w:rPr>
        <w:t>(En Millones de US Dólares)</w:t>
      </w:r>
    </w:p>
    <w:p w:rsidR="00E425C1" w:rsidRDefault="00E425C1" w:rsidP="00E425C1">
      <w:pPr>
        <w:jc w:val="center"/>
        <w:rPr>
          <w:noProof/>
          <w:lang w:val="es-GT" w:eastAsia="es-GT"/>
        </w:rPr>
      </w:pPr>
    </w:p>
    <w:p w:rsidR="00E425C1" w:rsidRDefault="00E425C1" w:rsidP="00E425C1">
      <w:pPr>
        <w:jc w:val="center"/>
        <w:rPr>
          <w:b/>
          <w:lang w:val="es-MX"/>
        </w:rPr>
      </w:pPr>
      <w:r>
        <w:rPr>
          <w:noProof/>
          <w:lang w:val="es-GT" w:eastAsia="es-GT"/>
        </w:rPr>
        <w:drawing>
          <wp:inline distT="0" distB="0" distL="0" distR="0" wp14:anchorId="7D0F6478" wp14:editId="528E4382">
            <wp:extent cx="5325466" cy="3840480"/>
            <wp:effectExtent l="0" t="0" r="2794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25C1" w:rsidRPr="00131277" w:rsidRDefault="00387912" w:rsidP="00E425C1">
      <w:pPr>
        <w:rPr>
          <w:sz w:val="18"/>
          <w:lang w:val="es-MX"/>
        </w:rPr>
      </w:pPr>
      <w:r>
        <w:rPr>
          <w:sz w:val="18"/>
          <w:lang w:val="es-MX"/>
        </w:rPr>
        <w:t xml:space="preserve">      </w:t>
      </w:r>
      <w:r w:rsidR="00E425C1" w:rsidRPr="00131277">
        <w:rPr>
          <w:sz w:val="18"/>
          <w:lang w:val="es-MX"/>
        </w:rPr>
        <w:t>*</w:t>
      </w:r>
      <w:r>
        <w:rPr>
          <w:sz w:val="18"/>
          <w:lang w:val="es-MX"/>
        </w:rPr>
        <w:t xml:space="preserve"> </w:t>
      </w:r>
      <w:r w:rsidR="00E425C1" w:rsidRPr="00131277">
        <w:rPr>
          <w:sz w:val="18"/>
          <w:lang w:val="es-MX"/>
        </w:rPr>
        <w:t>Acumulado al 30 de junio de 2019</w:t>
      </w:r>
    </w:p>
    <w:p w:rsidR="00E425C1" w:rsidRPr="00124AD6" w:rsidRDefault="00387912" w:rsidP="00E425C1">
      <w:pPr>
        <w:rPr>
          <w:lang w:val="es-MX"/>
        </w:rPr>
      </w:pPr>
      <w:r>
        <w:rPr>
          <w:sz w:val="18"/>
          <w:lang w:val="es-MX"/>
        </w:rPr>
        <w:t xml:space="preserve">         </w:t>
      </w:r>
      <w:r w:rsidR="00E425C1" w:rsidRPr="00131277">
        <w:rPr>
          <w:sz w:val="18"/>
          <w:lang w:val="es-MX"/>
        </w:rPr>
        <w:t>Fuente: Banco de Guatemala</w:t>
      </w:r>
      <w:r w:rsidR="00E425C1">
        <w:rPr>
          <w:sz w:val="16"/>
          <w:lang w:val="es-MX"/>
        </w:rPr>
        <w:t>.</w:t>
      </w:r>
    </w:p>
    <w:p w:rsidR="00E425C1" w:rsidRDefault="00E425C1" w:rsidP="00E425C1">
      <w:pPr>
        <w:rPr>
          <w:lang w:val="es-MX"/>
        </w:rPr>
      </w:pPr>
    </w:p>
    <w:p w:rsidR="00E425C1" w:rsidRPr="00AA5C01" w:rsidRDefault="00E425C1" w:rsidP="00E425C1">
      <w:pPr>
        <w:jc w:val="both"/>
        <w:rPr>
          <w:sz w:val="14"/>
          <w:lang w:val="es-MX"/>
        </w:rPr>
      </w:pPr>
    </w:p>
    <w:p w:rsidR="00E425C1" w:rsidRDefault="00E425C1" w:rsidP="00E425C1">
      <w:pPr>
        <w:jc w:val="both"/>
        <w:rPr>
          <w:lang w:val="es-MX"/>
        </w:rPr>
      </w:pPr>
      <w:r>
        <w:rPr>
          <w:lang w:val="es-MX"/>
        </w:rPr>
        <w:t>Respecto de la Tasa Líder de Política Monetaria</w:t>
      </w:r>
      <w:r w:rsidR="00131277">
        <w:rPr>
          <w:lang w:val="es-MX"/>
        </w:rPr>
        <w:t>,</w:t>
      </w:r>
      <w:r>
        <w:rPr>
          <w:lang w:val="es-MX"/>
        </w:rPr>
        <w:t xml:space="preserve"> l</w:t>
      </w:r>
      <w:r w:rsidRPr="00124AD6">
        <w:rPr>
          <w:lang w:val="es-MX"/>
        </w:rPr>
        <w:t>a Junta Monetaria</w:t>
      </w:r>
      <w:r>
        <w:rPr>
          <w:lang w:val="es-MX"/>
        </w:rPr>
        <w:t xml:space="preserve"> </w:t>
      </w:r>
      <w:r w:rsidRPr="00124AD6">
        <w:rPr>
          <w:lang w:val="es-MX"/>
        </w:rPr>
        <w:t xml:space="preserve">realizó diversas reuniones durante </w:t>
      </w:r>
      <w:r>
        <w:rPr>
          <w:lang w:val="es-MX"/>
        </w:rPr>
        <w:t xml:space="preserve">el primer semestre </w:t>
      </w:r>
      <w:r w:rsidR="00131277">
        <w:rPr>
          <w:lang w:val="es-MX"/>
        </w:rPr>
        <w:t xml:space="preserve">de </w:t>
      </w:r>
      <w:r w:rsidRPr="00124AD6">
        <w:rPr>
          <w:lang w:val="es-MX"/>
        </w:rPr>
        <w:t>201</w:t>
      </w:r>
      <w:r>
        <w:rPr>
          <w:lang w:val="es-MX"/>
        </w:rPr>
        <w:t>9</w:t>
      </w:r>
      <w:r w:rsidRPr="00124AD6">
        <w:rPr>
          <w:lang w:val="es-MX"/>
        </w:rPr>
        <w:t xml:space="preserve"> para decidir sobre el nivel de la tasa de interés líder. </w:t>
      </w:r>
      <w:r>
        <w:rPr>
          <w:lang w:val="es-MX"/>
        </w:rPr>
        <w:t>De acuerdo con el Banco de Guatemala, hasta junio la tasa se mantiene en 2.75</w:t>
      </w:r>
      <w:r w:rsidR="00131277">
        <w:rPr>
          <w:lang w:val="es-MX"/>
        </w:rPr>
        <w:t>%</w:t>
      </w:r>
      <w:r>
        <w:rPr>
          <w:lang w:val="es-MX"/>
        </w:rPr>
        <w:t>.</w:t>
      </w:r>
    </w:p>
    <w:p w:rsidR="00E425C1" w:rsidRDefault="00E425C1" w:rsidP="00E425C1">
      <w:pPr>
        <w:jc w:val="both"/>
        <w:rPr>
          <w:lang w:val="es-MX"/>
        </w:rPr>
      </w:pPr>
    </w:p>
    <w:p w:rsidR="00E425C1" w:rsidRPr="00131277" w:rsidRDefault="00E425C1" w:rsidP="00E425C1">
      <w:pPr>
        <w:jc w:val="both"/>
        <w:rPr>
          <w:b/>
        </w:rPr>
      </w:pPr>
      <w:r w:rsidRPr="000E2CB3">
        <w:rPr>
          <w:lang w:val="es-MX"/>
        </w:rPr>
        <w:t xml:space="preserve">Para </w:t>
      </w:r>
      <w:r w:rsidR="00131277">
        <w:rPr>
          <w:lang w:val="es-MX"/>
        </w:rPr>
        <w:t>adoptar</w:t>
      </w:r>
      <w:r w:rsidRPr="000E2CB3">
        <w:rPr>
          <w:lang w:val="es-MX"/>
        </w:rPr>
        <w:t xml:space="preserve"> esa decisión tom</w:t>
      </w:r>
      <w:r>
        <w:rPr>
          <w:lang w:val="es-MX"/>
        </w:rPr>
        <w:t>ó</w:t>
      </w:r>
      <w:r w:rsidRPr="000E2CB3">
        <w:rPr>
          <w:lang w:val="es-MX"/>
        </w:rPr>
        <w:t xml:space="preserve"> como base el análisis integral de la coyun</w:t>
      </w:r>
      <w:r>
        <w:rPr>
          <w:lang w:val="es-MX"/>
        </w:rPr>
        <w:t>tura tanto externa como interna</w:t>
      </w:r>
      <w:r>
        <w:t>, expresado en un balance de riesgos de inflación.</w:t>
      </w:r>
    </w:p>
    <w:p w:rsidR="00E425C1" w:rsidRDefault="00E425C1" w:rsidP="00E425C1">
      <w:pPr>
        <w:jc w:val="both"/>
        <w:rPr>
          <w:b/>
          <w:lang w:val="es-MX"/>
        </w:rPr>
      </w:pPr>
    </w:p>
    <w:p w:rsidR="00E425C1" w:rsidRDefault="00E425C1" w:rsidP="00E425C1">
      <w:pPr>
        <w:jc w:val="both"/>
        <w:rPr>
          <w:lang w:val="es-MX"/>
        </w:rPr>
      </w:pPr>
      <w:r w:rsidRPr="00F27DAA">
        <w:rPr>
          <w:lang w:val="es-MX"/>
        </w:rPr>
        <w:t>En el ámbito externo, consideró que las proyecciones de crecimiento,</w:t>
      </w:r>
      <w:r>
        <w:rPr>
          <w:lang w:val="es-MX"/>
        </w:rPr>
        <w:t xml:space="preserve"> </w:t>
      </w:r>
      <w:r w:rsidRPr="00F27DAA">
        <w:rPr>
          <w:lang w:val="es-MX"/>
        </w:rPr>
        <w:t>económico a nivel mundial siguen siendo favorables tanto para 2019 como para 2020</w:t>
      </w:r>
      <w:r w:rsidR="00565001">
        <w:rPr>
          <w:lang w:val="es-MX"/>
        </w:rPr>
        <w:t>;</w:t>
      </w:r>
      <w:r w:rsidRPr="00F27DAA">
        <w:rPr>
          <w:lang w:val="es-MX"/>
        </w:rPr>
        <w:t xml:space="preserve"> los pronósticos del precio medio del petróleo muestran una ten</w:t>
      </w:r>
      <w:r w:rsidR="00565001">
        <w:rPr>
          <w:lang w:val="es-MX"/>
        </w:rPr>
        <w:t>dencia moderadamente creciente.</w:t>
      </w:r>
    </w:p>
    <w:p w:rsidR="00E425C1" w:rsidRDefault="00E425C1" w:rsidP="00E425C1">
      <w:pPr>
        <w:jc w:val="both"/>
        <w:rPr>
          <w:lang w:val="es-MX"/>
        </w:rPr>
      </w:pPr>
    </w:p>
    <w:p w:rsidR="00E425C1" w:rsidRPr="00F27DAA" w:rsidRDefault="00E425C1" w:rsidP="00E425C1">
      <w:pPr>
        <w:jc w:val="both"/>
        <w:rPr>
          <w:lang w:val="es-MX"/>
        </w:rPr>
      </w:pPr>
      <w:r w:rsidRPr="00F27DAA">
        <w:rPr>
          <w:lang w:val="es-MX"/>
        </w:rPr>
        <w:t xml:space="preserve">En el ámbito interno, destacó que el comportamiento de </w:t>
      </w:r>
      <w:r>
        <w:rPr>
          <w:lang w:val="es-MX"/>
        </w:rPr>
        <w:t>los</w:t>
      </w:r>
      <w:r w:rsidRPr="00F27DAA">
        <w:rPr>
          <w:lang w:val="es-MX"/>
        </w:rPr>
        <w:t xml:space="preserve"> indicadores de corto plazo de la actividad económica muestran un dinamismo congruente con el crecimiento económico anual previsto (entre 3.0% y 3.8%). Adicionalmente, reiteró que los pronósticos y las expectativas de inflación permiten prever que ésta se ubicaría dentro de la meta (4.0% +/- 1 punto porcentual) en 2019 y en 2020.</w:t>
      </w:r>
    </w:p>
    <w:p w:rsidR="00E425C1" w:rsidRDefault="00E425C1" w:rsidP="00E425C1">
      <w:pPr>
        <w:jc w:val="both"/>
        <w:rPr>
          <w:b/>
          <w:lang w:val="es-MX"/>
        </w:rPr>
      </w:pPr>
    </w:p>
    <w:p w:rsidR="00E425C1" w:rsidRPr="00124AD6" w:rsidRDefault="00E425C1" w:rsidP="00E425C1">
      <w:pPr>
        <w:jc w:val="center"/>
        <w:rPr>
          <w:b/>
          <w:lang w:val="es-MX"/>
        </w:rPr>
      </w:pPr>
      <w:r w:rsidRPr="00124AD6">
        <w:rPr>
          <w:b/>
          <w:lang w:val="es-MX"/>
        </w:rPr>
        <w:lastRenderedPageBreak/>
        <w:t xml:space="preserve">Gráfica </w:t>
      </w:r>
      <w:r>
        <w:rPr>
          <w:b/>
          <w:lang w:val="es-MX"/>
        </w:rPr>
        <w:t>6</w:t>
      </w:r>
    </w:p>
    <w:p w:rsidR="00E425C1" w:rsidRPr="00124AD6" w:rsidRDefault="00E425C1" w:rsidP="00E425C1">
      <w:pPr>
        <w:jc w:val="center"/>
        <w:rPr>
          <w:b/>
          <w:lang w:val="es-MX"/>
        </w:rPr>
      </w:pPr>
      <w:r w:rsidRPr="00124AD6">
        <w:rPr>
          <w:b/>
          <w:lang w:val="es-MX"/>
        </w:rPr>
        <w:t xml:space="preserve">Tasa </w:t>
      </w:r>
      <w:r w:rsidR="00C961E3">
        <w:rPr>
          <w:b/>
          <w:lang w:val="es-MX"/>
        </w:rPr>
        <w:t xml:space="preserve">de Interés </w:t>
      </w:r>
      <w:r w:rsidRPr="00124AD6">
        <w:rPr>
          <w:b/>
          <w:lang w:val="es-MX"/>
        </w:rPr>
        <w:t>Líder</w:t>
      </w:r>
      <w:r>
        <w:rPr>
          <w:b/>
          <w:lang w:val="es-MX"/>
        </w:rPr>
        <w:t xml:space="preserve"> </w:t>
      </w:r>
      <w:r w:rsidRPr="00124AD6">
        <w:rPr>
          <w:b/>
          <w:lang w:val="es-MX"/>
        </w:rPr>
        <w:t xml:space="preserve">de </w:t>
      </w:r>
      <w:r>
        <w:rPr>
          <w:b/>
          <w:lang w:val="es-MX"/>
        </w:rPr>
        <w:t xml:space="preserve">la </w:t>
      </w:r>
      <w:r w:rsidRPr="00124AD6">
        <w:rPr>
          <w:b/>
          <w:lang w:val="es-MX"/>
        </w:rPr>
        <w:t>Política Monetaria</w:t>
      </w:r>
    </w:p>
    <w:p w:rsidR="00E425C1" w:rsidRPr="00124AD6" w:rsidRDefault="00E425C1" w:rsidP="00E425C1">
      <w:pPr>
        <w:jc w:val="center"/>
        <w:rPr>
          <w:b/>
          <w:lang w:val="es-MX"/>
        </w:rPr>
      </w:pPr>
      <w:r w:rsidRPr="00124AD6">
        <w:rPr>
          <w:b/>
          <w:lang w:val="es-MX"/>
        </w:rPr>
        <w:t>(Período enero 20</w:t>
      </w:r>
      <w:r w:rsidR="00567AE9">
        <w:rPr>
          <w:b/>
          <w:lang w:val="es-MX"/>
        </w:rPr>
        <w:t>09</w:t>
      </w:r>
      <w:r w:rsidRPr="00124AD6">
        <w:rPr>
          <w:b/>
          <w:lang w:val="es-MX"/>
        </w:rPr>
        <w:t xml:space="preserve"> - </w:t>
      </w:r>
      <w:r>
        <w:rPr>
          <w:b/>
          <w:lang w:val="es-MX"/>
        </w:rPr>
        <w:t>junio</w:t>
      </w:r>
      <w:r w:rsidRPr="00124AD6">
        <w:rPr>
          <w:b/>
          <w:lang w:val="es-MX"/>
        </w:rPr>
        <w:t xml:space="preserve"> 201</w:t>
      </w:r>
      <w:r>
        <w:rPr>
          <w:b/>
          <w:lang w:val="es-MX"/>
        </w:rPr>
        <w:t>9</w:t>
      </w:r>
      <w:r w:rsidRPr="00124AD6">
        <w:rPr>
          <w:b/>
          <w:lang w:val="es-MX"/>
        </w:rPr>
        <w:t>)</w:t>
      </w:r>
    </w:p>
    <w:p w:rsidR="00E425C1" w:rsidRPr="00124AD6" w:rsidRDefault="00E425C1" w:rsidP="00E425C1">
      <w:pPr>
        <w:jc w:val="both"/>
        <w:rPr>
          <w:lang w:val="es-MX"/>
        </w:rPr>
      </w:pPr>
      <w:r>
        <w:rPr>
          <w:noProof/>
          <w:lang w:val="es-GT" w:eastAsia="es-GT"/>
        </w:rPr>
        <w:drawing>
          <wp:inline distT="0" distB="0" distL="0" distR="0" wp14:anchorId="36C0AC11" wp14:editId="1895D9DA">
            <wp:extent cx="5609230" cy="2825087"/>
            <wp:effectExtent l="0" t="0" r="10795" b="139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25C1" w:rsidRPr="00442774" w:rsidRDefault="00E425C1" w:rsidP="00E425C1">
      <w:pPr>
        <w:rPr>
          <w:sz w:val="16"/>
          <w:lang w:val="es-MX"/>
        </w:rPr>
      </w:pPr>
      <w:r w:rsidRPr="00565001">
        <w:rPr>
          <w:sz w:val="18"/>
          <w:lang w:val="es-MX"/>
        </w:rPr>
        <w:t>Fuente: Banco de Guatemala</w:t>
      </w:r>
      <w:r>
        <w:rPr>
          <w:sz w:val="16"/>
          <w:lang w:val="es-MX"/>
        </w:rPr>
        <w:t>.</w:t>
      </w:r>
    </w:p>
    <w:p w:rsidR="00E425C1" w:rsidRDefault="00E425C1" w:rsidP="00E425C1">
      <w:pPr>
        <w:jc w:val="both"/>
        <w:rPr>
          <w:lang w:val="es-MX"/>
        </w:rPr>
      </w:pPr>
    </w:p>
    <w:p w:rsidR="00E425C1" w:rsidRPr="00F27DAA" w:rsidRDefault="00E425C1" w:rsidP="00E425C1">
      <w:pPr>
        <w:jc w:val="both"/>
        <w:rPr>
          <w:lang w:val="es-MX"/>
        </w:rPr>
      </w:pPr>
      <w:r w:rsidRPr="00F27DAA">
        <w:rPr>
          <w:lang w:val="es-MX"/>
        </w:rPr>
        <w:t xml:space="preserve">De acuerdo con el Banco de Guatemala, </w:t>
      </w:r>
      <w:r w:rsidR="00565001">
        <w:rPr>
          <w:lang w:val="es-MX"/>
        </w:rPr>
        <w:t>e</w:t>
      </w:r>
      <w:r w:rsidRPr="00F27DAA">
        <w:rPr>
          <w:lang w:val="es-MX"/>
        </w:rPr>
        <w:t xml:space="preserve">l tipo de cambio </w:t>
      </w:r>
      <w:r>
        <w:rPr>
          <w:lang w:val="es-MX"/>
        </w:rPr>
        <w:t xml:space="preserve">promedio </w:t>
      </w:r>
      <w:r w:rsidRPr="00F27DAA">
        <w:rPr>
          <w:lang w:val="es-MX"/>
        </w:rPr>
        <w:t>nominal registró, al 30 de junio</w:t>
      </w:r>
      <w:r>
        <w:rPr>
          <w:lang w:val="es-MX"/>
        </w:rPr>
        <w:t xml:space="preserve"> </w:t>
      </w:r>
      <w:r w:rsidR="00565001">
        <w:rPr>
          <w:lang w:val="es-MX"/>
        </w:rPr>
        <w:t xml:space="preserve">de 2019 </w:t>
      </w:r>
      <w:r>
        <w:rPr>
          <w:lang w:val="es-MX"/>
        </w:rPr>
        <w:t>un valor de Q</w:t>
      </w:r>
      <w:r w:rsidR="00565001">
        <w:rPr>
          <w:lang w:val="es-MX"/>
        </w:rPr>
        <w:t>.</w:t>
      </w:r>
      <w:r>
        <w:rPr>
          <w:lang w:val="es-MX"/>
        </w:rPr>
        <w:t xml:space="preserve">7.70 por </w:t>
      </w:r>
      <w:r w:rsidR="00565001">
        <w:rPr>
          <w:lang w:val="es-MX"/>
        </w:rPr>
        <w:t>US</w:t>
      </w:r>
      <w:r>
        <w:rPr>
          <w:lang w:val="es-MX"/>
        </w:rPr>
        <w:t xml:space="preserve">$|1.00, </w:t>
      </w:r>
      <w:r w:rsidRPr="00F27DAA">
        <w:rPr>
          <w:lang w:val="es-MX"/>
        </w:rPr>
        <w:t>resultado asociado al comportamiento</w:t>
      </w:r>
      <w:r w:rsidR="00565001">
        <w:rPr>
          <w:lang w:val="es-MX"/>
        </w:rPr>
        <w:t xml:space="preserve"> de</w:t>
      </w:r>
      <w:r w:rsidRPr="00F27DAA">
        <w:rPr>
          <w:lang w:val="es-MX"/>
        </w:rPr>
        <w:t xml:space="preserve"> factores </w:t>
      </w:r>
      <w:r>
        <w:rPr>
          <w:lang w:val="es-MX"/>
        </w:rPr>
        <w:t>como</w:t>
      </w:r>
      <w:r w:rsidRPr="00F27DAA">
        <w:rPr>
          <w:lang w:val="es-MX"/>
        </w:rPr>
        <w:t xml:space="preserve"> el flujo de remesas familiares</w:t>
      </w:r>
      <w:r>
        <w:rPr>
          <w:lang w:val="es-MX"/>
        </w:rPr>
        <w:t>,</w:t>
      </w:r>
      <w:r w:rsidRPr="00F27DAA">
        <w:rPr>
          <w:lang w:val="es-MX"/>
        </w:rPr>
        <w:t xml:space="preserve"> que creció a un menor ritmo respecto del año previo</w:t>
      </w:r>
      <w:r w:rsidR="00565001">
        <w:rPr>
          <w:lang w:val="es-MX"/>
        </w:rPr>
        <w:t>;</w:t>
      </w:r>
      <w:r w:rsidRPr="00F27DAA">
        <w:rPr>
          <w:lang w:val="es-MX"/>
        </w:rPr>
        <w:t xml:space="preserve"> en tanto que, el valor de las importaciones continuó mostrando dinamismo y el valor de las exportaciones disminuyó. En ese contexto, el Banco Central continuó participando en el mercado cambiario con el objetivo </w:t>
      </w:r>
      <w:r w:rsidR="00565001">
        <w:rPr>
          <w:lang w:val="es-MX"/>
        </w:rPr>
        <w:t xml:space="preserve">de </w:t>
      </w:r>
      <w:r w:rsidRPr="00F27DAA">
        <w:rPr>
          <w:lang w:val="es-MX"/>
        </w:rPr>
        <w:t>reducir la volatilidad del tipo de cambio nominal, sin alterar su tendencia.</w:t>
      </w:r>
    </w:p>
    <w:p w:rsidR="00E425C1" w:rsidRPr="00C961E3" w:rsidRDefault="00E425C1" w:rsidP="00E425C1">
      <w:pPr>
        <w:jc w:val="center"/>
        <w:rPr>
          <w:b/>
          <w:sz w:val="20"/>
          <w:lang w:val="es-MX"/>
        </w:rPr>
      </w:pPr>
    </w:p>
    <w:p w:rsidR="00E425C1" w:rsidRPr="00124AD6" w:rsidRDefault="00E425C1" w:rsidP="00E425C1">
      <w:pPr>
        <w:jc w:val="center"/>
        <w:rPr>
          <w:b/>
          <w:lang w:val="es-MX"/>
        </w:rPr>
      </w:pPr>
      <w:r w:rsidRPr="00124AD6">
        <w:rPr>
          <w:b/>
          <w:lang w:val="es-MX"/>
        </w:rPr>
        <w:t xml:space="preserve">Gráfica </w:t>
      </w:r>
      <w:r>
        <w:rPr>
          <w:b/>
          <w:lang w:val="es-MX"/>
        </w:rPr>
        <w:t>7</w:t>
      </w:r>
    </w:p>
    <w:p w:rsidR="00E425C1" w:rsidRPr="00124AD6" w:rsidRDefault="00E425C1" w:rsidP="00E425C1">
      <w:pPr>
        <w:jc w:val="center"/>
        <w:rPr>
          <w:b/>
          <w:lang w:val="es-MX"/>
        </w:rPr>
      </w:pPr>
      <w:r w:rsidRPr="00124AD6">
        <w:rPr>
          <w:b/>
          <w:lang w:val="es-MX"/>
        </w:rPr>
        <w:t>Tipo de Cambio</w:t>
      </w:r>
    </w:p>
    <w:p w:rsidR="00E425C1" w:rsidRDefault="00E425C1" w:rsidP="00E425C1">
      <w:pPr>
        <w:jc w:val="center"/>
        <w:rPr>
          <w:b/>
          <w:lang w:val="es-MX"/>
        </w:rPr>
      </w:pPr>
      <w:r w:rsidRPr="00124AD6">
        <w:rPr>
          <w:b/>
          <w:lang w:val="es-MX"/>
        </w:rPr>
        <w:t>(Quetzales por US</w:t>
      </w:r>
      <w:r>
        <w:rPr>
          <w:b/>
          <w:lang w:val="es-MX"/>
        </w:rPr>
        <w:t>$1</w:t>
      </w:r>
      <w:r w:rsidR="00387912">
        <w:rPr>
          <w:b/>
          <w:lang w:val="es-MX"/>
        </w:rPr>
        <w:t>.00</w:t>
      </w:r>
      <w:r w:rsidRPr="00124AD6">
        <w:rPr>
          <w:b/>
          <w:lang w:val="es-MX"/>
        </w:rPr>
        <w:t>)</w:t>
      </w:r>
    </w:p>
    <w:p w:rsidR="00E425C1" w:rsidRDefault="00E425C1" w:rsidP="00E425C1">
      <w:pPr>
        <w:jc w:val="center"/>
        <w:rPr>
          <w:b/>
          <w:lang w:val="es-MX"/>
        </w:rPr>
      </w:pPr>
      <w:r>
        <w:rPr>
          <w:noProof/>
          <w:lang w:val="es-GT" w:eastAsia="es-GT"/>
        </w:rPr>
        <w:drawing>
          <wp:inline distT="0" distB="0" distL="0" distR="0" wp14:anchorId="47D33339" wp14:editId="0C60DFF0">
            <wp:extent cx="5609230" cy="2497540"/>
            <wp:effectExtent l="0" t="0" r="10795" b="1714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25C1" w:rsidRDefault="00387912" w:rsidP="00E425C1">
      <w:pPr>
        <w:rPr>
          <w:sz w:val="16"/>
          <w:lang w:val="es-MX"/>
        </w:rPr>
      </w:pPr>
      <w:r>
        <w:rPr>
          <w:sz w:val="18"/>
          <w:lang w:val="es-MX"/>
        </w:rPr>
        <w:t xml:space="preserve">  </w:t>
      </w:r>
      <w:r w:rsidR="00E425C1" w:rsidRPr="00565001">
        <w:rPr>
          <w:sz w:val="18"/>
          <w:lang w:val="es-MX"/>
        </w:rPr>
        <w:t>Fuente: Banco de Guatemala</w:t>
      </w:r>
      <w:r w:rsidR="00E425C1">
        <w:rPr>
          <w:sz w:val="16"/>
          <w:lang w:val="es-MX"/>
        </w:rPr>
        <w:t>.</w:t>
      </w:r>
    </w:p>
    <w:p w:rsidR="00E425C1" w:rsidRPr="00340E15" w:rsidRDefault="00E425C1" w:rsidP="00E425C1">
      <w:pPr>
        <w:jc w:val="both"/>
      </w:pPr>
      <w:r>
        <w:lastRenderedPageBreak/>
        <w:t>El Banco de Guatemala, conforme a la política cambiaria vigente, ha utilizado la regla de participación en el mercado institucional de divisas</w:t>
      </w:r>
      <w:r w:rsidR="00565001">
        <w:t>;</w:t>
      </w:r>
      <w:r>
        <w:t xml:space="preserve"> a</w:t>
      </w:r>
      <w:r w:rsidRPr="00340E15">
        <w:t xml:space="preserve">l </w:t>
      </w:r>
      <w:r>
        <w:t>30 de junio de 2019, ha comprado US$786.7 millones y ha efectuado ventas por US$150.3 millones. En ese sentido, la participación neta (compras menos ventas) del Banco Central en lo que va del presente año se sitúa en US$636.4 millones, equivalente</w:t>
      </w:r>
      <w:r w:rsidR="00565001">
        <w:t>s</w:t>
      </w:r>
      <w:r>
        <w:t xml:space="preserve"> a 2.6</w:t>
      </w:r>
      <w:r w:rsidR="00565001">
        <w:t>% del total negociado.</w:t>
      </w:r>
    </w:p>
    <w:p w:rsidR="00E425C1" w:rsidRDefault="00E425C1" w:rsidP="00E425C1"/>
    <w:p w:rsidR="00E425C1" w:rsidRDefault="00E425C1" w:rsidP="00E425C1"/>
    <w:p w:rsidR="00E425C1" w:rsidRDefault="00E425C1" w:rsidP="00E425C1">
      <w:pPr>
        <w:rPr>
          <w:sz w:val="16"/>
          <w:lang w:val="es-MX"/>
        </w:rPr>
      </w:pPr>
      <w:r>
        <w:rPr>
          <w:sz w:val="16"/>
          <w:lang w:val="es-MX"/>
        </w:rPr>
        <w:br w:type="page"/>
      </w:r>
    </w:p>
    <w:p w:rsidR="00E425C1" w:rsidRDefault="00E425C1" w:rsidP="00E425C1">
      <w:pPr>
        <w:rPr>
          <w:sz w:val="16"/>
          <w:lang w:val="es-MX"/>
        </w:rPr>
      </w:pPr>
    </w:p>
    <w:p w:rsidR="00E425C1" w:rsidRPr="00680C5C" w:rsidRDefault="00E425C1" w:rsidP="006D5787">
      <w:pPr>
        <w:pStyle w:val="Ttulo1"/>
        <w:numPr>
          <w:ilvl w:val="0"/>
          <w:numId w:val="2"/>
        </w:numPr>
        <w:tabs>
          <w:tab w:val="num" w:pos="0"/>
        </w:tabs>
        <w:suppressAutoHyphens/>
        <w:ind w:left="709"/>
      </w:pPr>
      <w:bookmarkStart w:id="8" w:name="_Toc20495562"/>
      <w:r w:rsidRPr="00680C5C">
        <w:t>Situación Financiera de la Administración Central</w:t>
      </w:r>
      <w:bookmarkEnd w:id="8"/>
    </w:p>
    <w:p w:rsidR="00E425C1" w:rsidRPr="00835314" w:rsidRDefault="00E425C1" w:rsidP="0059599D">
      <w:pPr>
        <w:pStyle w:val="Ttulo2"/>
        <w:numPr>
          <w:ilvl w:val="0"/>
          <w:numId w:val="35"/>
        </w:numPr>
        <w:ind w:left="709" w:hanging="709"/>
        <w:rPr>
          <w:rFonts w:ascii="Times New Roman" w:hAnsi="Times New Roman"/>
          <w:color w:val="auto"/>
          <w:sz w:val="24"/>
        </w:rPr>
      </w:pPr>
      <w:bookmarkStart w:id="9" w:name="_Toc20495563"/>
      <w:r w:rsidRPr="00835314">
        <w:rPr>
          <w:rFonts w:ascii="Times New Roman" w:hAnsi="Times New Roman"/>
          <w:color w:val="auto"/>
          <w:sz w:val="24"/>
        </w:rPr>
        <w:t>Ingresos</w:t>
      </w:r>
      <w:bookmarkEnd w:id="9"/>
    </w:p>
    <w:p w:rsidR="00E425C1" w:rsidRDefault="00E425C1" w:rsidP="00E425C1">
      <w:pPr>
        <w:pStyle w:val="Default"/>
        <w:jc w:val="both"/>
        <w:rPr>
          <w:rFonts w:ascii="Times New Roman" w:hAnsi="Times New Roman" w:cs="Times New Roman"/>
        </w:rPr>
      </w:pPr>
    </w:p>
    <w:p w:rsidR="00E425C1" w:rsidRDefault="00E425C1" w:rsidP="00E425C1">
      <w:pPr>
        <w:pStyle w:val="Default"/>
        <w:jc w:val="both"/>
        <w:rPr>
          <w:rFonts w:ascii="Times New Roman" w:hAnsi="Times New Roman" w:cs="Times New Roman"/>
        </w:rPr>
      </w:pPr>
      <w:r w:rsidRPr="00923BF4">
        <w:rPr>
          <w:rFonts w:ascii="Times New Roman" w:hAnsi="Times New Roman" w:cs="Times New Roman"/>
        </w:rPr>
        <w:t>Los ingresos tributarios acumulados al 30 de junio de 201</w:t>
      </w:r>
      <w:r>
        <w:rPr>
          <w:rFonts w:ascii="Times New Roman" w:hAnsi="Times New Roman" w:cs="Times New Roman"/>
        </w:rPr>
        <w:t>9</w:t>
      </w:r>
      <w:r w:rsidRPr="00923BF4">
        <w:rPr>
          <w:rFonts w:ascii="Times New Roman" w:hAnsi="Times New Roman" w:cs="Times New Roman"/>
        </w:rPr>
        <w:t xml:space="preserve"> superaron </w:t>
      </w:r>
      <w:r>
        <w:rPr>
          <w:rFonts w:ascii="Times New Roman" w:hAnsi="Times New Roman" w:cs="Times New Roman"/>
        </w:rPr>
        <w:t>por un monto de Q</w:t>
      </w:r>
      <w:r w:rsidR="008E34D2">
        <w:rPr>
          <w:rFonts w:ascii="Times New Roman" w:hAnsi="Times New Roman" w:cs="Times New Roman"/>
        </w:rPr>
        <w:t>.</w:t>
      </w:r>
      <w:r>
        <w:rPr>
          <w:rFonts w:ascii="Times New Roman" w:hAnsi="Times New Roman" w:cs="Times New Roman"/>
        </w:rPr>
        <w:t>1,151.8 millones</w:t>
      </w:r>
      <w:r w:rsidRPr="00923BF4">
        <w:rPr>
          <w:rFonts w:ascii="Times New Roman" w:hAnsi="Times New Roman" w:cs="Times New Roman"/>
        </w:rPr>
        <w:t xml:space="preserve"> </w:t>
      </w:r>
      <w:r>
        <w:rPr>
          <w:rFonts w:ascii="Times New Roman" w:hAnsi="Times New Roman" w:cs="Times New Roman"/>
        </w:rPr>
        <w:t>(equivalente al 4.0</w:t>
      </w:r>
      <w:r w:rsidRPr="00923BF4">
        <w:rPr>
          <w:rFonts w:ascii="Times New Roman" w:hAnsi="Times New Roman" w:cs="Times New Roman"/>
        </w:rPr>
        <w:t>%</w:t>
      </w:r>
      <w:r>
        <w:rPr>
          <w:rFonts w:ascii="Times New Roman" w:hAnsi="Times New Roman" w:cs="Times New Roman"/>
        </w:rPr>
        <w:t xml:space="preserve">), </w:t>
      </w:r>
      <w:r w:rsidR="008E34D2">
        <w:rPr>
          <w:rFonts w:ascii="Times New Roman" w:hAnsi="Times New Roman" w:cs="Times New Roman"/>
        </w:rPr>
        <w:t>a</w:t>
      </w:r>
      <w:r w:rsidRPr="00923BF4">
        <w:rPr>
          <w:rFonts w:ascii="Times New Roman" w:hAnsi="Times New Roman" w:cs="Times New Roman"/>
        </w:rPr>
        <w:t xml:space="preserve"> la recaudación observada para el mismo periodo </w:t>
      </w:r>
      <w:r w:rsidR="008E34D2">
        <w:rPr>
          <w:rFonts w:ascii="Times New Roman" w:hAnsi="Times New Roman" w:cs="Times New Roman"/>
        </w:rPr>
        <w:t>de</w:t>
      </w:r>
      <w:r w:rsidRPr="00923BF4">
        <w:rPr>
          <w:rFonts w:ascii="Times New Roman" w:hAnsi="Times New Roman" w:cs="Times New Roman"/>
        </w:rPr>
        <w:t xml:space="preserve"> 201</w:t>
      </w:r>
      <w:r>
        <w:rPr>
          <w:rFonts w:ascii="Times New Roman" w:hAnsi="Times New Roman" w:cs="Times New Roman"/>
        </w:rPr>
        <w:t>8</w:t>
      </w:r>
      <w:r w:rsidRPr="00923BF4">
        <w:rPr>
          <w:rFonts w:ascii="Times New Roman" w:hAnsi="Times New Roman" w:cs="Times New Roman"/>
        </w:rPr>
        <w:t xml:space="preserve">. El comportamiento está explicado </w:t>
      </w:r>
      <w:r w:rsidR="008E34D2">
        <w:rPr>
          <w:rFonts w:ascii="Times New Roman" w:hAnsi="Times New Roman" w:cs="Times New Roman"/>
        </w:rPr>
        <w:t>por</w:t>
      </w:r>
      <w:r w:rsidRPr="00923BF4">
        <w:rPr>
          <w:rFonts w:ascii="Times New Roman" w:hAnsi="Times New Roman" w:cs="Times New Roman"/>
        </w:rPr>
        <w:t xml:space="preserve"> el crecimiento de la recaudación por concepto de impuestos </w:t>
      </w:r>
      <w:r>
        <w:rPr>
          <w:rFonts w:ascii="Times New Roman" w:hAnsi="Times New Roman" w:cs="Times New Roman"/>
        </w:rPr>
        <w:t>al comercio exterior en 6.4%</w:t>
      </w:r>
      <w:r w:rsidR="008E34D2">
        <w:rPr>
          <w:rFonts w:ascii="Times New Roman" w:hAnsi="Times New Roman" w:cs="Times New Roman"/>
        </w:rPr>
        <w:t>;</w:t>
      </w:r>
      <w:r>
        <w:rPr>
          <w:rFonts w:ascii="Times New Roman" w:hAnsi="Times New Roman" w:cs="Times New Roman"/>
        </w:rPr>
        <w:t xml:space="preserve"> principalmente por el Impuesto al Valor Agregado IVA a las Importaciones, con un aumento de Q</w:t>
      </w:r>
      <w:r w:rsidR="008E34D2">
        <w:rPr>
          <w:rFonts w:ascii="Times New Roman" w:hAnsi="Times New Roman" w:cs="Times New Roman"/>
        </w:rPr>
        <w:t>.</w:t>
      </w:r>
      <w:r>
        <w:rPr>
          <w:rFonts w:ascii="Times New Roman" w:hAnsi="Times New Roman" w:cs="Times New Roman"/>
        </w:rPr>
        <w:t>433.2 millones (equivalente</w:t>
      </w:r>
      <w:r w:rsidR="008E34D2">
        <w:rPr>
          <w:rFonts w:ascii="Times New Roman" w:hAnsi="Times New Roman" w:cs="Times New Roman"/>
        </w:rPr>
        <w:t>s</w:t>
      </w:r>
      <w:r>
        <w:rPr>
          <w:rFonts w:ascii="Times New Roman" w:hAnsi="Times New Roman" w:cs="Times New Roman"/>
        </w:rPr>
        <w:t xml:space="preserve"> al 6.3%) a lo o</w:t>
      </w:r>
      <w:r w:rsidR="008E34D2">
        <w:rPr>
          <w:rFonts w:ascii="Times New Roman" w:hAnsi="Times New Roman" w:cs="Times New Roman"/>
        </w:rPr>
        <w:t>bservado en 2018 en este rubro.</w:t>
      </w:r>
    </w:p>
    <w:p w:rsidR="00E425C1" w:rsidRDefault="00E425C1" w:rsidP="00E425C1">
      <w:pPr>
        <w:pStyle w:val="Default"/>
        <w:jc w:val="both"/>
        <w:rPr>
          <w:rFonts w:ascii="Times New Roman" w:hAnsi="Times New Roman" w:cs="Times New Roman"/>
        </w:rPr>
      </w:pPr>
      <w:r>
        <w:rPr>
          <w:rFonts w:ascii="Times New Roman" w:hAnsi="Times New Roman" w:cs="Times New Roman"/>
        </w:rPr>
        <w:t xml:space="preserve"> </w:t>
      </w:r>
    </w:p>
    <w:p w:rsidR="00E425C1" w:rsidRDefault="00E425C1" w:rsidP="00E425C1">
      <w:pPr>
        <w:pStyle w:val="Default"/>
        <w:jc w:val="both"/>
        <w:rPr>
          <w:rFonts w:ascii="Times New Roman" w:hAnsi="Times New Roman" w:cs="Times New Roman"/>
        </w:rPr>
      </w:pPr>
      <w:r>
        <w:rPr>
          <w:rFonts w:ascii="Times New Roman" w:hAnsi="Times New Roman" w:cs="Times New Roman"/>
        </w:rPr>
        <w:t>Por el lado de los impuestos internos el crecimiento fue de Q</w:t>
      </w:r>
      <w:r w:rsidR="008E34D2">
        <w:rPr>
          <w:rFonts w:ascii="Times New Roman" w:hAnsi="Times New Roman" w:cs="Times New Roman"/>
        </w:rPr>
        <w:t>.</w:t>
      </w:r>
      <w:r>
        <w:rPr>
          <w:rFonts w:ascii="Times New Roman" w:hAnsi="Times New Roman" w:cs="Times New Roman"/>
        </w:rPr>
        <w:t xml:space="preserve">637.5 millones respecto </w:t>
      </w:r>
      <w:r w:rsidR="008E34D2">
        <w:rPr>
          <w:rFonts w:ascii="Times New Roman" w:hAnsi="Times New Roman" w:cs="Times New Roman"/>
        </w:rPr>
        <w:t>de</w:t>
      </w:r>
      <w:r>
        <w:rPr>
          <w:rFonts w:ascii="Times New Roman" w:hAnsi="Times New Roman" w:cs="Times New Roman"/>
        </w:rPr>
        <w:t>l mismo período de 2018 (equivalente</w:t>
      </w:r>
      <w:r w:rsidR="008E34D2">
        <w:rPr>
          <w:rFonts w:ascii="Times New Roman" w:hAnsi="Times New Roman" w:cs="Times New Roman"/>
        </w:rPr>
        <w:t>s</w:t>
      </w:r>
      <w:r>
        <w:rPr>
          <w:rFonts w:ascii="Times New Roman" w:hAnsi="Times New Roman" w:cs="Times New Roman"/>
        </w:rPr>
        <w:t xml:space="preserve"> a 3.0%), de los cuales, las mayores variaciones se observan en el Impuesto al Valor Agregado IVA Doméstico por Q</w:t>
      </w:r>
      <w:r w:rsidR="008E34D2">
        <w:rPr>
          <w:rFonts w:ascii="Times New Roman" w:hAnsi="Times New Roman" w:cs="Times New Roman"/>
        </w:rPr>
        <w:t>.</w:t>
      </w:r>
      <w:r>
        <w:rPr>
          <w:rFonts w:ascii="Times New Roman" w:hAnsi="Times New Roman" w:cs="Times New Roman"/>
        </w:rPr>
        <w:t xml:space="preserve">330.8 millones, seguido del </w:t>
      </w:r>
      <w:r w:rsidR="008E34D2">
        <w:rPr>
          <w:rFonts w:ascii="Times New Roman" w:hAnsi="Times New Roman" w:cs="Times New Roman"/>
        </w:rPr>
        <w:t>I</w:t>
      </w:r>
      <w:r>
        <w:rPr>
          <w:rFonts w:ascii="Times New Roman" w:hAnsi="Times New Roman" w:cs="Times New Roman"/>
        </w:rPr>
        <w:t>mpuesto a la Distribución de Petróleo y Derivados con un aumento en su recaudación de Q</w:t>
      </w:r>
      <w:r w:rsidR="008E34D2">
        <w:rPr>
          <w:rFonts w:ascii="Times New Roman" w:hAnsi="Times New Roman" w:cs="Times New Roman"/>
        </w:rPr>
        <w:t>.</w:t>
      </w:r>
      <w:r>
        <w:rPr>
          <w:rFonts w:ascii="Times New Roman" w:hAnsi="Times New Roman" w:cs="Times New Roman"/>
        </w:rPr>
        <w:t>162.9 millones</w:t>
      </w:r>
      <w:r w:rsidR="008E34D2">
        <w:rPr>
          <w:rFonts w:ascii="Times New Roman" w:hAnsi="Times New Roman" w:cs="Times New Roman"/>
        </w:rPr>
        <w:t>. E</w:t>
      </w:r>
      <w:r>
        <w:rPr>
          <w:rFonts w:ascii="Times New Roman" w:hAnsi="Times New Roman" w:cs="Times New Roman"/>
        </w:rPr>
        <w:t>n lo que respecta al Impuesto Sobre la Renta, éste experimentó un incremento de Q</w:t>
      </w:r>
      <w:r w:rsidR="008E34D2">
        <w:rPr>
          <w:rFonts w:ascii="Times New Roman" w:hAnsi="Times New Roman" w:cs="Times New Roman"/>
        </w:rPr>
        <w:t>.</w:t>
      </w:r>
      <w:r>
        <w:rPr>
          <w:rFonts w:ascii="Times New Roman" w:hAnsi="Times New Roman" w:cs="Times New Roman"/>
        </w:rPr>
        <w:t>51.7 millones (equivalente</w:t>
      </w:r>
      <w:r w:rsidR="008E34D2">
        <w:rPr>
          <w:rFonts w:ascii="Times New Roman" w:hAnsi="Times New Roman" w:cs="Times New Roman"/>
        </w:rPr>
        <w:t>s</w:t>
      </w:r>
      <w:r>
        <w:rPr>
          <w:rFonts w:ascii="Times New Roman" w:hAnsi="Times New Roman" w:cs="Times New Roman"/>
        </w:rPr>
        <w:t xml:space="preserve"> a</w:t>
      </w:r>
      <w:r w:rsidR="008E34D2">
        <w:rPr>
          <w:rFonts w:ascii="Times New Roman" w:hAnsi="Times New Roman" w:cs="Times New Roman"/>
        </w:rPr>
        <w:t>l 0.6%) a lo observado en 2018.</w:t>
      </w:r>
    </w:p>
    <w:p w:rsidR="00E425C1" w:rsidRDefault="00E425C1" w:rsidP="00E425C1">
      <w:pPr>
        <w:jc w:val="center"/>
        <w:rPr>
          <w:b/>
          <w:sz w:val="20"/>
          <w:lang w:val="es-MX"/>
        </w:rPr>
      </w:pPr>
    </w:p>
    <w:p w:rsidR="00E425C1" w:rsidRPr="0088577C" w:rsidRDefault="00E425C1" w:rsidP="00E425C1">
      <w:pPr>
        <w:pStyle w:val="Prrafodelista"/>
        <w:ind w:left="360"/>
        <w:jc w:val="center"/>
        <w:rPr>
          <w:b/>
          <w:sz w:val="22"/>
          <w:lang w:val="es-MX"/>
        </w:rPr>
      </w:pPr>
      <w:r w:rsidRPr="0088577C">
        <w:rPr>
          <w:b/>
          <w:sz w:val="22"/>
          <w:lang w:val="es-MX"/>
        </w:rPr>
        <w:t>Cuadro</w:t>
      </w:r>
      <w:r w:rsidR="008E34D2">
        <w:rPr>
          <w:b/>
          <w:sz w:val="22"/>
          <w:lang w:val="es-MX"/>
        </w:rPr>
        <w:t xml:space="preserve"> </w:t>
      </w:r>
      <w:r>
        <w:rPr>
          <w:b/>
          <w:sz w:val="22"/>
          <w:lang w:val="es-MX"/>
        </w:rPr>
        <w:t>2</w:t>
      </w:r>
    </w:p>
    <w:p w:rsidR="00E425C1" w:rsidRPr="0088577C" w:rsidRDefault="00E425C1" w:rsidP="00E425C1">
      <w:pPr>
        <w:pStyle w:val="Prrafodelista"/>
        <w:ind w:left="360"/>
        <w:jc w:val="center"/>
        <w:rPr>
          <w:b/>
          <w:sz w:val="22"/>
          <w:lang w:val="es-MX"/>
        </w:rPr>
      </w:pPr>
      <w:r w:rsidRPr="0088577C">
        <w:rPr>
          <w:b/>
          <w:sz w:val="22"/>
          <w:lang w:val="es-MX"/>
        </w:rPr>
        <w:t>Ingresos Tributarios Netos de la Administración Central</w:t>
      </w:r>
    </w:p>
    <w:p w:rsidR="00E425C1" w:rsidRPr="0088577C" w:rsidRDefault="008E34D2" w:rsidP="00E425C1">
      <w:pPr>
        <w:pStyle w:val="Prrafodelista"/>
        <w:ind w:left="360"/>
        <w:jc w:val="center"/>
        <w:rPr>
          <w:b/>
          <w:sz w:val="22"/>
          <w:lang w:val="es-MX"/>
        </w:rPr>
      </w:pPr>
      <w:r>
        <w:rPr>
          <w:b/>
          <w:sz w:val="22"/>
          <w:lang w:val="es-MX"/>
        </w:rPr>
        <w:t>A</w:t>
      </w:r>
      <w:r w:rsidR="00E425C1" w:rsidRPr="0088577C">
        <w:rPr>
          <w:b/>
          <w:sz w:val="22"/>
          <w:lang w:val="es-MX"/>
        </w:rPr>
        <w:t xml:space="preserve">l 30 de junio de </w:t>
      </w:r>
      <w:r>
        <w:rPr>
          <w:b/>
          <w:sz w:val="22"/>
          <w:lang w:val="es-MX"/>
        </w:rPr>
        <w:t>2018 y 2019*</w:t>
      </w:r>
    </w:p>
    <w:p w:rsidR="00E425C1" w:rsidRDefault="00E425C1" w:rsidP="00E425C1">
      <w:pPr>
        <w:pStyle w:val="Prrafodelista"/>
        <w:ind w:left="360"/>
        <w:jc w:val="center"/>
        <w:rPr>
          <w:rFonts w:ascii="Calibri" w:eastAsia="Calibri" w:hAnsi="Calibri"/>
          <w:sz w:val="20"/>
          <w:szCs w:val="20"/>
          <w:lang w:val="es-MX" w:eastAsia="es-MX"/>
        </w:rPr>
      </w:pPr>
      <w:r w:rsidRPr="0088577C">
        <w:rPr>
          <w:b/>
          <w:sz w:val="22"/>
          <w:lang w:val="es-MX"/>
        </w:rPr>
        <w:t>(Millones de Quetzales y Porcentajes)</w:t>
      </w:r>
      <w:r>
        <w:rPr>
          <w:lang w:val="es-GT"/>
        </w:rPr>
        <w:fldChar w:fldCharType="begin"/>
      </w:r>
      <w:r>
        <w:rPr>
          <w:lang w:val="es-GT"/>
        </w:rPr>
        <w:instrText xml:space="preserve"> LINK Excel.Sheet.12 "C:\\Users\\deefoper12\\Documents\\2019\\DEF\\Informe de Medio año\\Cuadros a junio.xlsx" Ingresos!F7C15:F29C19 \a \f 4 \h  \* MERGEFORMAT </w:instrText>
      </w:r>
      <w:r>
        <w:rPr>
          <w:lang w:val="es-GT"/>
        </w:rPr>
        <w:fldChar w:fldCharType="separate"/>
      </w:r>
    </w:p>
    <w:tbl>
      <w:tblPr>
        <w:tblW w:w="9017" w:type="dxa"/>
        <w:tblInd w:w="7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4949"/>
        <w:gridCol w:w="1005"/>
        <w:gridCol w:w="992"/>
        <w:gridCol w:w="985"/>
        <w:gridCol w:w="1086"/>
      </w:tblGrid>
      <w:tr w:rsidR="00E425C1" w:rsidRPr="000D61A1" w:rsidTr="00835A38">
        <w:trPr>
          <w:trHeight w:val="253"/>
        </w:trPr>
        <w:tc>
          <w:tcPr>
            <w:tcW w:w="4949" w:type="dxa"/>
            <w:vMerge w:val="restart"/>
            <w:shd w:val="clear" w:color="000000" w:fill="538DD5"/>
            <w:vAlign w:val="center"/>
            <w:hideMark/>
          </w:tcPr>
          <w:p w:rsidR="00E425C1" w:rsidRPr="00D87231" w:rsidRDefault="00E425C1" w:rsidP="00E425C1">
            <w:pPr>
              <w:jc w:val="center"/>
              <w:rPr>
                <w:b/>
                <w:bCs/>
                <w:color w:val="000000" w:themeColor="text1"/>
                <w:sz w:val="20"/>
                <w:szCs w:val="22"/>
                <w:lang w:val="es-GT" w:eastAsia="es-GT"/>
              </w:rPr>
            </w:pPr>
            <w:r w:rsidRPr="00D87231">
              <w:rPr>
                <w:b/>
                <w:bCs/>
                <w:color w:val="000000" w:themeColor="text1"/>
                <w:sz w:val="20"/>
                <w:szCs w:val="22"/>
                <w:lang w:val="es-GT" w:eastAsia="es-GT"/>
              </w:rPr>
              <w:t>Concepto</w:t>
            </w:r>
          </w:p>
        </w:tc>
        <w:tc>
          <w:tcPr>
            <w:tcW w:w="1005" w:type="dxa"/>
            <w:vMerge w:val="restart"/>
            <w:shd w:val="clear" w:color="000000" w:fill="538DD5"/>
            <w:vAlign w:val="center"/>
            <w:hideMark/>
          </w:tcPr>
          <w:p w:rsidR="00E425C1" w:rsidRPr="00D87231" w:rsidRDefault="00E425C1" w:rsidP="00E425C1">
            <w:pPr>
              <w:jc w:val="center"/>
              <w:rPr>
                <w:b/>
                <w:bCs/>
                <w:color w:val="000000" w:themeColor="text1"/>
                <w:sz w:val="20"/>
                <w:szCs w:val="22"/>
                <w:lang w:val="es-GT" w:eastAsia="es-GT"/>
              </w:rPr>
            </w:pPr>
            <w:r w:rsidRPr="00D87231">
              <w:rPr>
                <w:b/>
                <w:bCs/>
                <w:color w:val="000000" w:themeColor="text1"/>
                <w:sz w:val="20"/>
                <w:szCs w:val="22"/>
                <w:lang w:val="es-GT" w:eastAsia="es-GT"/>
              </w:rPr>
              <w:t>2018</w:t>
            </w:r>
          </w:p>
        </w:tc>
        <w:tc>
          <w:tcPr>
            <w:tcW w:w="992" w:type="dxa"/>
            <w:vMerge w:val="restart"/>
            <w:shd w:val="clear" w:color="000000" w:fill="538DD5"/>
            <w:vAlign w:val="center"/>
            <w:hideMark/>
          </w:tcPr>
          <w:p w:rsidR="00E425C1" w:rsidRPr="00D87231" w:rsidRDefault="00E425C1" w:rsidP="00E425C1">
            <w:pPr>
              <w:jc w:val="center"/>
              <w:rPr>
                <w:b/>
                <w:bCs/>
                <w:color w:val="000000" w:themeColor="text1"/>
                <w:sz w:val="20"/>
                <w:szCs w:val="22"/>
                <w:lang w:val="es-GT" w:eastAsia="es-GT"/>
              </w:rPr>
            </w:pPr>
            <w:r w:rsidRPr="00D87231">
              <w:rPr>
                <w:b/>
                <w:bCs/>
                <w:color w:val="000000" w:themeColor="text1"/>
                <w:sz w:val="20"/>
                <w:szCs w:val="22"/>
                <w:lang w:val="es-GT" w:eastAsia="es-GT"/>
              </w:rPr>
              <w:t>2019</w:t>
            </w:r>
          </w:p>
        </w:tc>
        <w:tc>
          <w:tcPr>
            <w:tcW w:w="2071" w:type="dxa"/>
            <w:gridSpan w:val="2"/>
            <w:shd w:val="clear" w:color="000000" w:fill="538DD5"/>
            <w:noWrap/>
            <w:vAlign w:val="center"/>
            <w:hideMark/>
          </w:tcPr>
          <w:p w:rsidR="00E425C1" w:rsidRPr="008E34D2" w:rsidRDefault="00E425C1" w:rsidP="00E425C1">
            <w:pPr>
              <w:jc w:val="center"/>
              <w:rPr>
                <w:b/>
                <w:color w:val="000000" w:themeColor="text1"/>
                <w:sz w:val="20"/>
                <w:szCs w:val="22"/>
                <w:lang w:val="es-GT" w:eastAsia="es-GT"/>
              </w:rPr>
            </w:pPr>
            <w:r w:rsidRPr="008E34D2">
              <w:rPr>
                <w:b/>
                <w:color w:val="000000" w:themeColor="text1"/>
                <w:sz w:val="20"/>
                <w:szCs w:val="22"/>
                <w:lang w:val="es-GT" w:eastAsia="es-GT"/>
              </w:rPr>
              <w:t>Diferencias</w:t>
            </w:r>
          </w:p>
        </w:tc>
      </w:tr>
      <w:tr w:rsidR="00E425C1" w:rsidRPr="000D61A1" w:rsidTr="00835A38">
        <w:trPr>
          <w:trHeight w:val="204"/>
        </w:trPr>
        <w:tc>
          <w:tcPr>
            <w:tcW w:w="4949" w:type="dxa"/>
            <w:vMerge/>
            <w:vAlign w:val="center"/>
            <w:hideMark/>
          </w:tcPr>
          <w:p w:rsidR="00E425C1" w:rsidRPr="00D87231" w:rsidRDefault="00E425C1" w:rsidP="00E425C1">
            <w:pPr>
              <w:rPr>
                <w:b/>
                <w:bCs/>
                <w:color w:val="000000" w:themeColor="text1"/>
                <w:sz w:val="20"/>
                <w:szCs w:val="22"/>
                <w:lang w:val="es-GT" w:eastAsia="es-GT"/>
              </w:rPr>
            </w:pPr>
          </w:p>
        </w:tc>
        <w:tc>
          <w:tcPr>
            <w:tcW w:w="1005" w:type="dxa"/>
            <w:vMerge/>
            <w:vAlign w:val="center"/>
            <w:hideMark/>
          </w:tcPr>
          <w:p w:rsidR="00E425C1" w:rsidRPr="00D87231" w:rsidRDefault="00E425C1" w:rsidP="00E425C1">
            <w:pPr>
              <w:rPr>
                <w:b/>
                <w:bCs/>
                <w:color w:val="000000" w:themeColor="text1"/>
                <w:sz w:val="20"/>
                <w:szCs w:val="22"/>
                <w:lang w:val="es-GT" w:eastAsia="es-GT"/>
              </w:rPr>
            </w:pPr>
          </w:p>
        </w:tc>
        <w:tc>
          <w:tcPr>
            <w:tcW w:w="992" w:type="dxa"/>
            <w:vMerge/>
            <w:vAlign w:val="center"/>
            <w:hideMark/>
          </w:tcPr>
          <w:p w:rsidR="00E425C1" w:rsidRPr="00D87231" w:rsidRDefault="00E425C1" w:rsidP="00E425C1">
            <w:pPr>
              <w:rPr>
                <w:b/>
                <w:bCs/>
                <w:color w:val="000000" w:themeColor="text1"/>
                <w:sz w:val="20"/>
                <w:szCs w:val="22"/>
                <w:lang w:val="es-GT" w:eastAsia="es-GT"/>
              </w:rPr>
            </w:pPr>
          </w:p>
        </w:tc>
        <w:tc>
          <w:tcPr>
            <w:tcW w:w="985" w:type="dxa"/>
            <w:shd w:val="clear" w:color="000000" w:fill="538DD5"/>
            <w:noWrap/>
            <w:vAlign w:val="center"/>
            <w:hideMark/>
          </w:tcPr>
          <w:p w:rsidR="00E425C1" w:rsidRPr="008E34D2" w:rsidRDefault="00E425C1" w:rsidP="00E425C1">
            <w:pPr>
              <w:jc w:val="center"/>
              <w:rPr>
                <w:b/>
                <w:color w:val="000000" w:themeColor="text1"/>
                <w:sz w:val="20"/>
                <w:szCs w:val="22"/>
                <w:lang w:val="es-GT" w:eastAsia="es-GT"/>
              </w:rPr>
            </w:pPr>
            <w:r w:rsidRPr="008E34D2">
              <w:rPr>
                <w:b/>
                <w:color w:val="000000" w:themeColor="text1"/>
                <w:sz w:val="20"/>
                <w:szCs w:val="22"/>
                <w:lang w:val="es-GT" w:eastAsia="es-GT"/>
              </w:rPr>
              <w:t>Absolutas</w:t>
            </w:r>
          </w:p>
        </w:tc>
        <w:tc>
          <w:tcPr>
            <w:tcW w:w="1086" w:type="dxa"/>
            <w:shd w:val="clear" w:color="000000" w:fill="538DD5"/>
            <w:noWrap/>
            <w:vAlign w:val="center"/>
            <w:hideMark/>
          </w:tcPr>
          <w:p w:rsidR="00E425C1" w:rsidRPr="008E34D2" w:rsidRDefault="00E425C1" w:rsidP="00E425C1">
            <w:pPr>
              <w:jc w:val="center"/>
              <w:rPr>
                <w:b/>
                <w:color w:val="000000" w:themeColor="text1"/>
                <w:sz w:val="20"/>
                <w:szCs w:val="22"/>
                <w:lang w:val="es-GT" w:eastAsia="es-GT"/>
              </w:rPr>
            </w:pPr>
            <w:r w:rsidRPr="008E34D2">
              <w:rPr>
                <w:b/>
                <w:color w:val="000000" w:themeColor="text1"/>
                <w:sz w:val="20"/>
                <w:szCs w:val="22"/>
                <w:lang w:val="es-GT" w:eastAsia="es-GT"/>
              </w:rPr>
              <w:t>Relativas</w:t>
            </w:r>
          </w:p>
        </w:tc>
      </w:tr>
      <w:tr w:rsidR="00E425C1" w:rsidRPr="000D61A1" w:rsidTr="00835A38">
        <w:trPr>
          <w:trHeight w:val="253"/>
        </w:trPr>
        <w:tc>
          <w:tcPr>
            <w:tcW w:w="4949" w:type="dxa"/>
            <w:shd w:val="clear" w:color="000000" w:fill="FFFFFF"/>
            <w:noWrap/>
            <w:vAlign w:val="bottom"/>
            <w:hideMark/>
          </w:tcPr>
          <w:p w:rsidR="00E425C1" w:rsidRPr="000D61A1" w:rsidRDefault="00E425C1" w:rsidP="00E425C1">
            <w:pPr>
              <w:rPr>
                <w:b/>
                <w:bCs/>
                <w:sz w:val="20"/>
                <w:szCs w:val="22"/>
                <w:lang w:val="es-GT" w:eastAsia="es-GT"/>
              </w:rPr>
            </w:pPr>
            <w:r w:rsidRPr="000D61A1">
              <w:rPr>
                <w:b/>
                <w:bCs/>
                <w:sz w:val="20"/>
                <w:szCs w:val="22"/>
                <w:lang w:val="es-GT" w:eastAsia="es-GT"/>
              </w:rPr>
              <w:t>Total de Ingresos Tributarios</w:t>
            </w:r>
          </w:p>
        </w:tc>
        <w:tc>
          <w:tcPr>
            <w:tcW w:w="1005" w:type="dxa"/>
            <w:shd w:val="clear" w:color="000000" w:fill="FFFFFF"/>
            <w:noWrap/>
            <w:vAlign w:val="bottom"/>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28,909.4</w:t>
            </w:r>
          </w:p>
        </w:tc>
        <w:tc>
          <w:tcPr>
            <w:tcW w:w="992" w:type="dxa"/>
            <w:shd w:val="clear" w:color="000000" w:fill="FFFFFF"/>
            <w:noWrap/>
            <w:vAlign w:val="bottom"/>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30,061.2</w:t>
            </w:r>
          </w:p>
        </w:tc>
        <w:tc>
          <w:tcPr>
            <w:tcW w:w="985" w:type="dxa"/>
            <w:shd w:val="clear" w:color="000000" w:fill="FFFFFF"/>
            <w:noWrap/>
            <w:vAlign w:val="bottom"/>
            <w:hideMark/>
          </w:tcPr>
          <w:p w:rsidR="00E425C1" w:rsidRPr="000D61A1" w:rsidRDefault="00E425C1" w:rsidP="00E425C1">
            <w:pPr>
              <w:jc w:val="right"/>
              <w:rPr>
                <w:b/>
                <w:bCs/>
                <w:sz w:val="20"/>
                <w:szCs w:val="22"/>
                <w:lang w:val="es-GT" w:eastAsia="es-GT"/>
              </w:rPr>
            </w:pPr>
            <w:r w:rsidRPr="000D61A1">
              <w:rPr>
                <w:b/>
                <w:bCs/>
                <w:sz w:val="20"/>
                <w:szCs w:val="22"/>
                <w:lang w:val="es-GT" w:eastAsia="es-GT"/>
              </w:rPr>
              <w:t>1,151.8</w:t>
            </w:r>
          </w:p>
        </w:tc>
        <w:tc>
          <w:tcPr>
            <w:tcW w:w="1086" w:type="dxa"/>
            <w:shd w:val="clear" w:color="000000" w:fill="FFFFFF"/>
            <w:noWrap/>
            <w:vAlign w:val="bottom"/>
            <w:hideMark/>
          </w:tcPr>
          <w:p w:rsidR="00E425C1" w:rsidRPr="000D61A1" w:rsidRDefault="00E425C1" w:rsidP="00E425C1">
            <w:pPr>
              <w:jc w:val="right"/>
              <w:rPr>
                <w:b/>
                <w:bCs/>
                <w:sz w:val="20"/>
                <w:szCs w:val="22"/>
                <w:lang w:val="es-GT" w:eastAsia="es-GT"/>
              </w:rPr>
            </w:pPr>
            <w:r w:rsidRPr="000D61A1">
              <w:rPr>
                <w:b/>
                <w:bCs/>
                <w:sz w:val="20"/>
                <w:szCs w:val="22"/>
                <w:lang w:val="es-GT" w:eastAsia="es-GT"/>
              </w:rPr>
              <w:t>4.0%</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200" w:firstLine="402"/>
              <w:rPr>
                <w:b/>
                <w:bCs/>
                <w:sz w:val="20"/>
                <w:szCs w:val="22"/>
                <w:lang w:val="es-GT" w:eastAsia="es-GT"/>
              </w:rPr>
            </w:pPr>
            <w:r w:rsidRPr="000D61A1">
              <w:rPr>
                <w:b/>
                <w:bCs/>
                <w:sz w:val="20"/>
                <w:szCs w:val="22"/>
                <w:lang w:val="es-GT" w:eastAsia="es-GT"/>
              </w:rPr>
              <w:t>Impuestos Asociados al Comercio Exterior</w:t>
            </w:r>
          </w:p>
        </w:tc>
        <w:tc>
          <w:tcPr>
            <w:tcW w:w="1005" w:type="dxa"/>
            <w:shd w:val="clear" w:color="000000" w:fill="FFFFFF"/>
            <w:noWrap/>
            <w:vAlign w:val="center"/>
            <w:hideMark/>
          </w:tcPr>
          <w:p w:rsidR="00E425C1" w:rsidRPr="000D61A1" w:rsidRDefault="00E425C1" w:rsidP="00E425C1">
            <w:pPr>
              <w:jc w:val="center"/>
              <w:rPr>
                <w:b/>
                <w:bCs/>
                <w:sz w:val="20"/>
                <w:szCs w:val="22"/>
                <w:lang w:val="es-GT" w:eastAsia="es-GT"/>
              </w:rPr>
            </w:pPr>
            <w:r w:rsidRPr="000D61A1">
              <w:rPr>
                <w:b/>
                <w:bCs/>
                <w:sz w:val="20"/>
                <w:szCs w:val="22"/>
                <w:lang w:val="es-GT" w:eastAsia="es-GT"/>
              </w:rPr>
              <w:t>7,986.4</w:t>
            </w:r>
          </w:p>
        </w:tc>
        <w:tc>
          <w:tcPr>
            <w:tcW w:w="992" w:type="dxa"/>
            <w:shd w:val="clear" w:color="000000" w:fill="FFFFFF"/>
            <w:noWrap/>
            <w:vAlign w:val="center"/>
            <w:hideMark/>
          </w:tcPr>
          <w:p w:rsidR="00E425C1" w:rsidRPr="000D61A1" w:rsidRDefault="00E425C1" w:rsidP="00E425C1">
            <w:pPr>
              <w:jc w:val="center"/>
              <w:rPr>
                <w:b/>
                <w:bCs/>
                <w:sz w:val="20"/>
                <w:szCs w:val="22"/>
                <w:lang w:val="es-GT" w:eastAsia="es-GT"/>
              </w:rPr>
            </w:pPr>
            <w:r w:rsidRPr="000D61A1">
              <w:rPr>
                <w:b/>
                <w:bCs/>
                <w:sz w:val="20"/>
                <w:szCs w:val="22"/>
                <w:lang w:val="es-GT" w:eastAsia="es-GT"/>
              </w:rPr>
              <w:t>8,500.8</w:t>
            </w:r>
          </w:p>
        </w:tc>
        <w:tc>
          <w:tcPr>
            <w:tcW w:w="985"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514.3</w:t>
            </w:r>
          </w:p>
        </w:tc>
        <w:tc>
          <w:tcPr>
            <w:tcW w:w="1086"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6.4%</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al Valor Agregado de Importaciones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6,838.6</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7,271.7</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433.2</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6.3%</w:t>
            </w:r>
          </w:p>
        </w:tc>
      </w:tr>
      <w:tr w:rsidR="00E425C1" w:rsidRPr="000D61A1" w:rsidTr="00835A38">
        <w:trPr>
          <w:trHeight w:val="301"/>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Derechos Arancelarios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1,147.9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1,229.1</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81.2</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7.1%</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200" w:firstLine="402"/>
              <w:rPr>
                <w:b/>
                <w:bCs/>
                <w:sz w:val="20"/>
                <w:szCs w:val="22"/>
                <w:lang w:val="es-GT" w:eastAsia="es-GT"/>
              </w:rPr>
            </w:pPr>
            <w:r w:rsidRPr="000D61A1">
              <w:rPr>
                <w:b/>
                <w:bCs/>
                <w:sz w:val="20"/>
                <w:szCs w:val="22"/>
                <w:lang w:val="es-GT" w:eastAsia="es-GT"/>
              </w:rPr>
              <w:t>Impuestos Internos</w:t>
            </w:r>
          </w:p>
        </w:tc>
        <w:tc>
          <w:tcPr>
            <w:tcW w:w="1005" w:type="dxa"/>
            <w:shd w:val="clear" w:color="000000" w:fill="FFFFFF"/>
            <w:noWrap/>
            <w:vAlign w:val="center"/>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20,922.9</w:t>
            </w:r>
          </w:p>
        </w:tc>
        <w:tc>
          <w:tcPr>
            <w:tcW w:w="992" w:type="dxa"/>
            <w:shd w:val="clear" w:color="000000" w:fill="FFFFFF"/>
            <w:noWrap/>
            <w:vAlign w:val="center"/>
            <w:hideMark/>
          </w:tcPr>
          <w:p w:rsidR="00E425C1" w:rsidRPr="000D61A1" w:rsidRDefault="00E425C1" w:rsidP="00E425C1">
            <w:pPr>
              <w:jc w:val="right"/>
              <w:rPr>
                <w:rFonts w:ascii="CG Times" w:hAnsi="CG Times"/>
                <w:b/>
                <w:bCs/>
                <w:sz w:val="20"/>
                <w:szCs w:val="22"/>
                <w:lang w:val="es-GT" w:eastAsia="es-GT"/>
              </w:rPr>
            </w:pPr>
            <w:r w:rsidRPr="000D61A1">
              <w:rPr>
                <w:rFonts w:ascii="CG Times" w:hAnsi="CG Times"/>
                <w:b/>
                <w:bCs/>
                <w:sz w:val="20"/>
                <w:szCs w:val="22"/>
                <w:lang w:val="es-GT" w:eastAsia="es-GT"/>
              </w:rPr>
              <w:t>21,560.4</w:t>
            </w:r>
          </w:p>
        </w:tc>
        <w:tc>
          <w:tcPr>
            <w:tcW w:w="985"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637.5</w:t>
            </w:r>
          </w:p>
        </w:tc>
        <w:tc>
          <w:tcPr>
            <w:tcW w:w="1086" w:type="dxa"/>
            <w:shd w:val="clear" w:color="000000" w:fill="FFFFFF"/>
            <w:noWrap/>
            <w:vAlign w:val="center"/>
            <w:hideMark/>
          </w:tcPr>
          <w:p w:rsidR="00E425C1" w:rsidRPr="000D61A1" w:rsidRDefault="00E425C1" w:rsidP="00E425C1">
            <w:pPr>
              <w:jc w:val="right"/>
              <w:rPr>
                <w:b/>
                <w:bCs/>
                <w:sz w:val="20"/>
                <w:szCs w:val="22"/>
                <w:lang w:val="es-GT" w:eastAsia="es-GT"/>
              </w:rPr>
            </w:pPr>
            <w:r w:rsidRPr="000D61A1">
              <w:rPr>
                <w:b/>
                <w:bCs/>
                <w:sz w:val="20"/>
                <w:szCs w:val="22"/>
                <w:lang w:val="es-GT" w:eastAsia="es-GT"/>
              </w:rPr>
              <w:t>3.0%</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sobre la Renta</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8,289.0</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8,340.6</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51.7</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0.6%</w:t>
            </w:r>
          </w:p>
        </w:tc>
      </w:tr>
      <w:tr w:rsidR="00E425C1" w:rsidRPr="000D61A1" w:rsidTr="00835A38">
        <w:trPr>
          <w:trHeight w:val="256"/>
        </w:trPr>
        <w:tc>
          <w:tcPr>
            <w:tcW w:w="4949" w:type="dxa"/>
            <w:shd w:val="clear" w:color="000000" w:fill="FFFFFF"/>
            <w:noWrap/>
            <w:vAlign w:val="bottom"/>
            <w:hideMark/>
          </w:tcPr>
          <w:p w:rsidR="00E425C1" w:rsidRPr="000D61A1" w:rsidRDefault="00E425C1" w:rsidP="008E34D2">
            <w:pPr>
              <w:ind w:firstLineChars="400" w:firstLine="800"/>
              <w:rPr>
                <w:sz w:val="20"/>
                <w:szCs w:val="22"/>
                <w:lang w:val="es-GT" w:eastAsia="es-GT"/>
              </w:rPr>
            </w:pPr>
            <w:r w:rsidRPr="000D61A1">
              <w:rPr>
                <w:sz w:val="20"/>
                <w:szCs w:val="22"/>
                <w:lang w:val="es-GT" w:eastAsia="es-GT"/>
              </w:rPr>
              <w:t xml:space="preserve">Impuesto sobre la </w:t>
            </w:r>
            <w:r w:rsidR="008E34D2">
              <w:rPr>
                <w:sz w:val="20"/>
                <w:szCs w:val="22"/>
                <w:lang w:val="es-GT" w:eastAsia="es-GT"/>
              </w:rPr>
              <w:t>P</w:t>
            </w:r>
            <w:r w:rsidRPr="000D61A1">
              <w:rPr>
                <w:sz w:val="20"/>
                <w:szCs w:val="22"/>
                <w:lang w:val="es-GT" w:eastAsia="es-GT"/>
              </w:rPr>
              <w:t>ropiedad y otros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13.5</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16.1</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2.6</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19.5%</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Extraordinario y Temporal AAP</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5.4</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3.3</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-2.0</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-38.0%</w:t>
            </w:r>
          </w:p>
        </w:tc>
      </w:tr>
      <w:tr w:rsidR="00E425C1" w:rsidRPr="000D61A1" w:rsidTr="00835A38">
        <w:trPr>
          <w:trHeight w:val="256"/>
        </w:trPr>
        <w:tc>
          <w:tcPr>
            <w:tcW w:w="4949" w:type="dxa"/>
            <w:shd w:val="clear" w:color="000000" w:fill="FFFFFF"/>
            <w:noWrap/>
            <w:vAlign w:val="center"/>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de Solidaridad</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2,278.8</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2,345.7</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66.9</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2.9%</w:t>
            </w:r>
          </w:p>
        </w:tc>
      </w:tr>
      <w:tr w:rsidR="00E425C1" w:rsidRPr="000D61A1" w:rsidTr="00835A38">
        <w:trPr>
          <w:trHeight w:val="21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Impuesto al Valor Agregado Doméstico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6,659.9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6,990.8</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330.8</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5.0%</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Petróleo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1,696.7</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1,859.6</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162.9</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9.6%</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Timbres Fiscales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235.8</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220.5</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-15.3</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-6.5%</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Vehículos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376.7</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383.6</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6.9</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1.8%</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IPRIMA</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437.9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460.2</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22.3</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5.1%</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Regalías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150.9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92.2</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-58.6</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-38.9%</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Salida del País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153.9</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168.5</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14.6</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9.5%</w:t>
            </w:r>
          </w:p>
        </w:tc>
      </w:tr>
      <w:tr w:rsidR="00E425C1" w:rsidRPr="000D61A1" w:rsidTr="00835A38">
        <w:trPr>
          <w:trHeight w:val="256"/>
        </w:trPr>
        <w:tc>
          <w:tcPr>
            <w:tcW w:w="4949" w:type="dxa"/>
            <w:shd w:val="clear" w:color="000000" w:fill="FFFFFF"/>
            <w:noWrap/>
            <w:vAlign w:val="bottom"/>
            <w:hideMark/>
          </w:tcPr>
          <w:p w:rsidR="00E425C1" w:rsidRPr="000D61A1" w:rsidRDefault="00E425C1" w:rsidP="008E34D2">
            <w:pPr>
              <w:ind w:firstLineChars="400" w:firstLine="800"/>
              <w:rPr>
                <w:sz w:val="20"/>
                <w:szCs w:val="22"/>
                <w:lang w:val="es-GT" w:eastAsia="es-GT"/>
              </w:rPr>
            </w:pPr>
            <w:r w:rsidRPr="000D61A1">
              <w:rPr>
                <w:sz w:val="20"/>
                <w:szCs w:val="22"/>
                <w:lang w:val="es-GT" w:eastAsia="es-GT"/>
              </w:rPr>
              <w:t xml:space="preserve">Alcoholes y </w:t>
            </w:r>
            <w:r w:rsidR="008E34D2">
              <w:rPr>
                <w:sz w:val="20"/>
                <w:szCs w:val="22"/>
                <w:lang w:val="es-GT" w:eastAsia="es-GT"/>
              </w:rPr>
              <w:t>B</w:t>
            </w:r>
            <w:r w:rsidRPr="000D61A1">
              <w:rPr>
                <w:sz w:val="20"/>
                <w:szCs w:val="22"/>
                <w:lang w:val="es-GT" w:eastAsia="es-GT"/>
              </w:rPr>
              <w:t>ebidas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387.5</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425.3</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37.8</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9.7%</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Tabaco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170.4</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186.5</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16.1</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9.4%</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Distribución de Cemento</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63.0</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63.9</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0.8</w:t>
            </w:r>
          </w:p>
        </w:tc>
        <w:tc>
          <w:tcPr>
            <w:tcW w:w="1086"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1.3%</w:t>
            </w:r>
          </w:p>
        </w:tc>
      </w:tr>
      <w:tr w:rsidR="00E425C1" w:rsidRPr="000D61A1" w:rsidTr="00835A38">
        <w:trPr>
          <w:trHeight w:val="256"/>
        </w:trPr>
        <w:tc>
          <w:tcPr>
            <w:tcW w:w="4949" w:type="dxa"/>
            <w:shd w:val="clear" w:color="000000" w:fill="FFFFFF"/>
            <w:noWrap/>
            <w:vAlign w:val="bottom"/>
            <w:hideMark/>
          </w:tcPr>
          <w:p w:rsidR="00E425C1" w:rsidRPr="000D61A1" w:rsidRDefault="00E425C1" w:rsidP="00E425C1">
            <w:pPr>
              <w:ind w:firstLineChars="400" w:firstLine="800"/>
              <w:rPr>
                <w:sz w:val="20"/>
                <w:szCs w:val="22"/>
                <w:lang w:val="es-GT" w:eastAsia="es-GT"/>
              </w:rPr>
            </w:pPr>
            <w:r w:rsidRPr="000D61A1">
              <w:rPr>
                <w:sz w:val="20"/>
                <w:szCs w:val="22"/>
                <w:lang w:val="es-GT" w:eastAsia="es-GT"/>
              </w:rPr>
              <w:t>Otros</w:t>
            </w:r>
          </w:p>
        </w:tc>
        <w:tc>
          <w:tcPr>
            <w:tcW w:w="1005"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3.4</w:t>
            </w:r>
          </w:p>
        </w:tc>
        <w:tc>
          <w:tcPr>
            <w:tcW w:w="992" w:type="dxa"/>
            <w:shd w:val="clear" w:color="000000" w:fill="FFFFFF"/>
            <w:noWrap/>
            <w:vAlign w:val="bottom"/>
            <w:hideMark/>
          </w:tcPr>
          <w:p w:rsidR="00E425C1" w:rsidRPr="000D61A1" w:rsidRDefault="00E425C1" w:rsidP="00E425C1">
            <w:pPr>
              <w:jc w:val="center"/>
              <w:rPr>
                <w:sz w:val="20"/>
                <w:szCs w:val="22"/>
                <w:lang w:val="es-GT" w:eastAsia="es-GT"/>
              </w:rPr>
            </w:pPr>
            <w:r w:rsidRPr="000D61A1">
              <w:rPr>
                <w:sz w:val="20"/>
                <w:szCs w:val="22"/>
                <w:lang w:val="es-GT" w:eastAsia="es-GT"/>
              </w:rPr>
              <w:t>3.4</w:t>
            </w:r>
          </w:p>
        </w:tc>
        <w:tc>
          <w:tcPr>
            <w:tcW w:w="985" w:type="dxa"/>
            <w:shd w:val="clear" w:color="000000" w:fill="FFFFFF"/>
            <w:noWrap/>
            <w:vAlign w:val="bottom"/>
            <w:hideMark/>
          </w:tcPr>
          <w:p w:rsidR="00E425C1" w:rsidRPr="000D61A1" w:rsidRDefault="00E425C1" w:rsidP="00E425C1">
            <w:pPr>
              <w:jc w:val="right"/>
              <w:rPr>
                <w:sz w:val="20"/>
                <w:szCs w:val="22"/>
                <w:lang w:val="es-GT" w:eastAsia="es-GT"/>
              </w:rPr>
            </w:pPr>
            <w:r w:rsidRPr="000D61A1">
              <w:rPr>
                <w:sz w:val="20"/>
                <w:szCs w:val="22"/>
                <w:lang w:val="es-GT" w:eastAsia="es-GT"/>
              </w:rPr>
              <w:t>0.0</w:t>
            </w:r>
          </w:p>
        </w:tc>
        <w:tc>
          <w:tcPr>
            <w:tcW w:w="1086" w:type="dxa"/>
            <w:shd w:val="clear" w:color="000000" w:fill="FFFFFF"/>
            <w:noWrap/>
            <w:vAlign w:val="bottom"/>
            <w:hideMark/>
          </w:tcPr>
          <w:p w:rsidR="00E425C1" w:rsidRPr="000D61A1" w:rsidRDefault="00E425C1" w:rsidP="00A732B4">
            <w:pPr>
              <w:jc w:val="right"/>
              <w:rPr>
                <w:sz w:val="20"/>
                <w:szCs w:val="22"/>
                <w:lang w:val="es-GT" w:eastAsia="es-GT"/>
              </w:rPr>
            </w:pPr>
            <w:r w:rsidRPr="000D61A1">
              <w:rPr>
                <w:sz w:val="20"/>
                <w:szCs w:val="22"/>
                <w:lang w:val="es-GT" w:eastAsia="es-GT"/>
              </w:rPr>
              <w:t>0.</w:t>
            </w:r>
            <w:r w:rsidR="00A732B4">
              <w:rPr>
                <w:sz w:val="20"/>
                <w:szCs w:val="22"/>
                <w:lang w:val="es-GT" w:eastAsia="es-GT"/>
              </w:rPr>
              <w:t>0</w:t>
            </w:r>
            <w:r w:rsidRPr="000D61A1">
              <w:rPr>
                <w:sz w:val="20"/>
                <w:szCs w:val="22"/>
                <w:lang w:val="es-GT" w:eastAsia="es-GT"/>
              </w:rPr>
              <w:t>%</w:t>
            </w:r>
          </w:p>
        </w:tc>
      </w:tr>
    </w:tbl>
    <w:p w:rsidR="00E425C1" w:rsidRPr="008E34D2" w:rsidRDefault="00E425C1" w:rsidP="00E425C1">
      <w:pPr>
        <w:autoSpaceDE w:val="0"/>
        <w:autoSpaceDN w:val="0"/>
        <w:adjustRightInd w:val="0"/>
        <w:jc w:val="both"/>
        <w:rPr>
          <w:sz w:val="18"/>
          <w:szCs w:val="18"/>
          <w:lang w:val="es-GT"/>
        </w:rPr>
      </w:pPr>
      <w:r>
        <w:rPr>
          <w:sz w:val="16"/>
          <w:szCs w:val="18"/>
          <w:lang w:val="es-GT"/>
        </w:rPr>
        <w:fldChar w:fldCharType="end"/>
      </w:r>
      <w:r w:rsidRPr="00132C56">
        <w:rPr>
          <w:sz w:val="16"/>
          <w:szCs w:val="18"/>
          <w:lang w:val="es-GT"/>
        </w:rPr>
        <w:t>*</w:t>
      </w:r>
      <w:r w:rsidR="00387912">
        <w:rPr>
          <w:sz w:val="16"/>
          <w:szCs w:val="18"/>
          <w:lang w:val="es-GT"/>
        </w:rPr>
        <w:t xml:space="preserve"> </w:t>
      </w:r>
      <w:r w:rsidR="008E34D2">
        <w:rPr>
          <w:sz w:val="16"/>
          <w:szCs w:val="18"/>
          <w:lang w:val="es-GT"/>
        </w:rPr>
        <w:t>C</w:t>
      </w:r>
      <w:r w:rsidRPr="008E34D2">
        <w:rPr>
          <w:sz w:val="18"/>
          <w:szCs w:val="18"/>
          <w:lang w:val="es-GT"/>
        </w:rPr>
        <w:t>ifras preliminares</w:t>
      </w:r>
    </w:p>
    <w:p w:rsidR="00E425C1" w:rsidRPr="00C81B67" w:rsidRDefault="00387912" w:rsidP="00E425C1">
      <w:pPr>
        <w:autoSpaceDE w:val="0"/>
        <w:autoSpaceDN w:val="0"/>
        <w:adjustRightInd w:val="0"/>
        <w:jc w:val="both"/>
        <w:rPr>
          <w:sz w:val="16"/>
          <w:szCs w:val="18"/>
          <w:lang w:val="es-GT"/>
        </w:rPr>
      </w:pPr>
      <w:r>
        <w:rPr>
          <w:sz w:val="18"/>
          <w:szCs w:val="18"/>
          <w:lang w:val="es-GT"/>
        </w:rPr>
        <w:t xml:space="preserve">   </w:t>
      </w:r>
      <w:r w:rsidR="00E425C1" w:rsidRPr="008E34D2">
        <w:rPr>
          <w:sz w:val="18"/>
          <w:szCs w:val="18"/>
          <w:lang w:val="es-GT"/>
        </w:rPr>
        <w:t>Fuente: Ministerio de Finanzas Públicas con base al SICOIN</w:t>
      </w:r>
      <w:r w:rsidR="00E425C1">
        <w:rPr>
          <w:sz w:val="16"/>
          <w:szCs w:val="18"/>
          <w:lang w:val="es-GT"/>
        </w:rPr>
        <w:t>.</w:t>
      </w:r>
    </w:p>
    <w:p w:rsidR="00E425C1" w:rsidRDefault="00E425C1" w:rsidP="00E425C1">
      <w:pPr>
        <w:jc w:val="both"/>
      </w:pPr>
    </w:p>
    <w:p w:rsidR="00E425C1" w:rsidRDefault="00E425C1" w:rsidP="00E425C1">
      <w:pPr>
        <w:jc w:val="both"/>
      </w:pPr>
    </w:p>
    <w:p w:rsidR="00E425C1" w:rsidRDefault="00A732B4" w:rsidP="00E425C1">
      <w:pPr>
        <w:jc w:val="both"/>
      </w:pPr>
      <w:r>
        <w:lastRenderedPageBreak/>
        <w:t>Con</w:t>
      </w:r>
      <w:r w:rsidR="00E425C1">
        <w:t xml:space="preserve"> relación a la estructura impositiva por el origen del recaudo, los impuestos asociados al comercio exterior al 30 de junio de 2019 representaban el 28.3%, (27.6% en 2018). Se observa para estos impuestos un aumento de Q</w:t>
      </w:r>
      <w:r>
        <w:t>.</w:t>
      </w:r>
      <w:r w:rsidR="00E425C1">
        <w:t xml:space="preserve">514.3 millones respecto </w:t>
      </w:r>
      <w:r>
        <w:t>de</w:t>
      </w:r>
      <w:r w:rsidR="00E425C1">
        <w:t xml:space="preserve"> lo observado en 2018, especialmente en el Impuesto IVA Importaciones con Q</w:t>
      </w:r>
      <w:r>
        <w:t>.</w:t>
      </w:r>
      <w:r w:rsidR="00E425C1">
        <w:t>433.2 millones, en tanto que los Derechos Arancelarios aumentaron Q</w:t>
      </w:r>
      <w:r>
        <w:t>.</w:t>
      </w:r>
      <w:r w:rsidR="00E425C1">
        <w:t>81.2 millones.</w:t>
      </w:r>
    </w:p>
    <w:p w:rsidR="00E425C1" w:rsidRDefault="00E425C1" w:rsidP="00E425C1">
      <w:pPr>
        <w:jc w:val="both"/>
      </w:pPr>
    </w:p>
    <w:p w:rsidR="00E425C1" w:rsidRDefault="00E425C1" w:rsidP="00E425C1">
      <w:pPr>
        <w:jc w:val="both"/>
        <w:rPr>
          <w:b/>
          <w:sz w:val="20"/>
        </w:rPr>
      </w:pPr>
    </w:p>
    <w:p w:rsidR="00E425C1" w:rsidRPr="00A226F3" w:rsidRDefault="00E425C1" w:rsidP="00E425C1">
      <w:pPr>
        <w:tabs>
          <w:tab w:val="left" w:pos="426"/>
        </w:tabs>
        <w:jc w:val="center"/>
        <w:rPr>
          <w:b/>
          <w:sz w:val="20"/>
        </w:rPr>
      </w:pPr>
      <w:r w:rsidRPr="00A226F3">
        <w:rPr>
          <w:b/>
          <w:sz w:val="20"/>
        </w:rPr>
        <w:t xml:space="preserve">Gráfica </w:t>
      </w:r>
      <w:r>
        <w:rPr>
          <w:b/>
          <w:sz w:val="20"/>
        </w:rPr>
        <w:t>8</w:t>
      </w:r>
    </w:p>
    <w:p w:rsidR="00E425C1" w:rsidRPr="0088577C" w:rsidRDefault="00E425C1" w:rsidP="00E425C1">
      <w:pPr>
        <w:pStyle w:val="Prrafodelista"/>
        <w:ind w:left="360"/>
        <w:jc w:val="center"/>
        <w:rPr>
          <w:b/>
          <w:sz w:val="22"/>
          <w:lang w:val="es-MX"/>
        </w:rPr>
      </w:pPr>
      <w:r w:rsidRPr="0088577C">
        <w:rPr>
          <w:b/>
          <w:sz w:val="22"/>
          <w:lang w:val="es-MX"/>
        </w:rPr>
        <w:t xml:space="preserve">Estructura </w:t>
      </w:r>
      <w:r w:rsidR="00A732B4">
        <w:rPr>
          <w:b/>
          <w:sz w:val="22"/>
          <w:lang w:val="es-MX"/>
        </w:rPr>
        <w:t>T</w:t>
      </w:r>
      <w:r w:rsidRPr="0088577C">
        <w:rPr>
          <w:b/>
          <w:sz w:val="22"/>
          <w:lang w:val="es-MX"/>
        </w:rPr>
        <w:t xml:space="preserve">ributaria por </w:t>
      </w:r>
      <w:r w:rsidR="00A732B4">
        <w:rPr>
          <w:b/>
          <w:sz w:val="22"/>
          <w:lang w:val="es-MX"/>
        </w:rPr>
        <w:t>O</w:t>
      </w:r>
      <w:r w:rsidRPr="0088577C">
        <w:rPr>
          <w:b/>
          <w:sz w:val="22"/>
          <w:lang w:val="es-MX"/>
        </w:rPr>
        <w:t xml:space="preserve">rigen del </w:t>
      </w:r>
      <w:r w:rsidR="00A732B4">
        <w:rPr>
          <w:b/>
          <w:sz w:val="22"/>
          <w:lang w:val="es-MX"/>
        </w:rPr>
        <w:t>R</w:t>
      </w:r>
      <w:r w:rsidRPr="0088577C">
        <w:rPr>
          <w:b/>
          <w:sz w:val="22"/>
          <w:lang w:val="es-MX"/>
        </w:rPr>
        <w:t>ecaudo</w:t>
      </w:r>
    </w:p>
    <w:p w:rsidR="00E425C1" w:rsidRPr="0088577C" w:rsidRDefault="00E425C1" w:rsidP="00E425C1">
      <w:pPr>
        <w:pStyle w:val="Prrafodelista"/>
        <w:ind w:left="360"/>
        <w:jc w:val="center"/>
        <w:rPr>
          <w:b/>
          <w:sz w:val="22"/>
          <w:lang w:val="es-MX"/>
        </w:rPr>
      </w:pPr>
      <w:r w:rsidRPr="0088577C">
        <w:rPr>
          <w:b/>
          <w:sz w:val="22"/>
          <w:lang w:val="es-MX"/>
        </w:rPr>
        <w:t>Comparativo 201</w:t>
      </w:r>
      <w:r>
        <w:rPr>
          <w:b/>
          <w:sz w:val="22"/>
          <w:lang w:val="es-MX"/>
        </w:rPr>
        <w:t>8</w:t>
      </w:r>
      <w:r w:rsidR="00A732B4">
        <w:rPr>
          <w:b/>
          <w:sz w:val="22"/>
          <w:lang w:val="es-MX"/>
        </w:rPr>
        <w:t xml:space="preserve"> </w:t>
      </w:r>
      <w:r w:rsidRPr="0088577C">
        <w:rPr>
          <w:b/>
          <w:sz w:val="22"/>
          <w:lang w:val="es-MX"/>
        </w:rPr>
        <w:t>-</w:t>
      </w:r>
      <w:r w:rsidR="00A732B4">
        <w:rPr>
          <w:b/>
          <w:sz w:val="22"/>
          <w:lang w:val="es-MX"/>
        </w:rPr>
        <w:t xml:space="preserve"> </w:t>
      </w:r>
      <w:r w:rsidRPr="0088577C">
        <w:rPr>
          <w:b/>
          <w:sz w:val="22"/>
          <w:lang w:val="es-MX"/>
        </w:rPr>
        <w:t>201</w:t>
      </w:r>
      <w:r>
        <w:rPr>
          <w:b/>
          <w:sz w:val="22"/>
          <w:lang w:val="es-MX"/>
        </w:rPr>
        <w:t>9</w:t>
      </w:r>
      <w:r w:rsidRPr="0088577C">
        <w:rPr>
          <w:b/>
          <w:sz w:val="22"/>
          <w:lang w:val="es-MX"/>
        </w:rPr>
        <w:t>*</w:t>
      </w:r>
    </w:p>
    <w:p w:rsidR="00E425C1" w:rsidRPr="0088577C" w:rsidRDefault="00E425C1" w:rsidP="00E425C1">
      <w:pPr>
        <w:pStyle w:val="Prrafodelista"/>
        <w:ind w:left="360"/>
        <w:jc w:val="center"/>
        <w:rPr>
          <w:b/>
          <w:sz w:val="22"/>
          <w:lang w:val="es-MX"/>
        </w:rPr>
      </w:pPr>
      <w:r w:rsidRPr="0088577C">
        <w:rPr>
          <w:b/>
          <w:sz w:val="22"/>
          <w:lang w:val="es-MX"/>
        </w:rPr>
        <w:t>Al 30 de junio de cada año</w:t>
      </w:r>
    </w:p>
    <w:p w:rsidR="00E425C1" w:rsidRDefault="00E425C1" w:rsidP="00E425C1">
      <w:pPr>
        <w:tabs>
          <w:tab w:val="left" w:pos="426"/>
        </w:tabs>
        <w:jc w:val="center"/>
        <w:rPr>
          <w:b/>
          <w:sz w:val="20"/>
        </w:rPr>
      </w:pPr>
      <w:r>
        <w:rPr>
          <w:noProof/>
          <w:lang w:val="es-GT" w:eastAsia="es-GT"/>
        </w:rPr>
        <w:drawing>
          <wp:inline distT="0" distB="0" distL="0" distR="0" wp14:anchorId="35AF3C72" wp14:editId="1EAEA1A1">
            <wp:extent cx="2194560" cy="1623974"/>
            <wp:effectExtent l="0" t="0" r="1524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b/>
          <w:sz w:val="20"/>
        </w:rPr>
        <w:t xml:space="preserve">         </w:t>
      </w:r>
      <w:r>
        <w:rPr>
          <w:noProof/>
          <w:lang w:val="es-GT" w:eastAsia="es-GT"/>
        </w:rPr>
        <w:drawing>
          <wp:inline distT="0" distB="0" distL="0" distR="0" wp14:anchorId="5740F0FF" wp14:editId="716A474B">
            <wp:extent cx="2940711" cy="1499616"/>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25C1" w:rsidRPr="00132C56" w:rsidRDefault="00E425C1" w:rsidP="00E425C1">
      <w:pPr>
        <w:jc w:val="both"/>
        <w:rPr>
          <w:sz w:val="18"/>
          <w:szCs w:val="18"/>
          <w:lang w:val="es-GT"/>
        </w:rPr>
      </w:pPr>
      <w:r w:rsidRPr="00132C56">
        <w:rPr>
          <w:sz w:val="18"/>
          <w:szCs w:val="18"/>
          <w:lang w:val="es-GT"/>
        </w:rPr>
        <w:t>*</w:t>
      </w:r>
      <w:r w:rsidR="00387912">
        <w:rPr>
          <w:sz w:val="18"/>
          <w:szCs w:val="18"/>
          <w:lang w:val="es-GT"/>
        </w:rPr>
        <w:t xml:space="preserve"> </w:t>
      </w:r>
      <w:r w:rsidRPr="00132C56">
        <w:rPr>
          <w:sz w:val="18"/>
          <w:szCs w:val="18"/>
          <w:lang w:val="es-GT"/>
        </w:rPr>
        <w:t>Cifras preliminares</w:t>
      </w:r>
    </w:p>
    <w:p w:rsidR="00E425C1" w:rsidRPr="00132C56" w:rsidRDefault="00387912" w:rsidP="00E425C1">
      <w:pPr>
        <w:jc w:val="both"/>
        <w:rPr>
          <w:sz w:val="18"/>
          <w:szCs w:val="18"/>
          <w:lang w:val="es-GT"/>
        </w:rPr>
      </w:pPr>
      <w:r>
        <w:rPr>
          <w:sz w:val="18"/>
          <w:szCs w:val="18"/>
          <w:lang w:val="es-GT"/>
        </w:rPr>
        <w:t xml:space="preserve">   </w:t>
      </w:r>
      <w:r w:rsidR="00E425C1" w:rsidRPr="00132C56">
        <w:rPr>
          <w:sz w:val="18"/>
          <w:szCs w:val="18"/>
          <w:lang w:val="es-GT"/>
        </w:rPr>
        <w:t>Fuente: Ministerio de Finanzas Públicas con base al SICOIN.</w:t>
      </w:r>
    </w:p>
    <w:p w:rsidR="00E425C1" w:rsidRPr="00D7055A" w:rsidRDefault="00E425C1" w:rsidP="00E425C1">
      <w:pPr>
        <w:jc w:val="both"/>
        <w:rPr>
          <w:sz w:val="2"/>
          <w:lang w:val="es-GT"/>
        </w:rPr>
      </w:pPr>
    </w:p>
    <w:p w:rsidR="00E425C1" w:rsidRDefault="00E425C1" w:rsidP="00E425C1">
      <w:pPr>
        <w:jc w:val="both"/>
        <w:rPr>
          <w:lang w:val="es-GT"/>
        </w:rPr>
      </w:pPr>
    </w:p>
    <w:p w:rsidR="00E425C1" w:rsidRDefault="00E425C1" w:rsidP="00E425C1">
      <w:pPr>
        <w:jc w:val="both"/>
        <w:rPr>
          <w:lang w:val="es-GT"/>
        </w:rPr>
      </w:pPr>
      <w:r>
        <w:rPr>
          <w:lang w:val="es-GT"/>
        </w:rPr>
        <w:t>En cuanto a la estructura de la recaudación por tipo de impuesto, los impuestos indirectos aumentaron 5.6%, al pasar de Q</w:t>
      </w:r>
      <w:r w:rsidR="00A732B4">
        <w:rPr>
          <w:lang w:val="es-GT"/>
        </w:rPr>
        <w:t>.</w:t>
      </w:r>
      <w:r>
        <w:rPr>
          <w:lang w:val="es-GT"/>
        </w:rPr>
        <w:t>18,322.7 millones en 2018 a Q</w:t>
      </w:r>
      <w:r w:rsidR="00A732B4">
        <w:rPr>
          <w:lang w:val="es-GT"/>
        </w:rPr>
        <w:t>.</w:t>
      </w:r>
      <w:r>
        <w:rPr>
          <w:lang w:val="es-GT"/>
        </w:rPr>
        <w:t>19,355.4 millones en 2019</w:t>
      </w:r>
      <w:r w:rsidR="00A732B4">
        <w:rPr>
          <w:lang w:val="es-GT"/>
        </w:rPr>
        <w:t>,</w:t>
      </w:r>
      <w:r>
        <w:rPr>
          <w:lang w:val="es-GT"/>
        </w:rPr>
        <w:t xml:space="preserve"> con un aumento de Q</w:t>
      </w:r>
      <w:r w:rsidR="00A732B4">
        <w:rPr>
          <w:lang w:val="es-GT"/>
        </w:rPr>
        <w:t>.</w:t>
      </w:r>
      <w:r>
        <w:rPr>
          <w:lang w:val="es-GT"/>
        </w:rPr>
        <w:t xml:space="preserve">1,032.7 millones; </w:t>
      </w:r>
      <w:r w:rsidR="00A732B4">
        <w:rPr>
          <w:lang w:val="es-GT"/>
        </w:rPr>
        <w:t>E</w:t>
      </w:r>
      <w:r>
        <w:rPr>
          <w:lang w:val="es-GT"/>
        </w:rPr>
        <w:t xml:space="preserve">n tanto que los impuestos directos tuvieron un incremento </w:t>
      </w:r>
      <w:r w:rsidR="00A732B4">
        <w:rPr>
          <w:lang w:val="es-GT"/>
        </w:rPr>
        <w:t xml:space="preserve">con </w:t>
      </w:r>
      <w:r>
        <w:rPr>
          <w:lang w:val="es-GT"/>
        </w:rPr>
        <w:t>respecto a 2018 de Q</w:t>
      </w:r>
      <w:r w:rsidR="00A732B4">
        <w:rPr>
          <w:lang w:val="es-GT"/>
        </w:rPr>
        <w:t>.</w:t>
      </w:r>
      <w:r>
        <w:rPr>
          <w:lang w:val="es-GT"/>
        </w:rPr>
        <w:t>119.2 millones</w:t>
      </w:r>
      <w:r w:rsidR="00A732B4">
        <w:rPr>
          <w:lang w:val="es-GT"/>
        </w:rPr>
        <w:t>,</w:t>
      </w:r>
      <w:r>
        <w:rPr>
          <w:lang w:val="es-GT"/>
        </w:rPr>
        <w:t xml:space="preserve"> equivalentes a 1.1%. El régimen tributario continúa mostrando una alta regresividad dado que los impuestos indirectos alcanzan el 64.</w:t>
      </w:r>
      <w:r w:rsidR="00A732B4">
        <w:rPr>
          <w:lang w:val="es-GT"/>
        </w:rPr>
        <w:t>4</w:t>
      </w:r>
      <w:r>
        <w:rPr>
          <w:lang w:val="es-GT"/>
        </w:rPr>
        <w:t>% de la recaudación total.</w:t>
      </w:r>
    </w:p>
    <w:p w:rsidR="00E425C1" w:rsidRPr="00680C5C" w:rsidRDefault="00E425C1" w:rsidP="00E425C1">
      <w:pPr>
        <w:jc w:val="both"/>
        <w:rPr>
          <w:b/>
          <w:sz w:val="20"/>
          <w:lang w:val="es-GT"/>
        </w:rPr>
      </w:pPr>
    </w:p>
    <w:p w:rsidR="00E425C1" w:rsidRPr="0088577C" w:rsidRDefault="00E425C1" w:rsidP="00E425C1">
      <w:pPr>
        <w:jc w:val="center"/>
        <w:rPr>
          <w:b/>
          <w:sz w:val="22"/>
          <w:lang w:val="es-MX"/>
        </w:rPr>
      </w:pPr>
      <w:r w:rsidRPr="0088577C">
        <w:rPr>
          <w:b/>
          <w:sz w:val="22"/>
          <w:lang w:val="es-MX"/>
        </w:rPr>
        <w:t xml:space="preserve">Gráfica </w:t>
      </w:r>
      <w:r>
        <w:rPr>
          <w:b/>
          <w:sz w:val="22"/>
          <w:lang w:val="es-MX"/>
        </w:rPr>
        <w:t>9</w:t>
      </w:r>
      <w:r w:rsidRPr="0088577C">
        <w:rPr>
          <w:b/>
          <w:sz w:val="22"/>
          <w:lang w:val="es-MX"/>
        </w:rPr>
        <w:t xml:space="preserve"> </w:t>
      </w:r>
    </w:p>
    <w:p w:rsidR="00E425C1" w:rsidRPr="0088577C" w:rsidRDefault="00E425C1" w:rsidP="00E425C1">
      <w:pPr>
        <w:jc w:val="center"/>
        <w:rPr>
          <w:b/>
          <w:sz w:val="22"/>
          <w:lang w:val="es-MX"/>
        </w:rPr>
      </w:pPr>
      <w:r w:rsidRPr="0088577C">
        <w:rPr>
          <w:b/>
          <w:sz w:val="22"/>
          <w:lang w:val="es-MX"/>
        </w:rPr>
        <w:t xml:space="preserve">Estructura </w:t>
      </w:r>
      <w:r w:rsidR="00A732B4">
        <w:rPr>
          <w:b/>
          <w:sz w:val="22"/>
          <w:lang w:val="es-MX"/>
        </w:rPr>
        <w:t>T</w:t>
      </w:r>
      <w:r w:rsidRPr="0088577C">
        <w:rPr>
          <w:b/>
          <w:sz w:val="22"/>
          <w:lang w:val="es-MX"/>
        </w:rPr>
        <w:t xml:space="preserve">ributaria por </w:t>
      </w:r>
      <w:r w:rsidR="00A732B4">
        <w:rPr>
          <w:b/>
          <w:sz w:val="22"/>
          <w:lang w:val="es-MX"/>
        </w:rPr>
        <w:t>T</w:t>
      </w:r>
      <w:r w:rsidRPr="0088577C">
        <w:rPr>
          <w:b/>
          <w:sz w:val="22"/>
          <w:lang w:val="es-MX"/>
        </w:rPr>
        <w:t xml:space="preserve">ipo de </w:t>
      </w:r>
      <w:r w:rsidR="00A732B4">
        <w:rPr>
          <w:b/>
          <w:sz w:val="22"/>
          <w:lang w:val="es-MX"/>
        </w:rPr>
        <w:t>I</w:t>
      </w:r>
      <w:r w:rsidRPr="0088577C">
        <w:rPr>
          <w:b/>
          <w:sz w:val="22"/>
          <w:lang w:val="es-MX"/>
        </w:rPr>
        <w:t>mpuesto</w:t>
      </w:r>
    </w:p>
    <w:p w:rsidR="00E425C1" w:rsidRPr="0088577C" w:rsidRDefault="00E425C1" w:rsidP="00E425C1">
      <w:pPr>
        <w:jc w:val="center"/>
        <w:rPr>
          <w:b/>
          <w:sz w:val="22"/>
          <w:lang w:val="es-MX"/>
        </w:rPr>
      </w:pPr>
      <w:r w:rsidRPr="0088577C">
        <w:rPr>
          <w:b/>
          <w:sz w:val="22"/>
          <w:lang w:val="es-MX"/>
        </w:rPr>
        <w:t>Comparativo 201</w:t>
      </w:r>
      <w:r>
        <w:rPr>
          <w:b/>
          <w:sz w:val="22"/>
          <w:lang w:val="es-MX"/>
        </w:rPr>
        <w:t>8</w:t>
      </w:r>
      <w:r w:rsidR="00A732B4">
        <w:rPr>
          <w:b/>
          <w:sz w:val="22"/>
          <w:lang w:val="es-MX"/>
        </w:rPr>
        <w:t xml:space="preserve"> </w:t>
      </w:r>
      <w:r w:rsidRPr="0088577C">
        <w:rPr>
          <w:b/>
          <w:sz w:val="22"/>
          <w:lang w:val="es-MX"/>
        </w:rPr>
        <w:t>-</w:t>
      </w:r>
      <w:r w:rsidR="00A732B4">
        <w:rPr>
          <w:b/>
          <w:sz w:val="22"/>
          <w:lang w:val="es-MX"/>
        </w:rPr>
        <w:t xml:space="preserve"> </w:t>
      </w:r>
      <w:r w:rsidRPr="0088577C">
        <w:rPr>
          <w:b/>
          <w:sz w:val="22"/>
          <w:lang w:val="es-MX"/>
        </w:rPr>
        <w:t>201</w:t>
      </w:r>
      <w:r>
        <w:rPr>
          <w:b/>
          <w:sz w:val="22"/>
          <w:lang w:val="es-MX"/>
        </w:rPr>
        <w:t>9</w:t>
      </w:r>
      <w:r w:rsidRPr="0088577C">
        <w:rPr>
          <w:b/>
          <w:sz w:val="22"/>
          <w:lang w:val="es-MX"/>
        </w:rPr>
        <w:t>*</w:t>
      </w:r>
    </w:p>
    <w:p w:rsidR="00E425C1" w:rsidRDefault="00E425C1" w:rsidP="00E425C1">
      <w:pPr>
        <w:jc w:val="center"/>
        <w:rPr>
          <w:b/>
          <w:noProof/>
          <w:lang w:val="es-GT" w:eastAsia="es-GT"/>
        </w:rPr>
      </w:pPr>
      <w:r w:rsidRPr="0088577C">
        <w:rPr>
          <w:b/>
          <w:sz w:val="22"/>
          <w:lang w:val="es-MX"/>
        </w:rPr>
        <w:t>Al 30 de junio de cada año</w:t>
      </w:r>
    </w:p>
    <w:p w:rsidR="00E425C1" w:rsidRDefault="00E425C1" w:rsidP="00E425C1">
      <w:pPr>
        <w:jc w:val="center"/>
        <w:rPr>
          <w:b/>
          <w:sz w:val="20"/>
          <w:lang w:val="es-MX"/>
        </w:rPr>
      </w:pPr>
      <w:r>
        <w:rPr>
          <w:noProof/>
          <w:lang w:val="es-GT" w:eastAsia="es-GT"/>
        </w:rPr>
        <w:drawing>
          <wp:inline distT="0" distB="0" distL="0" distR="0" wp14:anchorId="4F4E531E" wp14:editId="0AD77C7B">
            <wp:extent cx="2289657" cy="1594713"/>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b/>
          <w:sz w:val="20"/>
          <w:lang w:val="es-MX"/>
        </w:rPr>
        <w:t xml:space="preserve">          </w:t>
      </w:r>
      <w:r>
        <w:rPr>
          <w:noProof/>
          <w:lang w:val="es-GT" w:eastAsia="es-GT"/>
        </w:rPr>
        <w:drawing>
          <wp:inline distT="0" distB="0" distL="0" distR="0" wp14:anchorId="07CF3D00" wp14:editId="3463D2F6">
            <wp:extent cx="2399386" cy="1616659"/>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25C1" w:rsidRPr="005B732C" w:rsidRDefault="00E425C1" w:rsidP="00E425C1">
      <w:pPr>
        <w:jc w:val="both"/>
        <w:rPr>
          <w:sz w:val="18"/>
          <w:szCs w:val="18"/>
          <w:lang w:val="es-GT"/>
        </w:rPr>
      </w:pPr>
      <w:r w:rsidRPr="005B732C">
        <w:rPr>
          <w:sz w:val="18"/>
          <w:szCs w:val="18"/>
          <w:lang w:val="es-GT"/>
        </w:rPr>
        <w:t>*</w:t>
      </w:r>
      <w:r w:rsidR="00387912">
        <w:rPr>
          <w:sz w:val="18"/>
          <w:szCs w:val="18"/>
          <w:lang w:val="es-GT"/>
        </w:rPr>
        <w:t xml:space="preserve"> </w:t>
      </w:r>
      <w:r w:rsidRPr="005B732C">
        <w:rPr>
          <w:sz w:val="18"/>
          <w:szCs w:val="18"/>
          <w:lang w:val="es-GT"/>
        </w:rPr>
        <w:t>Cifras preliminares</w:t>
      </w:r>
      <w:r>
        <w:rPr>
          <w:sz w:val="18"/>
          <w:szCs w:val="18"/>
          <w:lang w:val="es-GT"/>
        </w:rPr>
        <w:t xml:space="preserve"> </w:t>
      </w:r>
    </w:p>
    <w:p w:rsidR="00E425C1" w:rsidRDefault="00387912" w:rsidP="00E425C1">
      <w:pPr>
        <w:jc w:val="both"/>
        <w:rPr>
          <w:lang w:val="es-GT"/>
        </w:rPr>
      </w:pPr>
      <w:r>
        <w:rPr>
          <w:sz w:val="18"/>
          <w:szCs w:val="18"/>
          <w:lang w:val="es-GT"/>
        </w:rPr>
        <w:t xml:space="preserve">   </w:t>
      </w:r>
      <w:r w:rsidR="00E425C1" w:rsidRPr="006C1510">
        <w:rPr>
          <w:sz w:val="18"/>
          <w:szCs w:val="18"/>
          <w:lang w:val="es-GT"/>
        </w:rPr>
        <w:t>Fuente: Ministerio de Finanzas Públicas con base</w:t>
      </w:r>
      <w:r w:rsidR="00E425C1">
        <w:rPr>
          <w:sz w:val="18"/>
          <w:szCs w:val="18"/>
          <w:lang w:val="es-GT"/>
        </w:rPr>
        <w:t xml:space="preserve"> al</w:t>
      </w:r>
      <w:r w:rsidR="00E425C1" w:rsidRPr="006C1510">
        <w:rPr>
          <w:sz w:val="18"/>
          <w:szCs w:val="18"/>
          <w:lang w:val="es-GT"/>
        </w:rPr>
        <w:t xml:space="preserve"> SICOIN</w:t>
      </w:r>
      <w:r w:rsidR="00E425C1">
        <w:rPr>
          <w:sz w:val="18"/>
          <w:szCs w:val="18"/>
          <w:lang w:val="es-GT"/>
        </w:rPr>
        <w:t>.</w:t>
      </w:r>
    </w:p>
    <w:p w:rsidR="00E425C1" w:rsidRPr="00A76096" w:rsidRDefault="00E425C1" w:rsidP="00E425C1">
      <w:pPr>
        <w:jc w:val="both"/>
        <w:rPr>
          <w:sz w:val="4"/>
          <w:lang w:val="es-GT"/>
        </w:rPr>
      </w:pPr>
    </w:p>
    <w:p w:rsidR="00E425C1" w:rsidRDefault="00E425C1" w:rsidP="00E425C1">
      <w:pPr>
        <w:jc w:val="both"/>
        <w:rPr>
          <w:lang w:val="es-GT"/>
        </w:rPr>
      </w:pPr>
    </w:p>
    <w:p w:rsidR="00E425C1" w:rsidRDefault="00E425C1" w:rsidP="00E425C1">
      <w:pPr>
        <w:jc w:val="both"/>
        <w:rPr>
          <w:lang w:val="es-GT"/>
        </w:rPr>
      </w:pPr>
      <w:r w:rsidRPr="009A4D94">
        <w:rPr>
          <w:lang w:val="es-GT"/>
        </w:rPr>
        <w:t xml:space="preserve">Al </w:t>
      </w:r>
      <w:r>
        <w:rPr>
          <w:lang w:val="es-GT"/>
        </w:rPr>
        <w:t xml:space="preserve">30 </w:t>
      </w:r>
      <w:r w:rsidRPr="009A4D94">
        <w:rPr>
          <w:lang w:val="es-GT"/>
        </w:rPr>
        <w:t xml:space="preserve">de </w:t>
      </w:r>
      <w:r>
        <w:rPr>
          <w:lang w:val="es-GT"/>
        </w:rPr>
        <w:t xml:space="preserve">junio </w:t>
      </w:r>
      <w:r w:rsidR="00A732B4">
        <w:rPr>
          <w:lang w:val="es-GT"/>
        </w:rPr>
        <w:t xml:space="preserve">de </w:t>
      </w:r>
      <w:r>
        <w:rPr>
          <w:lang w:val="es-GT"/>
        </w:rPr>
        <w:t>2019</w:t>
      </w:r>
      <w:r w:rsidRPr="009A4D94">
        <w:rPr>
          <w:lang w:val="es-GT"/>
        </w:rPr>
        <w:t xml:space="preserve">, los ingresos tributarios </w:t>
      </w:r>
      <w:r>
        <w:rPr>
          <w:lang w:val="es-GT"/>
        </w:rPr>
        <w:t>acumulados netos se situaron en Q</w:t>
      </w:r>
      <w:r w:rsidR="00A732B4">
        <w:rPr>
          <w:lang w:val="es-GT"/>
        </w:rPr>
        <w:t>.</w:t>
      </w:r>
      <w:r>
        <w:rPr>
          <w:lang w:val="es-GT"/>
        </w:rPr>
        <w:t>30,061.2 millones</w:t>
      </w:r>
      <w:r w:rsidR="00A732B4">
        <w:rPr>
          <w:lang w:val="es-GT"/>
        </w:rPr>
        <w:t>,</w:t>
      </w:r>
      <w:r>
        <w:rPr>
          <w:lang w:val="es-GT"/>
        </w:rPr>
        <w:t xml:space="preserve"> superior en Q</w:t>
      </w:r>
      <w:r w:rsidR="00A732B4">
        <w:rPr>
          <w:lang w:val="es-GT"/>
        </w:rPr>
        <w:t>.</w:t>
      </w:r>
      <w:r>
        <w:rPr>
          <w:lang w:val="es-GT"/>
        </w:rPr>
        <w:t xml:space="preserve">1,151.8 millones (equivalentes a un 4.0%) a lo observado durante el </w:t>
      </w:r>
      <w:r>
        <w:rPr>
          <w:lang w:val="es-GT"/>
        </w:rPr>
        <w:lastRenderedPageBreak/>
        <w:t xml:space="preserve">mismo período de 2018. </w:t>
      </w:r>
      <w:r w:rsidR="00A732B4">
        <w:rPr>
          <w:lang w:val="es-GT"/>
        </w:rPr>
        <w:t>E</w:t>
      </w:r>
      <w:r>
        <w:rPr>
          <w:lang w:val="es-GT"/>
        </w:rPr>
        <w:t>ste aumento es resultado del buen desempeño de los impuestos internos, específicamente de los indirectos, dentro de los cuales el mejor desempeño lo tuvo el IVA doméstico y el Impuesto a la Distribución de Petróleo y Derivados.</w:t>
      </w:r>
    </w:p>
    <w:p w:rsidR="00E425C1" w:rsidRDefault="00E425C1" w:rsidP="00E425C1">
      <w:pPr>
        <w:jc w:val="both"/>
        <w:rPr>
          <w:lang w:val="es-GT"/>
        </w:rPr>
      </w:pPr>
    </w:p>
    <w:p w:rsidR="00E425C1" w:rsidRDefault="00E425C1" w:rsidP="00E425C1">
      <w:pPr>
        <w:jc w:val="both"/>
        <w:rPr>
          <w:lang w:val="es-GT"/>
        </w:rPr>
      </w:pPr>
    </w:p>
    <w:p w:rsidR="00E425C1" w:rsidRPr="0088577C" w:rsidRDefault="00E425C1" w:rsidP="00E425C1">
      <w:pPr>
        <w:jc w:val="center"/>
        <w:rPr>
          <w:b/>
          <w:sz w:val="22"/>
          <w:szCs w:val="22"/>
          <w:lang w:val="es-MX"/>
        </w:rPr>
      </w:pPr>
      <w:r w:rsidRPr="0088577C">
        <w:rPr>
          <w:b/>
          <w:sz w:val="22"/>
          <w:szCs w:val="22"/>
          <w:lang w:val="es-MX"/>
        </w:rPr>
        <w:t xml:space="preserve">Gráfica </w:t>
      </w:r>
      <w:r>
        <w:rPr>
          <w:b/>
          <w:sz w:val="22"/>
          <w:szCs w:val="22"/>
          <w:lang w:val="es-MX"/>
        </w:rPr>
        <w:t>10</w:t>
      </w:r>
    </w:p>
    <w:p w:rsidR="00E425C1" w:rsidRPr="0088577C" w:rsidRDefault="00E425C1" w:rsidP="00E425C1">
      <w:pPr>
        <w:jc w:val="center"/>
        <w:rPr>
          <w:b/>
          <w:sz w:val="22"/>
          <w:szCs w:val="22"/>
          <w:lang w:val="es-MX"/>
        </w:rPr>
      </w:pPr>
      <w:r w:rsidRPr="0088577C">
        <w:rPr>
          <w:b/>
          <w:sz w:val="22"/>
          <w:szCs w:val="22"/>
          <w:lang w:val="es-MX"/>
        </w:rPr>
        <w:t xml:space="preserve"> </w:t>
      </w:r>
      <w:bookmarkStart w:id="10" w:name="OLE_LINK1"/>
      <w:r w:rsidRPr="0088577C">
        <w:rPr>
          <w:b/>
          <w:sz w:val="22"/>
          <w:szCs w:val="22"/>
          <w:lang w:val="es-MX"/>
        </w:rPr>
        <w:t xml:space="preserve">Recaudación Neta Acumulada </w:t>
      </w:r>
    </w:p>
    <w:p w:rsidR="00E425C1" w:rsidRPr="0088577C" w:rsidRDefault="00EB3A2D" w:rsidP="00E425C1">
      <w:pPr>
        <w:jc w:val="center"/>
        <w:rPr>
          <w:b/>
          <w:sz w:val="22"/>
          <w:szCs w:val="22"/>
          <w:lang w:val="es-MX"/>
        </w:rPr>
      </w:pPr>
      <w:r w:rsidRPr="0088577C">
        <w:rPr>
          <w:b/>
          <w:sz w:val="22"/>
          <w:szCs w:val="22"/>
          <w:lang w:val="es-MX"/>
        </w:rPr>
        <w:t>Al</w:t>
      </w:r>
      <w:r w:rsidR="00E425C1" w:rsidRPr="0088577C">
        <w:rPr>
          <w:b/>
          <w:sz w:val="22"/>
          <w:szCs w:val="22"/>
          <w:lang w:val="es-MX"/>
        </w:rPr>
        <w:t xml:space="preserve"> 30 de junio de cada año</w:t>
      </w:r>
    </w:p>
    <w:p w:rsidR="00E425C1" w:rsidRPr="0088577C" w:rsidRDefault="00E425C1" w:rsidP="00E425C1">
      <w:pPr>
        <w:jc w:val="center"/>
        <w:rPr>
          <w:b/>
          <w:sz w:val="22"/>
          <w:szCs w:val="22"/>
          <w:lang w:val="es-MX"/>
        </w:rPr>
      </w:pPr>
      <w:r w:rsidRPr="0088577C">
        <w:rPr>
          <w:b/>
          <w:sz w:val="22"/>
          <w:szCs w:val="22"/>
          <w:lang w:val="es-MX"/>
        </w:rPr>
        <w:t>Período 201</w:t>
      </w:r>
      <w:r>
        <w:rPr>
          <w:b/>
          <w:sz w:val="22"/>
          <w:szCs w:val="22"/>
          <w:lang w:val="es-MX"/>
        </w:rPr>
        <w:t>0</w:t>
      </w:r>
      <w:r w:rsidR="00A732B4">
        <w:rPr>
          <w:b/>
          <w:sz w:val="22"/>
          <w:szCs w:val="22"/>
          <w:lang w:val="es-MX"/>
        </w:rPr>
        <w:t xml:space="preserve"> </w:t>
      </w:r>
      <w:r w:rsidRPr="0088577C">
        <w:rPr>
          <w:b/>
          <w:sz w:val="22"/>
          <w:szCs w:val="22"/>
          <w:lang w:val="es-MX"/>
        </w:rPr>
        <w:t>-</w:t>
      </w:r>
      <w:r w:rsidR="00A732B4">
        <w:rPr>
          <w:b/>
          <w:sz w:val="22"/>
          <w:szCs w:val="22"/>
          <w:lang w:val="es-MX"/>
        </w:rPr>
        <w:t xml:space="preserve"> </w:t>
      </w:r>
      <w:r w:rsidRPr="0088577C">
        <w:rPr>
          <w:b/>
          <w:sz w:val="22"/>
          <w:szCs w:val="22"/>
          <w:lang w:val="es-MX"/>
        </w:rPr>
        <w:t>201</w:t>
      </w:r>
      <w:r>
        <w:rPr>
          <w:b/>
          <w:sz w:val="22"/>
          <w:szCs w:val="22"/>
          <w:lang w:val="es-MX"/>
        </w:rPr>
        <w:t>9</w:t>
      </w:r>
      <w:r w:rsidRPr="0088577C">
        <w:rPr>
          <w:b/>
          <w:sz w:val="22"/>
          <w:szCs w:val="22"/>
          <w:lang w:val="es-MX"/>
        </w:rPr>
        <w:t>*</w:t>
      </w:r>
    </w:p>
    <w:bookmarkEnd w:id="10"/>
    <w:p w:rsidR="00E425C1" w:rsidRDefault="00E425C1" w:rsidP="00E425C1">
      <w:pPr>
        <w:jc w:val="center"/>
        <w:rPr>
          <w:noProof/>
          <w:lang w:val="es-GT" w:eastAsia="es-GT"/>
        </w:rPr>
      </w:pPr>
      <w:r>
        <w:rPr>
          <w:noProof/>
          <w:lang w:val="es-GT" w:eastAsia="es-GT"/>
        </w:rPr>
        <w:drawing>
          <wp:inline distT="0" distB="0" distL="0" distR="0" wp14:anchorId="74A0F66A" wp14:editId="5E1A328C">
            <wp:extent cx="5465928" cy="2961564"/>
            <wp:effectExtent l="0" t="0" r="20955" b="1079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25C1" w:rsidRDefault="00387912" w:rsidP="00E425C1">
      <w:pPr>
        <w:jc w:val="both"/>
        <w:rPr>
          <w:sz w:val="18"/>
        </w:rPr>
      </w:pPr>
      <w:r>
        <w:rPr>
          <w:sz w:val="18"/>
        </w:rPr>
        <w:t xml:space="preserve">     </w:t>
      </w:r>
      <w:r w:rsidR="00E425C1">
        <w:rPr>
          <w:sz w:val="18"/>
        </w:rPr>
        <w:t>*</w:t>
      </w:r>
      <w:r>
        <w:rPr>
          <w:sz w:val="18"/>
        </w:rPr>
        <w:t xml:space="preserve"> </w:t>
      </w:r>
      <w:r w:rsidR="00A732B4">
        <w:rPr>
          <w:sz w:val="18"/>
        </w:rPr>
        <w:t>C</w:t>
      </w:r>
      <w:r w:rsidR="00E425C1" w:rsidRPr="007417CD">
        <w:rPr>
          <w:sz w:val="18"/>
        </w:rPr>
        <w:t>ifras preliminares</w:t>
      </w:r>
    </w:p>
    <w:p w:rsidR="00E425C1" w:rsidRDefault="00387912" w:rsidP="00E425C1">
      <w:pPr>
        <w:jc w:val="both"/>
        <w:rPr>
          <w:sz w:val="18"/>
        </w:rPr>
      </w:pPr>
      <w:r>
        <w:rPr>
          <w:sz w:val="18"/>
        </w:rPr>
        <w:t xml:space="preserve">        </w:t>
      </w:r>
      <w:r w:rsidR="00E425C1" w:rsidRPr="00693E53">
        <w:rPr>
          <w:sz w:val="18"/>
        </w:rPr>
        <w:t>Fuente: Ministerio de Finanzas Públicas con base al SICOIN.</w:t>
      </w: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D62C89" w:rsidRDefault="00D62C89"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Default="00E425C1" w:rsidP="00E425C1">
      <w:pPr>
        <w:jc w:val="both"/>
        <w:rPr>
          <w:sz w:val="18"/>
        </w:rPr>
      </w:pPr>
    </w:p>
    <w:p w:rsidR="00E425C1" w:rsidRPr="00835314" w:rsidRDefault="00E425C1" w:rsidP="0059599D">
      <w:pPr>
        <w:pStyle w:val="Ttulo2"/>
        <w:numPr>
          <w:ilvl w:val="0"/>
          <w:numId w:val="35"/>
        </w:numPr>
        <w:ind w:left="709" w:hanging="709"/>
        <w:rPr>
          <w:rFonts w:ascii="Times New Roman" w:hAnsi="Times New Roman"/>
          <w:color w:val="auto"/>
          <w:sz w:val="24"/>
        </w:rPr>
      </w:pPr>
      <w:bookmarkStart w:id="11" w:name="_Toc20495564"/>
      <w:r>
        <w:rPr>
          <w:rFonts w:ascii="Times New Roman" w:hAnsi="Times New Roman"/>
          <w:color w:val="auto"/>
          <w:sz w:val="24"/>
        </w:rPr>
        <w:lastRenderedPageBreak/>
        <w:t>Gastos</w:t>
      </w:r>
      <w:bookmarkEnd w:id="11"/>
    </w:p>
    <w:p w:rsidR="00E425C1" w:rsidRPr="00C87438" w:rsidRDefault="00E425C1" w:rsidP="00E425C1">
      <w:pPr>
        <w:rPr>
          <w:b/>
          <w:bCs/>
          <w:highlight w:val="yellow"/>
          <w:lang w:val="es-MX"/>
        </w:rPr>
      </w:pPr>
    </w:p>
    <w:p w:rsidR="00E425C1" w:rsidRDefault="00E425C1" w:rsidP="00E425C1">
      <w:pPr>
        <w:jc w:val="both"/>
        <w:rPr>
          <w:lang w:val="es-MX"/>
        </w:rPr>
      </w:pPr>
      <w:r w:rsidRPr="00FB641E">
        <w:rPr>
          <w:lang w:val="es-MX"/>
        </w:rPr>
        <w:t>Al 30 de junio de 201</w:t>
      </w:r>
      <w:r>
        <w:rPr>
          <w:lang w:val="es-MX"/>
        </w:rPr>
        <w:t>9</w:t>
      </w:r>
      <w:r w:rsidRPr="00FB641E">
        <w:rPr>
          <w:lang w:val="es-MX"/>
        </w:rPr>
        <w:t xml:space="preserve"> se </w:t>
      </w:r>
      <w:r>
        <w:rPr>
          <w:lang w:val="es-MX"/>
        </w:rPr>
        <w:t>ejecutaron</w:t>
      </w:r>
      <w:r w:rsidRPr="00FB641E">
        <w:rPr>
          <w:lang w:val="es-MX"/>
        </w:rPr>
        <w:t xml:space="preserve"> Q</w:t>
      </w:r>
      <w:r w:rsidR="004C3DB9">
        <w:rPr>
          <w:lang w:val="es-MX"/>
        </w:rPr>
        <w:t>.</w:t>
      </w:r>
      <w:r>
        <w:rPr>
          <w:lang w:val="es-MX"/>
        </w:rPr>
        <w:t>37</w:t>
      </w:r>
      <w:r w:rsidRPr="00FB641E">
        <w:rPr>
          <w:lang w:val="es-MX"/>
        </w:rPr>
        <w:t>,</w:t>
      </w:r>
      <w:r>
        <w:rPr>
          <w:lang w:val="es-MX"/>
        </w:rPr>
        <w:t>890.0</w:t>
      </w:r>
      <w:r w:rsidRPr="00FB641E">
        <w:rPr>
          <w:lang w:val="es-MX"/>
        </w:rPr>
        <w:t xml:space="preserve"> millones, </w:t>
      </w:r>
      <w:r>
        <w:rPr>
          <w:lang w:val="es-MX"/>
        </w:rPr>
        <w:t>equivalentes al 42.9</w:t>
      </w:r>
      <w:r w:rsidRPr="00FB641E">
        <w:rPr>
          <w:lang w:val="es-MX"/>
        </w:rPr>
        <w:t>% del presupuesto vigente</w:t>
      </w:r>
      <w:r w:rsidR="004C3DB9">
        <w:rPr>
          <w:lang w:val="es-MX"/>
        </w:rPr>
        <w:t>;</w:t>
      </w:r>
      <w:r w:rsidRPr="00FB641E">
        <w:rPr>
          <w:lang w:val="es-MX"/>
        </w:rPr>
        <w:t xml:space="preserve"> </w:t>
      </w:r>
      <w:r w:rsidR="004C3DB9">
        <w:rPr>
          <w:lang w:val="es-MX"/>
        </w:rPr>
        <w:t>e</w:t>
      </w:r>
      <w:r>
        <w:rPr>
          <w:lang w:val="es-MX"/>
        </w:rPr>
        <w:t>sta ejecución fue mayor en Q</w:t>
      </w:r>
      <w:r w:rsidR="004C3DB9">
        <w:rPr>
          <w:lang w:val="es-MX"/>
        </w:rPr>
        <w:t>.</w:t>
      </w:r>
      <w:r>
        <w:rPr>
          <w:lang w:val="es-MX"/>
        </w:rPr>
        <w:t xml:space="preserve">5,386.4 millones </w:t>
      </w:r>
      <w:r w:rsidR="004C3DB9">
        <w:rPr>
          <w:lang w:val="es-MX"/>
        </w:rPr>
        <w:t xml:space="preserve">con </w:t>
      </w:r>
      <w:r>
        <w:rPr>
          <w:lang w:val="es-MX"/>
        </w:rPr>
        <w:t>respeto a lo observado a junio de 2018</w:t>
      </w:r>
      <w:r w:rsidRPr="00FB641E">
        <w:rPr>
          <w:lang w:val="es-MX"/>
        </w:rPr>
        <w:t xml:space="preserve">. </w:t>
      </w:r>
      <w:r>
        <w:rPr>
          <w:lang w:val="es-MX"/>
        </w:rPr>
        <w:t xml:space="preserve">La estructura del aumento refleja que el 51.7% corresponde al gasto </w:t>
      </w:r>
      <w:r w:rsidR="004C3DB9">
        <w:rPr>
          <w:lang w:val="es-MX"/>
        </w:rPr>
        <w:t>de</w:t>
      </w:r>
      <w:r>
        <w:rPr>
          <w:lang w:val="es-MX"/>
        </w:rPr>
        <w:t xml:space="preserve"> funcionamiento, el 34.5% al gasto en inversión, y la diferencia restante corresponde al pago del servicio de la deuda pública que fue del 13.</w:t>
      </w:r>
      <w:r w:rsidR="004C3DB9">
        <w:rPr>
          <w:lang w:val="es-MX"/>
        </w:rPr>
        <w:t>8</w:t>
      </w:r>
      <w:r>
        <w:rPr>
          <w:lang w:val="es-MX"/>
        </w:rPr>
        <w:t>%</w:t>
      </w:r>
      <w:r w:rsidRPr="00FB641E">
        <w:rPr>
          <w:lang w:val="es-MX"/>
        </w:rPr>
        <w:t>.</w:t>
      </w:r>
    </w:p>
    <w:p w:rsidR="00E425C1" w:rsidRDefault="00E425C1" w:rsidP="00E425C1">
      <w:pPr>
        <w:jc w:val="both"/>
        <w:rPr>
          <w:lang w:val="es-MX"/>
        </w:rPr>
      </w:pPr>
    </w:p>
    <w:p w:rsidR="00E425C1" w:rsidRPr="00FB641E" w:rsidRDefault="00E425C1" w:rsidP="00E425C1">
      <w:pPr>
        <w:jc w:val="both"/>
        <w:rPr>
          <w:lang w:val="es-MX"/>
        </w:rPr>
      </w:pPr>
      <w:r>
        <w:rPr>
          <w:lang w:val="es-MX"/>
        </w:rPr>
        <w:t>Al observar el presupuesto vigente de cada año, el de 2019 tiene un aumento de Q</w:t>
      </w:r>
      <w:r w:rsidR="004C3DB9">
        <w:rPr>
          <w:lang w:val="es-MX"/>
        </w:rPr>
        <w:t>.</w:t>
      </w:r>
      <w:r>
        <w:rPr>
          <w:lang w:val="es-MX"/>
        </w:rPr>
        <w:t xml:space="preserve">11,000.2 millones </w:t>
      </w:r>
      <w:r w:rsidR="004C3DB9">
        <w:rPr>
          <w:lang w:val="es-MX"/>
        </w:rPr>
        <w:t xml:space="preserve">con </w:t>
      </w:r>
      <w:r>
        <w:rPr>
          <w:lang w:val="es-MX"/>
        </w:rPr>
        <w:t xml:space="preserve">respecto al de 2018, </w:t>
      </w:r>
      <w:r w:rsidR="004C3DB9">
        <w:rPr>
          <w:lang w:val="es-MX"/>
        </w:rPr>
        <w:t>equivalentes al</w:t>
      </w:r>
      <w:r>
        <w:rPr>
          <w:lang w:val="es-MX"/>
        </w:rPr>
        <w:t xml:space="preserve"> 14.2%, lo cual genera que el porcentaje de ejecución tenga poco crecimiento</w:t>
      </w:r>
      <w:r w:rsidR="004C3DB9">
        <w:rPr>
          <w:lang w:val="es-MX"/>
        </w:rPr>
        <w:t>;</w:t>
      </w:r>
      <w:r>
        <w:rPr>
          <w:lang w:val="es-MX"/>
        </w:rPr>
        <w:t xml:space="preserve"> sin embargo, al observar las cifras nominales se denota un crecimiento considerable en cada uno de los componentes del tipo de gasto que en su conjunto fue de Q</w:t>
      </w:r>
      <w:r w:rsidR="004C3DB9">
        <w:rPr>
          <w:lang w:val="es-MX"/>
        </w:rPr>
        <w:t>.</w:t>
      </w:r>
      <w:r>
        <w:rPr>
          <w:lang w:val="es-MX"/>
        </w:rPr>
        <w:t>5,386.4 millones, distribuidos así:</w:t>
      </w:r>
    </w:p>
    <w:p w:rsidR="00E425C1" w:rsidRDefault="00E425C1" w:rsidP="00E425C1">
      <w:pPr>
        <w:rPr>
          <w:b/>
          <w:sz w:val="22"/>
          <w:szCs w:val="22"/>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3</w:t>
      </w:r>
    </w:p>
    <w:p w:rsidR="00E425C1" w:rsidRPr="0088577C" w:rsidRDefault="00E425C1" w:rsidP="00E425C1">
      <w:pPr>
        <w:jc w:val="center"/>
        <w:rPr>
          <w:b/>
          <w:sz w:val="22"/>
          <w:szCs w:val="22"/>
          <w:lang w:val="es-MX"/>
        </w:rPr>
      </w:pPr>
      <w:r w:rsidRPr="0088577C">
        <w:rPr>
          <w:b/>
          <w:sz w:val="22"/>
          <w:szCs w:val="22"/>
          <w:lang w:val="es-MX"/>
        </w:rPr>
        <w:t>Ejecución Presupuestaria por Tipo de Gasto</w:t>
      </w:r>
    </w:p>
    <w:p w:rsidR="00E425C1" w:rsidRPr="0088577C" w:rsidRDefault="00E425C1" w:rsidP="00E425C1">
      <w:pPr>
        <w:jc w:val="center"/>
        <w:rPr>
          <w:b/>
          <w:sz w:val="22"/>
          <w:szCs w:val="22"/>
          <w:lang w:val="es-MX"/>
        </w:rPr>
      </w:pPr>
      <w:r w:rsidRPr="0088577C">
        <w:rPr>
          <w:b/>
          <w:sz w:val="22"/>
          <w:szCs w:val="22"/>
          <w:lang w:val="es-MX"/>
        </w:rPr>
        <w:t xml:space="preserve">Al 30 de junio de </w:t>
      </w:r>
      <w:r>
        <w:rPr>
          <w:b/>
          <w:sz w:val="22"/>
          <w:szCs w:val="22"/>
          <w:lang w:val="es-MX"/>
        </w:rPr>
        <w:t>2018 y 2019</w:t>
      </w:r>
    </w:p>
    <w:p w:rsidR="00E425C1" w:rsidRPr="0088577C" w:rsidRDefault="00E425C1" w:rsidP="00E425C1">
      <w:pPr>
        <w:jc w:val="center"/>
        <w:rPr>
          <w:b/>
          <w:sz w:val="22"/>
          <w:szCs w:val="22"/>
          <w:lang w:val="es-MX"/>
        </w:rPr>
      </w:pPr>
      <w:r w:rsidRPr="0088577C">
        <w:rPr>
          <w:b/>
          <w:sz w:val="22"/>
          <w:szCs w:val="22"/>
          <w:lang w:val="es-MX"/>
        </w:rPr>
        <w:t>(Cifras en Millones de Quetzales</w:t>
      </w:r>
      <w:r>
        <w:rPr>
          <w:b/>
          <w:sz w:val="22"/>
          <w:szCs w:val="22"/>
          <w:lang w:val="es-MX"/>
        </w:rPr>
        <w:t xml:space="preserve"> y Porcentajes</w:t>
      </w:r>
      <w:r w:rsidRPr="0088577C">
        <w:rPr>
          <w:b/>
          <w:sz w:val="22"/>
          <w:szCs w:val="22"/>
          <w:lang w:val="es-MX"/>
        </w:rPr>
        <w:t>)</w:t>
      </w:r>
    </w:p>
    <w:p w:rsidR="00E425C1" w:rsidRDefault="00E425C1" w:rsidP="00E425C1">
      <w:pPr>
        <w:jc w:val="center"/>
        <w:rPr>
          <w:rFonts w:ascii="Calibri" w:eastAsia="Calibri" w:hAnsi="Calibri"/>
          <w:sz w:val="20"/>
          <w:szCs w:val="20"/>
          <w:lang w:val="es-MX" w:eastAsia="es-MX"/>
        </w:rPr>
      </w:pPr>
      <w:r>
        <w:rPr>
          <w:lang w:val="es-MX"/>
        </w:rPr>
        <w:fldChar w:fldCharType="begin"/>
      </w:r>
      <w:r>
        <w:rPr>
          <w:lang w:val="es-MX"/>
        </w:rPr>
        <w:instrText xml:space="preserve"> LINK Excel.Sheet.12 "C:\\Users\\deefoper12\\Documents\\2019\\DEF\\Informe de Medio año\\Cuadros a junio.xlsx" "Tipo Gto!F11C3:F18C8" \a \f 4 \h  \* MERGEFORMAT </w:instrText>
      </w:r>
      <w:r>
        <w:rPr>
          <w:lang w:val="es-MX"/>
        </w:rPr>
        <w:fldChar w:fldCharType="separate"/>
      </w:r>
    </w:p>
    <w:tbl>
      <w:tblPr>
        <w:tblW w:w="8917" w:type="dxa"/>
        <w:jc w:val="center"/>
        <w:tblInd w:w="-861" w:type="dxa"/>
        <w:tblCellMar>
          <w:left w:w="70" w:type="dxa"/>
          <w:right w:w="70" w:type="dxa"/>
        </w:tblCellMar>
        <w:tblLook w:val="04A0" w:firstRow="1" w:lastRow="0" w:firstColumn="1" w:lastColumn="0" w:noHBand="0" w:noVBand="1"/>
      </w:tblPr>
      <w:tblGrid>
        <w:gridCol w:w="3131"/>
        <w:gridCol w:w="1060"/>
        <w:gridCol w:w="1100"/>
        <w:gridCol w:w="1169"/>
        <w:gridCol w:w="1134"/>
        <w:gridCol w:w="1323"/>
      </w:tblGrid>
      <w:tr w:rsidR="00E425C1" w:rsidRPr="00B92085" w:rsidTr="00567AE9">
        <w:trPr>
          <w:trHeight w:val="390"/>
          <w:jc w:val="center"/>
        </w:trPr>
        <w:tc>
          <w:tcPr>
            <w:tcW w:w="3131"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Tipo de Gasto</w:t>
            </w:r>
          </w:p>
        </w:tc>
        <w:tc>
          <w:tcPr>
            <w:tcW w:w="106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2018</w:t>
            </w:r>
          </w:p>
        </w:tc>
        <w:tc>
          <w:tcPr>
            <w:tcW w:w="110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2019</w:t>
            </w:r>
          </w:p>
        </w:tc>
        <w:tc>
          <w:tcPr>
            <w:tcW w:w="2303" w:type="dxa"/>
            <w:gridSpan w:val="2"/>
            <w:tcBorders>
              <w:top w:val="single" w:sz="8" w:space="0" w:color="auto"/>
              <w:left w:val="nil"/>
              <w:bottom w:val="nil"/>
              <w:right w:val="single" w:sz="8" w:space="0" w:color="000000"/>
            </w:tcBorders>
            <w:shd w:val="clear" w:color="000000" w:fill="8DB4E2"/>
            <w:noWrap/>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Diferencias</w:t>
            </w:r>
          </w:p>
        </w:tc>
        <w:tc>
          <w:tcPr>
            <w:tcW w:w="1323" w:type="dxa"/>
            <w:vMerge w:val="restart"/>
            <w:tcBorders>
              <w:top w:val="single" w:sz="8" w:space="0" w:color="auto"/>
              <w:left w:val="single" w:sz="8" w:space="0" w:color="auto"/>
              <w:bottom w:val="single" w:sz="4" w:space="0" w:color="000000"/>
              <w:right w:val="single" w:sz="8" w:space="0" w:color="auto"/>
            </w:tcBorders>
            <w:shd w:val="clear" w:color="000000" w:fill="8DB4E2"/>
            <w:vAlign w:val="center"/>
            <w:hideMark/>
          </w:tcPr>
          <w:p w:rsidR="00E425C1" w:rsidRPr="00B92085" w:rsidRDefault="00E425C1" w:rsidP="00567AE9">
            <w:pPr>
              <w:jc w:val="center"/>
              <w:rPr>
                <w:b/>
                <w:bCs/>
                <w:color w:val="000000"/>
                <w:sz w:val="22"/>
                <w:szCs w:val="22"/>
                <w:lang w:val="es-GT" w:eastAsia="es-GT"/>
              </w:rPr>
            </w:pPr>
            <w:r w:rsidRPr="00B92085">
              <w:rPr>
                <w:b/>
                <w:bCs/>
                <w:color w:val="000000"/>
                <w:sz w:val="22"/>
                <w:szCs w:val="22"/>
                <w:lang w:val="es-GT" w:eastAsia="es-GT"/>
              </w:rPr>
              <w:t xml:space="preserve">Estructura </w:t>
            </w:r>
            <w:r w:rsidR="00445350">
              <w:rPr>
                <w:b/>
                <w:bCs/>
                <w:color w:val="000000"/>
                <w:sz w:val="22"/>
                <w:szCs w:val="22"/>
                <w:lang w:val="es-GT" w:eastAsia="es-GT"/>
              </w:rPr>
              <w:t>Porcentual</w:t>
            </w:r>
          </w:p>
        </w:tc>
      </w:tr>
      <w:tr w:rsidR="00E425C1" w:rsidRPr="00B92085" w:rsidTr="00567AE9">
        <w:trPr>
          <w:trHeight w:val="390"/>
          <w:jc w:val="center"/>
        </w:trPr>
        <w:tc>
          <w:tcPr>
            <w:tcW w:w="3131" w:type="dxa"/>
            <w:vMerge/>
            <w:tcBorders>
              <w:top w:val="single" w:sz="8" w:space="0" w:color="auto"/>
              <w:left w:val="single" w:sz="8" w:space="0" w:color="auto"/>
              <w:bottom w:val="single" w:sz="4" w:space="0" w:color="000000"/>
              <w:right w:val="nil"/>
            </w:tcBorders>
            <w:vAlign w:val="center"/>
            <w:hideMark/>
          </w:tcPr>
          <w:p w:rsidR="00E425C1" w:rsidRPr="00B92085" w:rsidRDefault="00E425C1" w:rsidP="00E425C1">
            <w:pPr>
              <w:rPr>
                <w:b/>
                <w:bCs/>
                <w:color w:val="000000"/>
                <w:sz w:val="20"/>
                <w:szCs w:val="20"/>
                <w:lang w:val="es-GT" w:eastAsia="es-GT"/>
              </w:rPr>
            </w:pPr>
          </w:p>
        </w:tc>
        <w:tc>
          <w:tcPr>
            <w:tcW w:w="1060" w:type="dxa"/>
            <w:vMerge/>
            <w:tcBorders>
              <w:top w:val="single" w:sz="8" w:space="0" w:color="auto"/>
              <w:left w:val="single" w:sz="4" w:space="0" w:color="auto"/>
              <w:bottom w:val="single" w:sz="4" w:space="0" w:color="000000"/>
              <w:right w:val="single" w:sz="4" w:space="0" w:color="auto"/>
            </w:tcBorders>
            <w:vAlign w:val="center"/>
            <w:hideMark/>
          </w:tcPr>
          <w:p w:rsidR="00E425C1" w:rsidRPr="00B92085" w:rsidRDefault="00E425C1" w:rsidP="00E425C1">
            <w:pPr>
              <w:rPr>
                <w:b/>
                <w:bCs/>
                <w:color w:val="000000"/>
                <w:sz w:val="20"/>
                <w:szCs w:val="20"/>
                <w:lang w:val="es-GT" w:eastAsia="es-GT"/>
              </w:rPr>
            </w:pPr>
          </w:p>
        </w:tc>
        <w:tc>
          <w:tcPr>
            <w:tcW w:w="1100" w:type="dxa"/>
            <w:vMerge/>
            <w:tcBorders>
              <w:top w:val="single" w:sz="8" w:space="0" w:color="auto"/>
              <w:left w:val="single" w:sz="4" w:space="0" w:color="auto"/>
              <w:bottom w:val="single" w:sz="4" w:space="0" w:color="000000"/>
              <w:right w:val="single" w:sz="4" w:space="0" w:color="auto"/>
            </w:tcBorders>
            <w:vAlign w:val="center"/>
            <w:hideMark/>
          </w:tcPr>
          <w:p w:rsidR="00E425C1" w:rsidRPr="00B92085" w:rsidRDefault="00E425C1" w:rsidP="00E425C1">
            <w:pPr>
              <w:rPr>
                <w:b/>
                <w:bCs/>
                <w:color w:val="000000"/>
                <w:sz w:val="20"/>
                <w:szCs w:val="20"/>
                <w:lang w:val="es-GT" w:eastAsia="es-GT"/>
              </w:rPr>
            </w:pPr>
          </w:p>
        </w:tc>
        <w:tc>
          <w:tcPr>
            <w:tcW w:w="1169" w:type="dxa"/>
            <w:tcBorders>
              <w:top w:val="single" w:sz="4" w:space="0" w:color="auto"/>
              <w:left w:val="nil"/>
              <w:bottom w:val="single" w:sz="4" w:space="0" w:color="auto"/>
              <w:right w:val="single" w:sz="4" w:space="0" w:color="auto"/>
            </w:tcBorders>
            <w:shd w:val="clear" w:color="000000" w:fill="8DB4E2"/>
            <w:noWrap/>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Absolutas</w:t>
            </w:r>
          </w:p>
        </w:tc>
        <w:tc>
          <w:tcPr>
            <w:tcW w:w="1134" w:type="dxa"/>
            <w:tcBorders>
              <w:top w:val="single" w:sz="4" w:space="0" w:color="auto"/>
              <w:left w:val="nil"/>
              <w:bottom w:val="single" w:sz="4" w:space="0" w:color="auto"/>
              <w:right w:val="single" w:sz="8" w:space="0" w:color="auto"/>
            </w:tcBorders>
            <w:shd w:val="clear" w:color="000000" w:fill="8DB4E2"/>
            <w:noWrap/>
            <w:vAlign w:val="center"/>
            <w:hideMark/>
          </w:tcPr>
          <w:p w:rsidR="00E425C1" w:rsidRPr="00B92085" w:rsidRDefault="00E425C1" w:rsidP="00567AE9">
            <w:pPr>
              <w:jc w:val="center"/>
              <w:rPr>
                <w:b/>
                <w:bCs/>
                <w:color w:val="000000"/>
                <w:sz w:val="20"/>
                <w:szCs w:val="20"/>
                <w:lang w:val="es-GT" w:eastAsia="es-GT"/>
              </w:rPr>
            </w:pPr>
            <w:r w:rsidRPr="00B92085">
              <w:rPr>
                <w:b/>
                <w:bCs/>
                <w:color w:val="000000"/>
                <w:sz w:val="20"/>
                <w:szCs w:val="20"/>
                <w:lang w:val="es-GT" w:eastAsia="es-GT"/>
              </w:rPr>
              <w:t>Relativas</w:t>
            </w:r>
          </w:p>
        </w:tc>
        <w:tc>
          <w:tcPr>
            <w:tcW w:w="1323" w:type="dxa"/>
            <w:vMerge/>
            <w:tcBorders>
              <w:top w:val="single" w:sz="8" w:space="0" w:color="auto"/>
              <w:left w:val="single" w:sz="8" w:space="0" w:color="auto"/>
              <w:bottom w:val="single" w:sz="4" w:space="0" w:color="000000"/>
              <w:right w:val="single" w:sz="8" w:space="0" w:color="auto"/>
            </w:tcBorders>
            <w:vAlign w:val="center"/>
            <w:hideMark/>
          </w:tcPr>
          <w:p w:rsidR="00E425C1" w:rsidRPr="00B92085" w:rsidRDefault="00E425C1" w:rsidP="00E425C1">
            <w:pPr>
              <w:rPr>
                <w:b/>
                <w:bCs/>
                <w:color w:val="000000"/>
                <w:sz w:val="22"/>
                <w:szCs w:val="22"/>
                <w:lang w:val="es-GT" w:eastAsia="es-GT"/>
              </w:rPr>
            </w:pP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E425C1">
            <w:pPr>
              <w:jc w:val="center"/>
              <w:rPr>
                <w:b/>
                <w:bCs/>
                <w:color w:val="000000"/>
                <w:sz w:val="22"/>
                <w:szCs w:val="22"/>
                <w:lang w:val="es-GT" w:eastAsia="es-GT"/>
              </w:rPr>
            </w:pPr>
            <w:r w:rsidRPr="00B92085">
              <w:rPr>
                <w:b/>
                <w:bCs/>
                <w:color w:val="000000"/>
                <w:sz w:val="22"/>
                <w:szCs w:val="22"/>
                <w:lang w:val="es-GT" w:eastAsia="es-GT"/>
              </w:rPr>
              <w:t>Total</w:t>
            </w:r>
          </w:p>
        </w:tc>
        <w:tc>
          <w:tcPr>
            <w:tcW w:w="1060" w:type="dxa"/>
            <w:tcBorders>
              <w:top w:val="nil"/>
              <w:left w:val="single" w:sz="4" w:space="0" w:color="auto"/>
              <w:bottom w:val="nil"/>
              <w:right w:val="single" w:sz="4" w:space="0" w:color="auto"/>
            </w:tcBorders>
            <w:shd w:val="clear" w:color="000000" w:fill="FFFFFF"/>
            <w:noWrap/>
            <w:vAlign w:val="center"/>
            <w:hideMark/>
          </w:tcPr>
          <w:p w:rsidR="00E425C1" w:rsidRPr="00B92085" w:rsidRDefault="00E425C1" w:rsidP="00E425C1">
            <w:pPr>
              <w:rPr>
                <w:b/>
                <w:bCs/>
                <w:color w:val="000000"/>
                <w:sz w:val="20"/>
                <w:szCs w:val="20"/>
                <w:lang w:val="es-GT" w:eastAsia="es-GT"/>
              </w:rPr>
            </w:pPr>
            <w:r w:rsidRPr="00B92085">
              <w:rPr>
                <w:b/>
                <w:bCs/>
                <w:color w:val="000000"/>
                <w:sz w:val="20"/>
                <w:szCs w:val="20"/>
                <w:lang w:val="es-GT" w:eastAsia="es-GT"/>
              </w:rPr>
              <w:t xml:space="preserve">    32,503.7 </w:t>
            </w:r>
          </w:p>
        </w:tc>
        <w:tc>
          <w:tcPr>
            <w:tcW w:w="1100" w:type="dxa"/>
            <w:tcBorders>
              <w:top w:val="nil"/>
              <w:left w:val="nil"/>
              <w:bottom w:val="nil"/>
              <w:right w:val="single" w:sz="4" w:space="0" w:color="auto"/>
            </w:tcBorders>
            <w:shd w:val="clear" w:color="000000" w:fill="FFFFFF"/>
            <w:noWrap/>
            <w:vAlign w:val="center"/>
            <w:hideMark/>
          </w:tcPr>
          <w:p w:rsidR="00E425C1" w:rsidRPr="00B92085" w:rsidRDefault="00E425C1" w:rsidP="00E425C1">
            <w:pPr>
              <w:rPr>
                <w:b/>
                <w:bCs/>
                <w:color w:val="000000"/>
                <w:sz w:val="20"/>
                <w:szCs w:val="20"/>
                <w:lang w:val="es-GT" w:eastAsia="es-GT"/>
              </w:rPr>
            </w:pPr>
            <w:r w:rsidRPr="00B92085">
              <w:rPr>
                <w:b/>
                <w:bCs/>
                <w:color w:val="000000"/>
                <w:sz w:val="20"/>
                <w:szCs w:val="20"/>
                <w:lang w:val="es-GT" w:eastAsia="es-GT"/>
              </w:rPr>
              <w:t xml:space="preserve">     37,890.0 </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b/>
                <w:bCs/>
                <w:color w:val="000000"/>
                <w:sz w:val="22"/>
                <w:szCs w:val="22"/>
                <w:lang w:val="es-GT" w:eastAsia="es-GT"/>
              </w:rPr>
            </w:pPr>
            <w:r w:rsidRPr="00B92085">
              <w:rPr>
                <w:b/>
                <w:bCs/>
                <w:color w:val="000000"/>
                <w:sz w:val="22"/>
                <w:szCs w:val="22"/>
                <w:lang w:val="es-GT" w:eastAsia="es-GT"/>
              </w:rPr>
              <w:t xml:space="preserve">   5,386.4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b/>
                <w:bCs/>
                <w:color w:val="000000"/>
                <w:sz w:val="22"/>
                <w:szCs w:val="22"/>
                <w:lang w:val="es-GT" w:eastAsia="es-GT"/>
              </w:rPr>
            </w:pPr>
            <w:r w:rsidRPr="00B92085">
              <w:rPr>
                <w:b/>
                <w:bCs/>
                <w:color w:val="000000"/>
                <w:sz w:val="22"/>
                <w:szCs w:val="22"/>
                <w:lang w:val="es-GT" w:eastAsia="es-GT"/>
              </w:rPr>
              <w:t>16.6%</w:t>
            </w:r>
          </w:p>
        </w:tc>
        <w:tc>
          <w:tcPr>
            <w:tcW w:w="1323" w:type="dxa"/>
            <w:tcBorders>
              <w:top w:val="nil"/>
              <w:left w:val="nil"/>
              <w:bottom w:val="nil"/>
              <w:right w:val="single" w:sz="8" w:space="0" w:color="auto"/>
            </w:tcBorders>
            <w:shd w:val="clear" w:color="000000" w:fill="FFFFFF"/>
            <w:noWrap/>
            <w:vAlign w:val="bottom"/>
            <w:hideMark/>
          </w:tcPr>
          <w:p w:rsidR="00E425C1" w:rsidRPr="004C3DB9" w:rsidRDefault="004C3DB9" w:rsidP="004C3DB9">
            <w:pPr>
              <w:jc w:val="center"/>
              <w:rPr>
                <w:b/>
                <w:color w:val="000000"/>
                <w:sz w:val="22"/>
                <w:szCs w:val="22"/>
                <w:lang w:val="es-GT" w:eastAsia="es-GT"/>
              </w:rPr>
            </w:pPr>
            <w:r w:rsidRPr="004C3DB9">
              <w:rPr>
                <w:b/>
                <w:color w:val="000000"/>
                <w:sz w:val="22"/>
                <w:szCs w:val="22"/>
                <w:lang w:val="es-GT" w:eastAsia="es-GT"/>
              </w:rPr>
              <w:t>100.0</w:t>
            </w:r>
            <w:r w:rsidR="00AF0C0D">
              <w:rPr>
                <w:b/>
                <w:color w:val="000000"/>
                <w:sz w:val="22"/>
                <w:szCs w:val="22"/>
                <w:lang w:val="es-GT" w:eastAsia="es-GT"/>
              </w:rPr>
              <w:t>%</w:t>
            </w: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Funcionamiento</w:t>
            </w:r>
          </w:p>
        </w:tc>
        <w:tc>
          <w:tcPr>
            <w:tcW w:w="1060" w:type="dxa"/>
            <w:tcBorders>
              <w:top w:val="nil"/>
              <w:left w:val="single" w:sz="4" w:space="0" w:color="auto"/>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22,262.17</w:t>
            </w:r>
          </w:p>
        </w:tc>
        <w:tc>
          <w:tcPr>
            <w:tcW w:w="1100" w:type="dxa"/>
            <w:tcBorders>
              <w:top w:val="nil"/>
              <w:left w:val="nil"/>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25,044.36</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2,782.2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12.5%</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E425C1">
            <w:pPr>
              <w:jc w:val="center"/>
              <w:rPr>
                <w:color w:val="000000"/>
                <w:sz w:val="22"/>
                <w:szCs w:val="22"/>
                <w:lang w:val="es-GT" w:eastAsia="es-GT"/>
              </w:rPr>
            </w:pPr>
            <w:r w:rsidRPr="00B92085">
              <w:rPr>
                <w:color w:val="000000"/>
                <w:sz w:val="22"/>
                <w:szCs w:val="22"/>
                <w:lang w:val="es-GT" w:eastAsia="es-GT"/>
              </w:rPr>
              <w:t>51.7%</w:t>
            </w: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Inversión</w:t>
            </w:r>
          </w:p>
        </w:tc>
        <w:tc>
          <w:tcPr>
            <w:tcW w:w="1060" w:type="dxa"/>
            <w:tcBorders>
              <w:top w:val="nil"/>
              <w:left w:val="single" w:sz="4" w:space="0" w:color="auto"/>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4,928.09</w:t>
            </w:r>
          </w:p>
        </w:tc>
        <w:tc>
          <w:tcPr>
            <w:tcW w:w="1100" w:type="dxa"/>
            <w:tcBorders>
              <w:top w:val="nil"/>
              <w:left w:val="nil"/>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6,785.47</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1,857.4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37.7%</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E425C1">
            <w:pPr>
              <w:jc w:val="center"/>
              <w:rPr>
                <w:color w:val="000000"/>
                <w:sz w:val="22"/>
                <w:szCs w:val="22"/>
                <w:lang w:val="es-GT" w:eastAsia="es-GT"/>
              </w:rPr>
            </w:pPr>
            <w:r w:rsidRPr="00B92085">
              <w:rPr>
                <w:color w:val="000000"/>
                <w:sz w:val="22"/>
                <w:szCs w:val="22"/>
                <w:lang w:val="es-GT" w:eastAsia="es-GT"/>
              </w:rPr>
              <w:t>34.5%</w:t>
            </w:r>
          </w:p>
        </w:tc>
      </w:tr>
      <w:tr w:rsidR="00E425C1" w:rsidRPr="00B92085" w:rsidTr="00445350">
        <w:trPr>
          <w:trHeight w:val="390"/>
          <w:jc w:val="center"/>
        </w:trPr>
        <w:tc>
          <w:tcPr>
            <w:tcW w:w="3131" w:type="dxa"/>
            <w:tcBorders>
              <w:top w:val="nil"/>
              <w:left w:val="single" w:sz="8" w:space="0" w:color="auto"/>
              <w:bottom w:val="single" w:sz="4" w:space="0" w:color="auto"/>
              <w:right w:val="nil"/>
            </w:tcBorders>
            <w:shd w:val="clear" w:color="000000" w:fill="FFFFFF"/>
            <w:noWrap/>
            <w:vAlign w:val="center"/>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Deuda Pública</w:t>
            </w:r>
          </w:p>
        </w:tc>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5,313.39</w:t>
            </w:r>
          </w:p>
        </w:tc>
        <w:tc>
          <w:tcPr>
            <w:tcW w:w="1100" w:type="dxa"/>
            <w:tcBorders>
              <w:top w:val="nil"/>
              <w:left w:val="nil"/>
              <w:bottom w:val="single" w:sz="4" w:space="0" w:color="auto"/>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6,060.20</w:t>
            </w:r>
          </w:p>
        </w:tc>
        <w:tc>
          <w:tcPr>
            <w:tcW w:w="1169" w:type="dxa"/>
            <w:tcBorders>
              <w:top w:val="nil"/>
              <w:left w:val="nil"/>
              <w:bottom w:val="single" w:sz="4" w:space="0" w:color="auto"/>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746.8 </w:t>
            </w:r>
          </w:p>
        </w:tc>
        <w:tc>
          <w:tcPr>
            <w:tcW w:w="1134" w:type="dxa"/>
            <w:tcBorders>
              <w:top w:val="nil"/>
              <w:left w:val="nil"/>
              <w:bottom w:val="single" w:sz="4" w:space="0" w:color="auto"/>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14.1%</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4C3DB9">
            <w:pPr>
              <w:jc w:val="center"/>
              <w:rPr>
                <w:color w:val="000000"/>
                <w:sz w:val="22"/>
                <w:szCs w:val="22"/>
                <w:lang w:val="es-GT" w:eastAsia="es-GT"/>
              </w:rPr>
            </w:pPr>
            <w:r w:rsidRPr="00B92085">
              <w:rPr>
                <w:color w:val="000000"/>
                <w:sz w:val="22"/>
                <w:szCs w:val="22"/>
                <w:lang w:val="es-GT" w:eastAsia="es-GT"/>
              </w:rPr>
              <w:t>13.</w:t>
            </w:r>
            <w:r w:rsidR="004C3DB9">
              <w:rPr>
                <w:color w:val="000000"/>
                <w:sz w:val="22"/>
                <w:szCs w:val="22"/>
                <w:lang w:val="es-GT" w:eastAsia="es-GT"/>
              </w:rPr>
              <w:t>8</w:t>
            </w:r>
            <w:r w:rsidRPr="00B92085">
              <w:rPr>
                <w:color w:val="000000"/>
                <w:sz w:val="22"/>
                <w:szCs w:val="22"/>
                <w:lang w:val="es-GT" w:eastAsia="es-GT"/>
              </w:rPr>
              <w:t>%</w:t>
            </w:r>
          </w:p>
        </w:tc>
      </w:tr>
      <w:tr w:rsidR="00E425C1" w:rsidRPr="00B92085" w:rsidTr="00445350">
        <w:trPr>
          <w:trHeight w:val="390"/>
          <w:jc w:val="center"/>
        </w:trPr>
        <w:tc>
          <w:tcPr>
            <w:tcW w:w="3131" w:type="dxa"/>
            <w:tcBorders>
              <w:top w:val="nil"/>
              <w:left w:val="single" w:sz="8" w:space="0" w:color="auto"/>
              <w:bottom w:val="nil"/>
              <w:right w:val="nil"/>
            </w:tcBorders>
            <w:shd w:val="clear" w:color="000000" w:fill="FFFFFF"/>
            <w:noWrap/>
            <w:vAlign w:val="center"/>
            <w:hideMark/>
          </w:tcPr>
          <w:p w:rsidR="00E425C1" w:rsidRPr="00B92085" w:rsidRDefault="00E425C1" w:rsidP="00CB07ED">
            <w:pPr>
              <w:rPr>
                <w:color w:val="000000"/>
                <w:sz w:val="22"/>
                <w:szCs w:val="22"/>
                <w:lang w:val="es-GT" w:eastAsia="es-GT"/>
              </w:rPr>
            </w:pPr>
            <w:r w:rsidRPr="00B92085">
              <w:rPr>
                <w:color w:val="000000"/>
                <w:sz w:val="22"/>
                <w:szCs w:val="22"/>
                <w:lang w:val="es-GT" w:eastAsia="es-GT"/>
              </w:rPr>
              <w:t xml:space="preserve">Presupuesto </w:t>
            </w:r>
            <w:r w:rsidR="00CB07ED">
              <w:rPr>
                <w:color w:val="000000"/>
                <w:sz w:val="22"/>
                <w:szCs w:val="22"/>
                <w:lang w:val="es-GT" w:eastAsia="es-GT"/>
              </w:rPr>
              <w:t>V</w:t>
            </w:r>
            <w:r w:rsidRPr="00B92085">
              <w:rPr>
                <w:color w:val="000000"/>
                <w:sz w:val="22"/>
                <w:szCs w:val="22"/>
                <w:lang w:val="es-GT" w:eastAsia="es-GT"/>
              </w:rPr>
              <w:t>igente</w:t>
            </w:r>
          </w:p>
        </w:tc>
        <w:tc>
          <w:tcPr>
            <w:tcW w:w="1060" w:type="dxa"/>
            <w:tcBorders>
              <w:top w:val="nil"/>
              <w:left w:val="single" w:sz="4" w:space="0" w:color="auto"/>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77,244.29</w:t>
            </w:r>
          </w:p>
        </w:tc>
        <w:tc>
          <w:tcPr>
            <w:tcW w:w="1100" w:type="dxa"/>
            <w:tcBorders>
              <w:top w:val="nil"/>
              <w:left w:val="nil"/>
              <w:bottom w:val="nil"/>
              <w:right w:val="single" w:sz="4" w:space="0" w:color="auto"/>
            </w:tcBorders>
            <w:shd w:val="clear" w:color="000000" w:fill="FFFFFF"/>
            <w:noWrap/>
            <w:vAlign w:val="bottom"/>
            <w:hideMark/>
          </w:tcPr>
          <w:p w:rsidR="00E425C1" w:rsidRPr="00B92085" w:rsidRDefault="00E425C1" w:rsidP="00E425C1">
            <w:pPr>
              <w:jc w:val="right"/>
              <w:rPr>
                <w:color w:val="000000"/>
                <w:sz w:val="22"/>
                <w:szCs w:val="22"/>
                <w:lang w:val="es-GT" w:eastAsia="es-GT"/>
              </w:rPr>
            </w:pPr>
            <w:r w:rsidRPr="00B92085">
              <w:rPr>
                <w:color w:val="000000"/>
                <w:sz w:val="22"/>
                <w:szCs w:val="22"/>
                <w:lang w:val="es-GT" w:eastAsia="es-GT"/>
              </w:rPr>
              <w:t>88,244.53</w:t>
            </w:r>
          </w:p>
        </w:tc>
        <w:tc>
          <w:tcPr>
            <w:tcW w:w="1169" w:type="dxa"/>
            <w:tcBorders>
              <w:top w:val="nil"/>
              <w:left w:val="nil"/>
              <w:bottom w:val="nil"/>
              <w:right w:val="single" w:sz="4"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 xml:space="preserve">  11,000.2 </w:t>
            </w:r>
          </w:p>
        </w:tc>
        <w:tc>
          <w:tcPr>
            <w:tcW w:w="1134" w:type="dxa"/>
            <w:tcBorders>
              <w:top w:val="nil"/>
              <w:left w:val="nil"/>
              <w:bottom w:val="nil"/>
              <w:right w:val="single" w:sz="8" w:space="0" w:color="auto"/>
            </w:tcBorders>
            <w:shd w:val="clear" w:color="000000" w:fill="FFFFFF"/>
            <w:noWrap/>
            <w:vAlign w:val="center"/>
            <w:hideMark/>
          </w:tcPr>
          <w:p w:rsidR="00E425C1" w:rsidRPr="00B92085" w:rsidRDefault="00E425C1" w:rsidP="00AF0C0D">
            <w:pPr>
              <w:jc w:val="right"/>
              <w:rPr>
                <w:color w:val="000000"/>
                <w:sz w:val="22"/>
                <w:szCs w:val="22"/>
                <w:lang w:val="es-GT" w:eastAsia="es-GT"/>
              </w:rPr>
            </w:pPr>
            <w:r w:rsidRPr="00B92085">
              <w:rPr>
                <w:color w:val="000000"/>
                <w:sz w:val="22"/>
                <w:szCs w:val="22"/>
                <w:lang w:val="es-GT" w:eastAsia="es-GT"/>
              </w:rPr>
              <w:t>14.2%</w:t>
            </w:r>
          </w:p>
        </w:tc>
        <w:tc>
          <w:tcPr>
            <w:tcW w:w="1323" w:type="dxa"/>
            <w:tcBorders>
              <w:top w:val="nil"/>
              <w:left w:val="nil"/>
              <w:bottom w:val="nil"/>
              <w:right w:val="single" w:sz="8" w:space="0" w:color="auto"/>
            </w:tcBorders>
            <w:shd w:val="clear" w:color="000000" w:fill="FFFFFF"/>
            <w:noWrap/>
            <w:vAlign w:val="bottom"/>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 </w:t>
            </w:r>
          </w:p>
        </w:tc>
      </w:tr>
      <w:tr w:rsidR="00E425C1" w:rsidRPr="00B92085" w:rsidTr="00445350">
        <w:trPr>
          <w:trHeight w:val="390"/>
          <w:jc w:val="center"/>
        </w:trPr>
        <w:tc>
          <w:tcPr>
            <w:tcW w:w="3131" w:type="dxa"/>
            <w:tcBorders>
              <w:top w:val="nil"/>
              <w:left w:val="single" w:sz="8" w:space="0" w:color="auto"/>
              <w:bottom w:val="single" w:sz="8" w:space="0" w:color="auto"/>
              <w:right w:val="nil"/>
            </w:tcBorders>
            <w:shd w:val="clear" w:color="000000" w:fill="FFFFFF"/>
            <w:noWrap/>
            <w:vAlign w:val="center"/>
            <w:hideMark/>
          </w:tcPr>
          <w:p w:rsidR="00E425C1" w:rsidRPr="00B92085" w:rsidRDefault="00E425C1" w:rsidP="00445350">
            <w:pPr>
              <w:rPr>
                <w:b/>
                <w:color w:val="000000"/>
                <w:sz w:val="22"/>
                <w:szCs w:val="22"/>
                <w:lang w:val="es-GT" w:eastAsia="es-GT"/>
              </w:rPr>
            </w:pPr>
            <w:r w:rsidRPr="00B92085">
              <w:rPr>
                <w:b/>
                <w:color w:val="000000"/>
                <w:sz w:val="22"/>
                <w:szCs w:val="22"/>
                <w:lang w:val="es-GT" w:eastAsia="es-GT"/>
              </w:rPr>
              <w:t xml:space="preserve">Porcentaje de </w:t>
            </w:r>
            <w:r w:rsidR="00445350">
              <w:rPr>
                <w:b/>
                <w:color w:val="000000"/>
                <w:sz w:val="22"/>
                <w:szCs w:val="22"/>
                <w:lang w:val="es-GT" w:eastAsia="es-GT"/>
              </w:rPr>
              <w:t>E</w:t>
            </w:r>
            <w:r w:rsidRPr="00B92085">
              <w:rPr>
                <w:b/>
                <w:color w:val="000000"/>
                <w:sz w:val="22"/>
                <w:szCs w:val="22"/>
                <w:lang w:val="es-GT" w:eastAsia="es-GT"/>
              </w:rPr>
              <w:t xml:space="preserve">jecución </w:t>
            </w:r>
          </w:p>
        </w:tc>
        <w:tc>
          <w:tcPr>
            <w:tcW w:w="1060" w:type="dxa"/>
            <w:tcBorders>
              <w:top w:val="nil"/>
              <w:left w:val="single" w:sz="4" w:space="0" w:color="auto"/>
              <w:bottom w:val="single" w:sz="8" w:space="0" w:color="auto"/>
              <w:right w:val="single" w:sz="4" w:space="0" w:color="auto"/>
            </w:tcBorders>
            <w:shd w:val="clear" w:color="000000" w:fill="FFFFFF"/>
            <w:noWrap/>
            <w:vAlign w:val="center"/>
            <w:hideMark/>
          </w:tcPr>
          <w:p w:rsidR="00E425C1" w:rsidRPr="00B92085" w:rsidRDefault="00E425C1" w:rsidP="00E425C1">
            <w:pPr>
              <w:jc w:val="right"/>
              <w:rPr>
                <w:b/>
                <w:color w:val="000000"/>
                <w:sz w:val="22"/>
                <w:szCs w:val="22"/>
                <w:lang w:val="es-GT" w:eastAsia="es-GT"/>
              </w:rPr>
            </w:pPr>
            <w:r w:rsidRPr="00B92085">
              <w:rPr>
                <w:b/>
                <w:color w:val="000000"/>
                <w:sz w:val="22"/>
                <w:szCs w:val="22"/>
                <w:lang w:val="es-GT" w:eastAsia="es-GT"/>
              </w:rPr>
              <w:t>42.1%</w:t>
            </w:r>
          </w:p>
        </w:tc>
        <w:tc>
          <w:tcPr>
            <w:tcW w:w="1100" w:type="dxa"/>
            <w:tcBorders>
              <w:top w:val="nil"/>
              <w:left w:val="nil"/>
              <w:bottom w:val="single" w:sz="8" w:space="0" w:color="auto"/>
              <w:right w:val="single" w:sz="4" w:space="0" w:color="auto"/>
            </w:tcBorders>
            <w:shd w:val="clear" w:color="000000" w:fill="FFFFFF"/>
            <w:noWrap/>
            <w:vAlign w:val="center"/>
            <w:hideMark/>
          </w:tcPr>
          <w:p w:rsidR="00E425C1" w:rsidRPr="00B92085" w:rsidRDefault="00E425C1" w:rsidP="00E425C1">
            <w:pPr>
              <w:jc w:val="right"/>
              <w:rPr>
                <w:b/>
                <w:color w:val="000000"/>
                <w:sz w:val="22"/>
                <w:szCs w:val="22"/>
                <w:lang w:val="es-GT" w:eastAsia="es-GT"/>
              </w:rPr>
            </w:pPr>
            <w:r w:rsidRPr="00B92085">
              <w:rPr>
                <w:b/>
                <w:color w:val="000000"/>
                <w:sz w:val="22"/>
                <w:szCs w:val="22"/>
                <w:lang w:val="es-GT" w:eastAsia="es-GT"/>
              </w:rPr>
              <w:t>42.9%</w:t>
            </w:r>
          </w:p>
        </w:tc>
        <w:tc>
          <w:tcPr>
            <w:tcW w:w="1169" w:type="dxa"/>
            <w:tcBorders>
              <w:top w:val="nil"/>
              <w:left w:val="nil"/>
              <w:bottom w:val="single" w:sz="8" w:space="0" w:color="auto"/>
              <w:right w:val="single" w:sz="4" w:space="0" w:color="auto"/>
            </w:tcBorders>
            <w:shd w:val="clear" w:color="000000" w:fill="FFFFFF"/>
            <w:noWrap/>
            <w:vAlign w:val="center"/>
            <w:hideMark/>
          </w:tcPr>
          <w:p w:rsidR="00E425C1" w:rsidRPr="00B92085" w:rsidRDefault="00E425C1" w:rsidP="00AF0C0D">
            <w:pPr>
              <w:jc w:val="right"/>
              <w:rPr>
                <w:b/>
                <w:color w:val="000000"/>
                <w:sz w:val="22"/>
                <w:szCs w:val="22"/>
                <w:lang w:val="es-GT" w:eastAsia="es-GT"/>
              </w:rPr>
            </w:pPr>
            <w:r w:rsidRPr="00B92085">
              <w:rPr>
                <w:b/>
                <w:color w:val="000000"/>
                <w:sz w:val="22"/>
                <w:szCs w:val="22"/>
                <w:lang w:val="es-GT" w:eastAsia="es-GT"/>
              </w:rPr>
              <w:t>0.9%</w:t>
            </w:r>
          </w:p>
        </w:tc>
        <w:tc>
          <w:tcPr>
            <w:tcW w:w="1134" w:type="dxa"/>
            <w:tcBorders>
              <w:top w:val="nil"/>
              <w:left w:val="nil"/>
              <w:bottom w:val="single" w:sz="8" w:space="0" w:color="auto"/>
              <w:right w:val="single" w:sz="8" w:space="0" w:color="auto"/>
            </w:tcBorders>
            <w:shd w:val="clear" w:color="000000" w:fill="FFFFFF"/>
            <w:noWrap/>
            <w:vAlign w:val="center"/>
            <w:hideMark/>
          </w:tcPr>
          <w:p w:rsidR="00E425C1" w:rsidRPr="00B92085" w:rsidRDefault="00E425C1" w:rsidP="00AF0C0D">
            <w:pPr>
              <w:jc w:val="right"/>
              <w:rPr>
                <w:b/>
                <w:color w:val="000000"/>
                <w:sz w:val="22"/>
                <w:szCs w:val="22"/>
                <w:lang w:val="es-GT" w:eastAsia="es-GT"/>
              </w:rPr>
            </w:pPr>
            <w:r w:rsidRPr="00B92085">
              <w:rPr>
                <w:b/>
                <w:color w:val="000000"/>
                <w:sz w:val="22"/>
                <w:szCs w:val="22"/>
                <w:lang w:val="es-GT" w:eastAsia="es-GT"/>
              </w:rPr>
              <w:t>2.0%</w:t>
            </w:r>
          </w:p>
        </w:tc>
        <w:tc>
          <w:tcPr>
            <w:tcW w:w="1323" w:type="dxa"/>
            <w:tcBorders>
              <w:top w:val="nil"/>
              <w:left w:val="nil"/>
              <w:bottom w:val="single" w:sz="8" w:space="0" w:color="auto"/>
              <w:right w:val="single" w:sz="8" w:space="0" w:color="auto"/>
            </w:tcBorders>
            <w:shd w:val="clear" w:color="000000" w:fill="FFFFFF"/>
            <w:noWrap/>
            <w:vAlign w:val="bottom"/>
            <w:hideMark/>
          </w:tcPr>
          <w:p w:rsidR="00E425C1" w:rsidRPr="00B92085" w:rsidRDefault="00E425C1" w:rsidP="00E425C1">
            <w:pPr>
              <w:rPr>
                <w:color w:val="000000"/>
                <w:sz w:val="22"/>
                <w:szCs w:val="22"/>
                <w:lang w:val="es-GT" w:eastAsia="es-GT"/>
              </w:rPr>
            </w:pPr>
            <w:r w:rsidRPr="00B92085">
              <w:rPr>
                <w:color w:val="000000"/>
                <w:sz w:val="22"/>
                <w:szCs w:val="22"/>
                <w:lang w:val="es-GT" w:eastAsia="es-GT"/>
              </w:rPr>
              <w:t> </w:t>
            </w:r>
          </w:p>
        </w:tc>
      </w:tr>
    </w:tbl>
    <w:p w:rsidR="00E425C1" w:rsidRDefault="00E425C1" w:rsidP="00E425C1">
      <w:pPr>
        <w:rPr>
          <w:sz w:val="18"/>
          <w:lang w:val="es-MX"/>
        </w:rPr>
      </w:pPr>
      <w:r>
        <w:rPr>
          <w:sz w:val="16"/>
          <w:lang w:val="es-MX"/>
        </w:rPr>
        <w:fldChar w:fldCharType="end"/>
      </w:r>
      <w:r w:rsidR="00CB07ED" w:rsidRPr="004B1436">
        <w:rPr>
          <w:sz w:val="18"/>
          <w:lang w:val="es-MX"/>
        </w:rPr>
        <w:t xml:space="preserve"> </w:t>
      </w:r>
      <w:r w:rsidRPr="004B1436">
        <w:rPr>
          <w:sz w:val="18"/>
          <w:lang w:val="es-MX"/>
        </w:rPr>
        <w:t>* Cifras preliminares.</w:t>
      </w:r>
    </w:p>
    <w:p w:rsidR="00CB07ED" w:rsidRPr="004B1436" w:rsidRDefault="00CB07ED" w:rsidP="00CB07ED">
      <w:pPr>
        <w:rPr>
          <w:sz w:val="18"/>
          <w:lang w:val="es-MX"/>
        </w:rPr>
      </w:pPr>
      <w:r>
        <w:rPr>
          <w:sz w:val="18"/>
          <w:lang w:val="es-MX"/>
        </w:rPr>
        <w:t xml:space="preserve">    </w:t>
      </w:r>
      <w:r w:rsidRPr="004B1436">
        <w:rPr>
          <w:sz w:val="18"/>
          <w:lang w:val="es-MX"/>
        </w:rPr>
        <w:t>Fuente: Ministerio de Finanzas Públicas con base al SICOIN.</w:t>
      </w:r>
    </w:p>
    <w:p w:rsidR="00CB07ED" w:rsidRPr="004B1436" w:rsidRDefault="00CB07ED" w:rsidP="00E425C1">
      <w:pPr>
        <w:rPr>
          <w:sz w:val="18"/>
          <w:lang w:val="es-MX"/>
        </w:rPr>
      </w:pPr>
    </w:p>
    <w:p w:rsidR="00E425C1" w:rsidRPr="00FB641E" w:rsidRDefault="00E425C1" w:rsidP="00E425C1">
      <w:pPr>
        <w:rPr>
          <w:sz w:val="18"/>
          <w:lang w:val="es-MX"/>
        </w:rPr>
      </w:pPr>
    </w:p>
    <w:p w:rsidR="00E425C1" w:rsidRPr="00FB641E" w:rsidRDefault="00E425C1" w:rsidP="00E425C1">
      <w:pPr>
        <w:keepNext/>
        <w:keepLines/>
        <w:numPr>
          <w:ilvl w:val="2"/>
          <w:numId w:val="4"/>
        </w:numPr>
        <w:spacing w:before="200"/>
        <w:outlineLvl w:val="2"/>
        <w:rPr>
          <w:b/>
          <w:bCs/>
          <w:lang w:val="es-MX"/>
        </w:rPr>
      </w:pPr>
      <w:bookmarkStart w:id="12" w:name="_Toc20495565"/>
      <w:r w:rsidRPr="00FB641E">
        <w:rPr>
          <w:b/>
          <w:bCs/>
          <w:lang w:val="es-MX"/>
        </w:rPr>
        <w:t xml:space="preserve">Destino del </w:t>
      </w:r>
      <w:r w:rsidR="000D2458">
        <w:rPr>
          <w:b/>
          <w:bCs/>
          <w:lang w:val="es-MX"/>
        </w:rPr>
        <w:t>G</w:t>
      </w:r>
      <w:r w:rsidRPr="00FB641E">
        <w:rPr>
          <w:b/>
          <w:bCs/>
          <w:lang w:val="es-MX"/>
        </w:rPr>
        <w:t xml:space="preserve">asto por </w:t>
      </w:r>
      <w:r w:rsidR="000D2458">
        <w:rPr>
          <w:b/>
          <w:bCs/>
          <w:lang w:val="es-MX"/>
        </w:rPr>
        <w:t>C</w:t>
      </w:r>
      <w:r w:rsidRPr="00FB641E">
        <w:rPr>
          <w:b/>
          <w:bCs/>
          <w:lang w:val="es-MX"/>
        </w:rPr>
        <w:t xml:space="preserve">uenta </w:t>
      </w:r>
      <w:r w:rsidR="000D2458">
        <w:rPr>
          <w:b/>
          <w:bCs/>
          <w:lang w:val="es-MX"/>
        </w:rPr>
        <w:t>E</w:t>
      </w:r>
      <w:r w:rsidRPr="00FB641E">
        <w:rPr>
          <w:b/>
          <w:bCs/>
          <w:lang w:val="es-MX"/>
        </w:rPr>
        <w:t>conómica</w:t>
      </w:r>
      <w:bookmarkEnd w:id="12"/>
    </w:p>
    <w:p w:rsidR="00E425C1" w:rsidRPr="00FB641E" w:rsidRDefault="00E425C1" w:rsidP="00E425C1">
      <w:pPr>
        <w:jc w:val="both"/>
        <w:rPr>
          <w:sz w:val="32"/>
          <w:lang w:val="es-MX"/>
        </w:rPr>
      </w:pPr>
    </w:p>
    <w:p w:rsidR="00E425C1" w:rsidRPr="00FB641E" w:rsidRDefault="00E425C1" w:rsidP="00E425C1">
      <w:pPr>
        <w:jc w:val="both"/>
        <w:rPr>
          <w:lang w:val="es-MX"/>
        </w:rPr>
      </w:pPr>
      <w:r w:rsidRPr="00FB641E">
        <w:rPr>
          <w:lang w:val="es-MX"/>
        </w:rPr>
        <w:t>Los gastos totales al 30 de junio de 201</w:t>
      </w:r>
      <w:r>
        <w:rPr>
          <w:lang w:val="es-MX"/>
        </w:rPr>
        <w:t>9</w:t>
      </w:r>
      <w:r w:rsidRPr="00FB641E">
        <w:rPr>
          <w:lang w:val="es-MX"/>
        </w:rPr>
        <w:t xml:space="preserve"> (sin incluir amortizaciones de la deuda pública)</w:t>
      </w:r>
      <w:r>
        <w:rPr>
          <w:lang w:val="es-MX"/>
        </w:rPr>
        <w:t xml:space="preserve"> alcanzaron </w:t>
      </w:r>
      <w:r w:rsidRPr="00FB641E">
        <w:rPr>
          <w:lang w:val="es-MX"/>
        </w:rPr>
        <w:t>Q</w:t>
      </w:r>
      <w:r w:rsidR="00116FE3">
        <w:rPr>
          <w:lang w:val="es-MX"/>
        </w:rPr>
        <w:t>.</w:t>
      </w:r>
      <w:r>
        <w:rPr>
          <w:lang w:val="es-MX"/>
        </w:rPr>
        <w:t>36</w:t>
      </w:r>
      <w:r w:rsidRPr="00FB641E">
        <w:rPr>
          <w:lang w:val="es-MX"/>
        </w:rPr>
        <w:t>,</w:t>
      </w:r>
      <w:r>
        <w:rPr>
          <w:lang w:val="es-MX"/>
        </w:rPr>
        <w:t>441.2</w:t>
      </w:r>
      <w:r w:rsidRPr="00FB641E">
        <w:rPr>
          <w:lang w:val="es-MX"/>
        </w:rPr>
        <w:t xml:space="preserve"> millones, </w:t>
      </w:r>
      <w:r>
        <w:rPr>
          <w:lang w:val="es-MX"/>
        </w:rPr>
        <w:t>monto mayor en Q</w:t>
      </w:r>
      <w:r w:rsidR="00116FE3">
        <w:rPr>
          <w:lang w:val="es-MX"/>
        </w:rPr>
        <w:t>.</w:t>
      </w:r>
      <w:r>
        <w:rPr>
          <w:lang w:val="es-MX"/>
        </w:rPr>
        <w:t>5,163.4 millones a lo observado en el mismo período de 2018, el cual fue de Q</w:t>
      </w:r>
      <w:r w:rsidR="00116FE3">
        <w:rPr>
          <w:lang w:val="es-MX"/>
        </w:rPr>
        <w:t>.</w:t>
      </w:r>
      <w:r>
        <w:rPr>
          <w:lang w:val="es-MX"/>
        </w:rPr>
        <w:t>31,277.8</w:t>
      </w:r>
      <w:r w:rsidRPr="00FB641E">
        <w:rPr>
          <w:lang w:val="es-MX"/>
        </w:rPr>
        <w:t xml:space="preserve"> millones. </w:t>
      </w:r>
      <w:r>
        <w:rPr>
          <w:lang w:val="es-MX"/>
        </w:rPr>
        <w:t xml:space="preserve">El aumento </w:t>
      </w:r>
      <w:r w:rsidR="00116FE3">
        <w:rPr>
          <w:lang w:val="es-MX"/>
        </w:rPr>
        <w:t>ocurrió</w:t>
      </w:r>
      <w:r>
        <w:rPr>
          <w:lang w:val="es-MX"/>
        </w:rPr>
        <w:t xml:space="preserve"> principalmente en los </w:t>
      </w:r>
      <w:r w:rsidR="00116FE3">
        <w:rPr>
          <w:lang w:val="es-MX"/>
        </w:rPr>
        <w:t>G</w:t>
      </w:r>
      <w:r>
        <w:rPr>
          <w:lang w:val="es-MX"/>
        </w:rPr>
        <w:t xml:space="preserve">astos </w:t>
      </w:r>
      <w:r w:rsidR="00116FE3">
        <w:rPr>
          <w:lang w:val="es-MX"/>
        </w:rPr>
        <w:t>C</w:t>
      </w:r>
      <w:r>
        <w:rPr>
          <w:lang w:val="es-MX"/>
        </w:rPr>
        <w:t>orrientes por valor de Q</w:t>
      </w:r>
      <w:r w:rsidR="00116FE3">
        <w:rPr>
          <w:lang w:val="es-MX"/>
        </w:rPr>
        <w:t>.</w:t>
      </w:r>
      <w:r>
        <w:rPr>
          <w:lang w:val="es-MX"/>
        </w:rPr>
        <w:t xml:space="preserve">3,306.0 millones; en los rubros de </w:t>
      </w:r>
      <w:r w:rsidR="00116FE3">
        <w:rPr>
          <w:lang w:val="es-MX"/>
        </w:rPr>
        <w:t>r</w:t>
      </w:r>
      <w:r>
        <w:rPr>
          <w:lang w:val="es-MX"/>
        </w:rPr>
        <w:t xml:space="preserve">emuneraciones, </w:t>
      </w:r>
      <w:r w:rsidR="00116FE3">
        <w:rPr>
          <w:lang w:val="es-MX"/>
        </w:rPr>
        <w:t>b</w:t>
      </w:r>
      <w:r>
        <w:rPr>
          <w:lang w:val="es-MX"/>
        </w:rPr>
        <w:t xml:space="preserve">ienes y </w:t>
      </w:r>
      <w:r w:rsidR="00116FE3">
        <w:rPr>
          <w:lang w:val="es-MX"/>
        </w:rPr>
        <w:t>s</w:t>
      </w:r>
      <w:r>
        <w:rPr>
          <w:lang w:val="es-MX"/>
        </w:rPr>
        <w:t xml:space="preserve">ervicios, </w:t>
      </w:r>
      <w:r w:rsidR="00116FE3">
        <w:rPr>
          <w:lang w:val="es-MX"/>
        </w:rPr>
        <w:t>i</w:t>
      </w:r>
      <w:r>
        <w:rPr>
          <w:lang w:val="es-MX"/>
        </w:rPr>
        <w:t xml:space="preserve">ntereses de </w:t>
      </w:r>
      <w:r w:rsidR="00116FE3">
        <w:rPr>
          <w:lang w:val="es-MX"/>
        </w:rPr>
        <w:t>d</w:t>
      </w:r>
      <w:r>
        <w:rPr>
          <w:lang w:val="es-MX"/>
        </w:rPr>
        <w:t xml:space="preserve">euda </w:t>
      </w:r>
      <w:r w:rsidR="00116FE3">
        <w:rPr>
          <w:lang w:val="es-MX"/>
        </w:rPr>
        <w:t>p</w:t>
      </w:r>
      <w:r>
        <w:rPr>
          <w:lang w:val="es-MX"/>
        </w:rPr>
        <w:t xml:space="preserve">ública, así como, en las </w:t>
      </w:r>
      <w:r w:rsidR="00116FE3">
        <w:rPr>
          <w:lang w:val="es-MX"/>
        </w:rPr>
        <w:t>t</w:t>
      </w:r>
      <w:r>
        <w:rPr>
          <w:lang w:val="es-MX"/>
        </w:rPr>
        <w:t xml:space="preserve">ransferencias </w:t>
      </w:r>
      <w:r w:rsidR="00116FE3">
        <w:rPr>
          <w:lang w:val="es-MX"/>
        </w:rPr>
        <w:t>c</w:t>
      </w:r>
      <w:r>
        <w:rPr>
          <w:lang w:val="es-MX"/>
        </w:rPr>
        <w:t>orrientes al sector público y al sector privado.</w:t>
      </w:r>
    </w:p>
    <w:p w:rsidR="00E425C1" w:rsidRPr="00FB641E" w:rsidRDefault="00E425C1" w:rsidP="00E425C1">
      <w:pPr>
        <w:jc w:val="both"/>
        <w:rPr>
          <w:sz w:val="32"/>
          <w:lang w:val="es-MX"/>
        </w:rPr>
      </w:pPr>
    </w:p>
    <w:p w:rsidR="00E425C1" w:rsidRDefault="00E425C1" w:rsidP="00E425C1">
      <w:pPr>
        <w:jc w:val="both"/>
        <w:rPr>
          <w:lang w:val="es-MX"/>
        </w:rPr>
      </w:pPr>
      <w:r w:rsidRPr="00FB641E">
        <w:rPr>
          <w:lang w:val="es-MX"/>
        </w:rPr>
        <w:t xml:space="preserve">En cuanto a los Gastos de Capital, estos </w:t>
      </w:r>
      <w:r>
        <w:rPr>
          <w:lang w:val="es-MX"/>
        </w:rPr>
        <w:t>aumentaron en Q</w:t>
      </w:r>
      <w:r w:rsidR="00116FE3">
        <w:rPr>
          <w:lang w:val="es-MX"/>
        </w:rPr>
        <w:t>.</w:t>
      </w:r>
      <w:r>
        <w:rPr>
          <w:lang w:val="es-MX"/>
        </w:rPr>
        <w:t>1,857.4 millones (equivalente</w:t>
      </w:r>
      <w:r w:rsidR="00116FE3">
        <w:rPr>
          <w:lang w:val="es-MX"/>
        </w:rPr>
        <w:t>s</w:t>
      </w:r>
      <w:r>
        <w:rPr>
          <w:lang w:val="es-MX"/>
        </w:rPr>
        <w:t xml:space="preserve"> a 37.7%) respecto al mismo período de 2018, mostrando el principal incremento en el gasto de </w:t>
      </w:r>
      <w:r w:rsidR="00116FE3">
        <w:rPr>
          <w:lang w:val="es-MX"/>
        </w:rPr>
        <w:t>i</w:t>
      </w:r>
      <w:r>
        <w:rPr>
          <w:lang w:val="es-MX"/>
        </w:rPr>
        <w:t xml:space="preserve">nversión </w:t>
      </w:r>
      <w:r w:rsidR="00116FE3">
        <w:rPr>
          <w:lang w:val="es-MX"/>
        </w:rPr>
        <w:t>r</w:t>
      </w:r>
      <w:r>
        <w:rPr>
          <w:lang w:val="es-MX"/>
        </w:rPr>
        <w:t xml:space="preserve">eal </w:t>
      </w:r>
      <w:r w:rsidR="00116FE3">
        <w:rPr>
          <w:lang w:val="es-MX"/>
        </w:rPr>
        <w:t>d</w:t>
      </w:r>
      <w:r>
        <w:rPr>
          <w:lang w:val="es-MX"/>
        </w:rPr>
        <w:t>irecta, con Q</w:t>
      </w:r>
      <w:r w:rsidR="00116FE3">
        <w:rPr>
          <w:lang w:val="es-MX"/>
        </w:rPr>
        <w:t>.</w:t>
      </w:r>
      <w:r>
        <w:rPr>
          <w:lang w:val="es-MX"/>
        </w:rPr>
        <w:t xml:space="preserve">1,068.5 millones a lo observado en 2018. Las transferencias de </w:t>
      </w:r>
      <w:r>
        <w:rPr>
          <w:lang w:val="es-MX"/>
        </w:rPr>
        <w:lastRenderedPageBreak/>
        <w:t>capital aumentaron en Q</w:t>
      </w:r>
      <w:r w:rsidR="00116FE3">
        <w:rPr>
          <w:lang w:val="es-MX"/>
        </w:rPr>
        <w:t>.</w:t>
      </w:r>
      <w:r>
        <w:rPr>
          <w:lang w:val="es-MX"/>
        </w:rPr>
        <w:t xml:space="preserve">786.0 millones </w:t>
      </w:r>
      <w:r w:rsidR="00116FE3">
        <w:rPr>
          <w:lang w:val="es-MX"/>
        </w:rPr>
        <w:t xml:space="preserve">con </w:t>
      </w:r>
      <w:r>
        <w:rPr>
          <w:lang w:val="es-MX"/>
        </w:rPr>
        <w:t>respecto al mismo período de 2018, teniendo su principal impacto en las transferencias al sector público con Q</w:t>
      </w:r>
      <w:r w:rsidR="00116FE3">
        <w:rPr>
          <w:lang w:val="es-MX"/>
        </w:rPr>
        <w:t>.</w:t>
      </w:r>
      <w:r>
        <w:rPr>
          <w:lang w:val="es-MX"/>
        </w:rPr>
        <w:t>737.2 millones más de ejecución respecto a lo observado en 2018</w:t>
      </w:r>
      <w:r w:rsidRPr="00FB641E">
        <w:rPr>
          <w:lang w:val="es-MX"/>
        </w:rPr>
        <w:t>.</w:t>
      </w:r>
      <w:r>
        <w:rPr>
          <w:lang w:val="es-MX"/>
        </w:rPr>
        <w:t xml:space="preserve"> Vale indicar que en este rubro se registran las transferencias a las </w:t>
      </w:r>
      <w:r w:rsidR="00116FE3">
        <w:rPr>
          <w:lang w:val="es-MX"/>
        </w:rPr>
        <w:t>M</w:t>
      </w:r>
      <w:r>
        <w:rPr>
          <w:lang w:val="es-MX"/>
        </w:rPr>
        <w:t>unicipalidades y a los Consejos</w:t>
      </w:r>
      <w:r w:rsidR="00116FE3">
        <w:rPr>
          <w:lang w:val="es-MX"/>
        </w:rPr>
        <w:t xml:space="preserve"> Departamentales</w:t>
      </w:r>
      <w:r>
        <w:rPr>
          <w:lang w:val="es-MX"/>
        </w:rPr>
        <w:t xml:space="preserve"> de Desarrollo, entre otras transferencias que por mandato constitucional el Estado debe realizar.</w:t>
      </w:r>
    </w:p>
    <w:p w:rsidR="00E425C1" w:rsidRDefault="00E425C1" w:rsidP="00E425C1">
      <w:pPr>
        <w:jc w:val="both"/>
        <w:rPr>
          <w:lang w:val="es-MX"/>
        </w:rPr>
      </w:pPr>
    </w:p>
    <w:p w:rsidR="00E425C1" w:rsidRPr="00FB641E" w:rsidRDefault="00E425C1" w:rsidP="00E425C1">
      <w:pPr>
        <w:jc w:val="both"/>
        <w:rPr>
          <w:lang w:val="es-MX"/>
        </w:rPr>
      </w:pPr>
      <w:r>
        <w:rPr>
          <w:lang w:val="es-MX"/>
        </w:rPr>
        <w:t xml:space="preserve">El total de </w:t>
      </w:r>
      <w:r w:rsidR="00116FE3">
        <w:rPr>
          <w:lang w:val="es-MX"/>
        </w:rPr>
        <w:t>gasto</w:t>
      </w:r>
      <w:r>
        <w:rPr>
          <w:lang w:val="es-MX"/>
        </w:rPr>
        <w:t xml:space="preserve"> presupuestari</w:t>
      </w:r>
      <w:r w:rsidR="00116FE3">
        <w:rPr>
          <w:lang w:val="es-MX"/>
        </w:rPr>
        <w:t>o</w:t>
      </w:r>
      <w:r>
        <w:rPr>
          <w:lang w:val="es-MX"/>
        </w:rPr>
        <w:t xml:space="preserve"> está compuesto por </w:t>
      </w:r>
      <w:r w:rsidR="00116FE3">
        <w:rPr>
          <w:lang w:val="es-MX"/>
        </w:rPr>
        <w:t>los</w:t>
      </w:r>
      <w:r>
        <w:rPr>
          <w:lang w:val="es-MX"/>
        </w:rPr>
        <w:t xml:space="preserve"> gasto</w:t>
      </w:r>
      <w:r w:rsidR="00116FE3">
        <w:rPr>
          <w:lang w:val="es-MX"/>
        </w:rPr>
        <w:t>s</w:t>
      </w:r>
      <w:r>
        <w:rPr>
          <w:lang w:val="es-MX"/>
        </w:rPr>
        <w:t xml:space="preserve"> total</w:t>
      </w:r>
      <w:r w:rsidR="00116FE3">
        <w:rPr>
          <w:lang w:val="es-MX"/>
        </w:rPr>
        <w:t>es</w:t>
      </w:r>
      <w:r>
        <w:rPr>
          <w:lang w:val="es-MX"/>
        </w:rPr>
        <w:t xml:space="preserve"> más las amortizaciones de préstamos que en conjunto suman Q</w:t>
      </w:r>
      <w:r w:rsidR="00116FE3">
        <w:rPr>
          <w:lang w:val="es-MX"/>
        </w:rPr>
        <w:t>.</w:t>
      </w:r>
      <w:r>
        <w:rPr>
          <w:lang w:val="es-MX"/>
        </w:rPr>
        <w:t>37,890.0 millones a junio de 2019, mayor en Q</w:t>
      </w:r>
      <w:r w:rsidR="00116FE3">
        <w:rPr>
          <w:lang w:val="es-MX"/>
        </w:rPr>
        <w:t>.</w:t>
      </w:r>
      <w:r>
        <w:rPr>
          <w:lang w:val="es-MX"/>
        </w:rPr>
        <w:t xml:space="preserve">5,386.4 millones a los observado en 2018 y representa un aumento del 16.6% </w:t>
      </w:r>
      <w:r w:rsidR="00D17DE3">
        <w:rPr>
          <w:lang w:val="es-MX"/>
        </w:rPr>
        <w:t xml:space="preserve">con </w:t>
      </w:r>
      <w:r>
        <w:rPr>
          <w:lang w:val="es-MX"/>
        </w:rPr>
        <w:t>respecto a la ejecución presupuestaria en el mismo periodo del año anterior, lo cual es comparable con la ejecución presupuestaria por tipo de gasto.</w:t>
      </w:r>
    </w:p>
    <w:p w:rsidR="00E425C1" w:rsidRDefault="00E425C1" w:rsidP="00E425C1">
      <w:pPr>
        <w:jc w:val="both"/>
        <w:rPr>
          <w:sz w:val="14"/>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4</w:t>
      </w:r>
    </w:p>
    <w:p w:rsidR="00E425C1" w:rsidRPr="0088577C" w:rsidRDefault="00E425C1" w:rsidP="00E425C1">
      <w:pPr>
        <w:jc w:val="center"/>
        <w:rPr>
          <w:b/>
          <w:sz w:val="22"/>
          <w:szCs w:val="22"/>
          <w:lang w:val="es-MX"/>
        </w:rPr>
      </w:pPr>
      <w:r w:rsidRPr="0088577C">
        <w:rPr>
          <w:b/>
          <w:sz w:val="22"/>
          <w:szCs w:val="22"/>
          <w:lang w:val="es-MX"/>
        </w:rPr>
        <w:t>Detalle del Gasto Público por Cuenta Económica</w:t>
      </w:r>
    </w:p>
    <w:p w:rsidR="00E425C1" w:rsidRPr="0088577C" w:rsidRDefault="00E425C1" w:rsidP="00E425C1">
      <w:pPr>
        <w:jc w:val="center"/>
        <w:rPr>
          <w:b/>
          <w:sz w:val="22"/>
          <w:szCs w:val="22"/>
          <w:lang w:val="es-MX"/>
        </w:rPr>
      </w:pPr>
      <w:r w:rsidRPr="0088577C">
        <w:rPr>
          <w:b/>
          <w:sz w:val="22"/>
          <w:szCs w:val="22"/>
          <w:lang w:val="es-MX"/>
        </w:rPr>
        <w:t xml:space="preserve">Al 30 de junio de </w:t>
      </w:r>
      <w:r>
        <w:rPr>
          <w:b/>
          <w:sz w:val="22"/>
          <w:szCs w:val="22"/>
          <w:lang w:val="es-MX"/>
        </w:rPr>
        <w:t>2018 y 2019</w:t>
      </w:r>
    </w:p>
    <w:p w:rsidR="00E425C1" w:rsidRDefault="00E425C1" w:rsidP="00E425C1">
      <w:pPr>
        <w:jc w:val="center"/>
        <w:rPr>
          <w:rFonts w:ascii="Calibri" w:eastAsia="Calibri" w:hAnsi="Calibri"/>
          <w:sz w:val="20"/>
          <w:szCs w:val="20"/>
          <w:lang w:val="es-MX" w:eastAsia="es-MX"/>
        </w:rPr>
      </w:pPr>
      <w:r w:rsidRPr="0088577C">
        <w:rPr>
          <w:b/>
          <w:sz w:val="22"/>
          <w:szCs w:val="22"/>
          <w:lang w:val="es-MX"/>
        </w:rPr>
        <w:t>(Cifras en Millones de Quetzales)</w:t>
      </w:r>
      <w:r>
        <w:rPr>
          <w:lang w:val="es-MX"/>
        </w:rPr>
        <w:fldChar w:fldCharType="begin"/>
      </w:r>
      <w:r>
        <w:rPr>
          <w:lang w:val="es-MX"/>
        </w:rPr>
        <w:instrText xml:space="preserve"> LINK Excel.Sheet.12 "C:\\Users\\deefoper12\\Documents\\2019\\DEF\\Informe de Medio año\\Cuadros a junio.xlsx" "Gtos Cta Eco!F3C2:F31C6" \a \f 4 \h  \* MERGEFORMAT </w:instrText>
      </w:r>
      <w:r>
        <w:rPr>
          <w:lang w:val="es-MX"/>
        </w:rPr>
        <w:fldChar w:fldCharType="separate"/>
      </w:r>
    </w:p>
    <w:tbl>
      <w:tblPr>
        <w:tblW w:w="8674" w:type="dxa"/>
        <w:jc w:val="center"/>
        <w:tblInd w:w="-464" w:type="dxa"/>
        <w:tblCellMar>
          <w:left w:w="70" w:type="dxa"/>
          <w:right w:w="70" w:type="dxa"/>
        </w:tblCellMar>
        <w:tblLook w:val="04A0" w:firstRow="1" w:lastRow="0" w:firstColumn="1" w:lastColumn="0" w:noHBand="0" w:noVBand="1"/>
      </w:tblPr>
      <w:tblGrid>
        <w:gridCol w:w="4143"/>
        <w:gridCol w:w="1105"/>
        <w:gridCol w:w="1115"/>
        <w:gridCol w:w="1177"/>
        <w:gridCol w:w="1134"/>
      </w:tblGrid>
      <w:tr w:rsidR="00E425C1" w:rsidRPr="00C53015" w:rsidTr="005D45F9">
        <w:trPr>
          <w:trHeight w:val="261"/>
          <w:jc w:val="center"/>
        </w:trPr>
        <w:tc>
          <w:tcPr>
            <w:tcW w:w="4143"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25C1" w:rsidRPr="00C53015" w:rsidRDefault="00E425C1" w:rsidP="00E425C1">
            <w:pPr>
              <w:jc w:val="center"/>
              <w:rPr>
                <w:b/>
                <w:bCs/>
                <w:color w:val="000000"/>
                <w:sz w:val="20"/>
                <w:szCs w:val="22"/>
                <w:lang w:val="es-GT" w:eastAsia="es-GT"/>
              </w:rPr>
            </w:pPr>
            <w:r w:rsidRPr="00C53015">
              <w:rPr>
                <w:b/>
                <w:bCs/>
                <w:color w:val="000000"/>
                <w:sz w:val="20"/>
                <w:szCs w:val="22"/>
                <w:lang w:val="es-GT" w:eastAsia="es-GT"/>
              </w:rPr>
              <w:t>Concepto</w:t>
            </w:r>
          </w:p>
        </w:tc>
        <w:tc>
          <w:tcPr>
            <w:tcW w:w="110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C53015" w:rsidRDefault="00E425C1" w:rsidP="00D17DE3">
            <w:pPr>
              <w:jc w:val="center"/>
              <w:rPr>
                <w:b/>
                <w:bCs/>
                <w:color w:val="000000"/>
                <w:sz w:val="20"/>
                <w:szCs w:val="22"/>
                <w:lang w:val="es-GT" w:eastAsia="es-GT"/>
              </w:rPr>
            </w:pPr>
            <w:r w:rsidRPr="00C53015">
              <w:rPr>
                <w:b/>
                <w:bCs/>
                <w:color w:val="000000"/>
                <w:sz w:val="20"/>
                <w:szCs w:val="22"/>
                <w:lang w:val="es-GT" w:eastAsia="es-GT"/>
              </w:rPr>
              <w:t>201</w:t>
            </w:r>
            <w:r w:rsidR="00D17DE3">
              <w:rPr>
                <w:b/>
                <w:bCs/>
                <w:color w:val="000000"/>
                <w:sz w:val="20"/>
                <w:szCs w:val="22"/>
                <w:lang w:val="es-GT" w:eastAsia="es-GT"/>
              </w:rPr>
              <w:t>8</w:t>
            </w:r>
          </w:p>
        </w:tc>
        <w:tc>
          <w:tcPr>
            <w:tcW w:w="111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C53015" w:rsidRDefault="00E425C1" w:rsidP="00D17DE3">
            <w:pPr>
              <w:jc w:val="center"/>
              <w:rPr>
                <w:b/>
                <w:bCs/>
                <w:color w:val="000000"/>
                <w:sz w:val="20"/>
                <w:szCs w:val="22"/>
                <w:lang w:val="es-GT" w:eastAsia="es-GT"/>
              </w:rPr>
            </w:pPr>
            <w:r w:rsidRPr="00C53015">
              <w:rPr>
                <w:b/>
                <w:bCs/>
                <w:color w:val="000000"/>
                <w:sz w:val="20"/>
                <w:szCs w:val="22"/>
                <w:lang w:val="es-GT" w:eastAsia="es-GT"/>
              </w:rPr>
              <w:t>201</w:t>
            </w:r>
            <w:r w:rsidR="00D17DE3">
              <w:rPr>
                <w:b/>
                <w:bCs/>
                <w:color w:val="000000"/>
                <w:sz w:val="20"/>
                <w:szCs w:val="22"/>
                <w:lang w:val="es-GT" w:eastAsia="es-GT"/>
              </w:rPr>
              <w:t>9</w:t>
            </w:r>
          </w:p>
        </w:tc>
        <w:tc>
          <w:tcPr>
            <w:tcW w:w="2311" w:type="dxa"/>
            <w:gridSpan w:val="2"/>
            <w:tcBorders>
              <w:top w:val="single" w:sz="8" w:space="0" w:color="auto"/>
              <w:left w:val="single" w:sz="4" w:space="0" w:color="auto"/>
              <w:bottom w:val="single" w:sz="4" w:space="0" w:color="auto"/>
              <w:right w:val="single" w:sz="8" w:space="0" w:color="000000"/>
            </w:tcBorders>
            <w:shd w:val="clear" w:color="000000" w:fill="8DB4E2"/>
            <w:noWrap/>
            <w:vAlign w:val="bottom"/>
            <w:hideMark/>
          </w:tcPr>
          <w:p w:rsidR="00E425C1" w:rsidRPr="00D17DE3" w:rsidRDefault="00E425C1" w:rsidP="00E425C1">
            <w:pPr>
              <w:jc w:val="center"/>
              <w:rPr>
                <w:b/>
                <w:color w:val="000000"/>
                <w:sz w:val="20"/>
                <w:szCs w:val="22"/>
                <w:lang w:val="es-GT" w:eastAsia="es-GT"/>
              </w:rPr>
            </w:pPr>
            <w:r w:rsidRPr="00D17DE3">
              <w:rPr>
                <w:b/>
                <w:color w:val="000000"/>
                <w:sz w:val="20"/>
                <w:szCs w:val="22"/>
                <w:lang w:val="es-GT" w:eastAsia="es-GT"/>
              </w:rPr>
              <w:t>Diferencias</w:t>
            </w:r>
          </w:p>
        </w:tc>
      </w:tr>
      <w:tr w:rsidR="00E425C1" w:rsidRPr="00C53015" w:rsidTr="005D45F9">
        <w:trPr>
          <w:trHeight w:val="261"/>
          <w:jc w:val="center"/>
        </w:trPr>
        <w:tc>
          <w:tcPr>
            <w:tcW w:w="4143" w:type="dxa"/>
            <w:vMerge/>
            <w:tcBorders>
              <w:top w:val="single" w:sz="8" w:space="0" w:color="auto"/>
              <w:left w:val="single" w:sz="8" w:space="0" w:color="auto"/>
              <w:bottom w:val="single" w:sz="4" w:space="0" w:color="000000"/>
              <w:right w:val="nil"/>
            </w:tcBorders>
            <w:vAlign w:val="center"/>
            <w:hideMark/>
          </w:tcPr>
          <w:p w:rsidR="00E425C1" w:rsidRPr="00C53015" w:rsidRDefault="00E425C1" w:rsidP="00E425C1">
            <w:pPr>
              <w:rPr>
                <w:b/>
                <w:bCs/>
                <w:color w:val="000000"/>
                <w:sz w:val="20"/>
                <w:szCs w:val="22"/>
                <w:lang w:val="es-GT" w:eastAsia="es-GT"/>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E425C1" w:rsidRPr="00C53015" w:rsidRDefault="00E425C1" w:rsidP="00E425C1">
            <w:pPr>
              <w:rPr>
                <w:b/>
                <w:bCs/>
                <w:color w:val="000000"/>
                <w:sz w:val="20"/>
                <w:szCs w:val="22"/>
                <w:lang w:val="es-GT" w:eastAsia="es-GT"/>
              </w:rPr>
            </w:pPr>
          </w:p>
        </w:tc>
        <w:tc>
          <w:tcPr>
            <w:tcW w:w="1115" w:type="dxa"/>
            <w:vMerge/>
            <w:tcBorders>
              <w:top w:val="single" w:sz="8" w:space="0" w:color="auto"/>
              <w:left w:val="single" w:sz="4" w:space="0" w:color="auto"/>
              <w:bottom w:val="single" w:sz="4" w:space="0" w:color="000000"/>
              <w:right w:val="single" w:sz="4" w:space="0" w:color="auto"/>
            </w:tcBorders>
            <w:vAlign w:val="center"/>
            <w:hideMark/>
          </w:tcPr>
          <w:p w:rsidR="00E425C1" w:rsidRPr="00C53015" w:rsidRDefault="00E425C1" w:rsidP="00E425C1">
            <w:pPr>
              <w:rPr>
                <w:b/>
                <w:bCs/>
                <w:color w:val="000000"/>
                <w:sz w:val="20"/>
                <w:szCs w:val="22"/>
                <w:lang w:val="es-GT" w:eastAsia="es-GT"/>
              </w:rPr>
            </w:pPr>
          </w:p>
        </w:tc>
        <w:tc>
          <w:tcPr>
            <w:tcW w:w="1177" w:type="dxa"/>
            <w:tcBorders>
              <w:top w:val="nil"/>
              <w:left w:val="nil"/>
              <w:bottom w:val="single" w:sz="4" w:space="0" w:color="auto"/>
              <w:right w:val="single" w:sz="4" w:space="0" w:color="auto"/>
            </w:tcBorders>
            <w:shd w:val="clear" w:color="000000" w:fill="8DB4E2"/>
            <w:noWrap/>
            <w:vAlign w:val="bottom"/>
            <w:hideMark/>
          </w:tcPr>
          <w:p w:rsidR="00E425C1" w:rsidRPr="00D17DE3" w:rsidRDefault="00E425C1" w:rsidP="00E425C1">
            <w:pPr>
              <w:jc w:val="center"/>
              <w:rPr>
                <w:b/>
                <w:color w:val="000000"/>
                <w:sz w:val="20"/>
                <w:szCs w:val="22"/>
                <w:lang w:val="es-GT" w:eastAsia="es-GT"/>
              </w:rPr>
            </w:pPr>
            <w:r w:rsidRPr="00D17DE3">
              <w:rPr>
                <w:b/>
                <w:color w:val="000000"/>
                <w:sz w:val="20"/>
                <w:szCs w:val="22"/>
                <w:lang w:val="es-GT" w:eastAsia="es-GT"/>
              </w:rPr>
              <w:t>Absolutas</w:t>
            </w:r>
          </w:p>
        </w:tc>
        <w:tc>
          <w:tcPr>
            <w:tcW w:w="1134" w:type="dxa"/>
            <w:tcBorders>
              <w:top w:val="single" w:sz="4" w:space="0" w:color="auto"/>
              <w:left w:val="nil"/>
              <w:bottom w:val="single" w:sz="4" w:space="0" w:color="auto"/>
              <w:right w:val="single" w:sz="8" w:space="0" w:color="auto"/>
            </w:tcBorders>
            <w:shd w:val="clear" w:color="000000" w:fill="8DB4E2"/>
            <w:noWrap/>
            <w:vAlign w:val="bottom"/>
            <w:hideMark/>
          </w:tcPr>
          <w:p w:rsidR="00E425C1" w:rsidRPr="00D17DE3" w:rsidRDefault="00E425C1" w:rsidP="00E425C1">
            <w:pPr>
              <w:jc w:val="center"/>
              <w:rPr>
                <w:b/>
                <w:color w:val="000000"/>
                <w:sz w:val="20"/>
                <w:szCs w:val="22"/>
                <w:lang w:val="es-GT" w:eastAsia="es-GT"/>
              </w:rPr>
            </w:pPr>
            <w:r w:rsidRPr="00D17DE3">
              <w:rPr>
                <w:b/>
                <w:color w:val="000000"/>
                <w:sz w:val="20"/>
                <w:szCs w:val="22"/>
                <w:lang w:val="es-GT" w:eastAsia="es-GT"/>
              </w:rPr>
              <w:t>Relativas</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rPr>
                <w:b/>
                <w:bCs/>
                <w:color w:val="000000"/>
                <w:sz w:val="20"/>
                <w:szCs w:val="22"/>
                <w:lang w:val="es-GT" w:eastAsia="es-GT"/>
              </w:rPr>
            </w:pPr>
            <w:r w:rsidRPr="00C53015">
              <w:rPr>
                <w:b/>
                <w:bCs/>
                <w:color w:val="000000"/>
                <w:sz w:val="20"/>
                <w:szCs w:val="22"/>
                <w:lang w:val="es-GT" w:eastAsia="es-GT"/>
              </w:rPr>
              <w:t>Gastos Totales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31,277.8</w:t>
            </w:r>
          </w:p>
        </w:tc>
        <w:tc>
          <w:tcPr>
            <w:tcW w:w="111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36,441.2</w:t>
            </w:r>
          </w:p>
        </w:tc>
        <w:tc>
          <w:tcPr>
            <w:tcW w:w="1177"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5,163.4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16.5%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100" w:firstLine="201"/>
              <w:rPr>
                <w:b/>
                <w:bCs/>
                <w:color w:val="000000"/>
                <w:sz w:val="20"/>
                <w:szCs w:val="22"/>
                <w:lang w:val="es-GT" w:eastAsia="es-GT"/>
              </w:rPr>
            </w:pPr>
            <w:r w:rsidRPr="00C53015">
              <w:rPr>
                <w:b/>
                <w:bCs/>
                <w:color w:val="000000"/>
                <w:sz w:val="20"/>
                <w:szCs w:val="22"/>
                <w:lang w:val="es-GT" w:eastAsia="es-GT"/>
              </w:rPr>
              <w:t>Gastos Corrientes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26,349.7</w:t>
            </w:r>
          </w:p>
        </w:tc>
        <w:tc>
          <w:tcPr>
            <w:tcW w:w="111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29,655.7</w:t>
            </w:r>
          </w:p>
        </w:tc>
        <w:tc>
          <w:tcPr>
            <w:tcW w:w="1177"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3,306.0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12.5%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Remuneraciones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10,408.2</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11,356.3</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948.1</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9.1%</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Bienes y Servicios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2,985.5</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3,351.2</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365.7</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12.2%</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200" w:firstLine="400"/>
              <w:rPr>
                <w:color w:val="000000"/>
                <w:sz w:val="20"/>
                <w:szCs w:val="22"/>
                <w:lang w:val="es-GT" w:eastAsia="es-GT"/>
              </w:rPr>
            </w:pPr>
            <w:r w:rsidRPr="00C53015">
              <w:rPr>
                <w:color w:val="000000"/>
                <w:sz w:val="20"/>
                <w:szCs w:val="22"/>
                <w:lang w:val="es-GT" w:eastAsia="es-GT"/>
              </w:rPr>
              <w:t xml:space="preserve">Impuestos </w:t>
            </w:r>
            <w:r w:rsidR="00D17DE3">
              <w:rPr>
                <w:color w:val="000000"/>
                <w:sz w:val="20"/>
                <w:szCs w:val="22"/>
                <w:lang w:val="es-GT" w:eastAsia="es-GT"/>
              </w:rPr>
              <w:t>P</w:t>
            </w:r>
            <w:r w:rsidRPr="00C53015">
              <w:rPr>
                <w:color w:val="000000"/>
                <w:sz w:val="20"/>
                <w:szCs w:val="22"/>
                <w:lang w:val="es-GT" w:eastAsia="es-GT"/>
              </w:rPr>
              <w:t>agados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3.0</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2.6</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-13.5%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Descuentos y Bonificaciones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91.1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76.7</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-15.8%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Prestaciones a la Seguridad Social</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2,349.3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2,395.5</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46.3</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2.0%</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Intereses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4,087.6</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4,611.4</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523.8</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12.8%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Deuda </w:t>
            </w:r>
            <w:r w:rsidR="00D17DE3">
              <w:rPr>
                <w:color w:val="000000"/>
                <w:sz w:val="20"/>
                <w:szCs w:val="22"/>
                <w:lang w:val="es-GT" w:eastAsia="es-GT"/>
              </w:rPr>
              <w:t>I</w:t>
            </w:r>
            <w:r w:rsidRPr="00C53015">
              <w:rPr>
                <w:color w:val="000000"/>
                <w:sz w:val="20"/>
                <w:szCs w:val="22"/>
                <w:lang w:val="es-GT" w:eastAsia="es-GT"/>
              </w:rPr>
              <w:t xml:space="preserve">nterna </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2,765.2</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3,143.5</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378.3</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13.7%</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Deuda </w:t>
            </w:r>
            <w:r w:rsidR="00D17DE3">
              <w:rPr>
                <w:color w:val="000000"/>
                <w:sz w:val="20"/>
                <w:szCs w:val="22"/>
                <w:lang w:val="es-GT" w:eastAsia="es-GT"/>
              </w:rPr>
              <w:t>E</w:t>
            </w:r>
            <w:r w:rsidRPr="00C53015">
              <w:rPr>
                <w:color w:val="000000"/>
                <w:sz w:val="20"/>
                <w:szCs w:val="22"/>
                <w:lang w:val="es-GT" w:eastAsia="es-GT"/>
              </w:rPr>
              <w:t>xterna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1,322.3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1,467.9</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145.5</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11.0%</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400" w:firstLine="800"/>
              <w:rPr>
                <w:color w:val="000000"/>
                <w:sz w:val="20"/>
                <w:szCs w:val="22"/>
                <w:lang w:val="es-GT" w:eastAsia="es-GT"/>
              </w:rPr>
            </w:pPr>
            <w:r w:rsidRPr="00C53015">
              <w:rPr>
                <w:color w:val="000000"/>
                <w:sz w:val="20"/>
                <w:szCs w:val="22"/>
                <w:lang w:val="es-GT" w:eastAsia="es-GT"/>
              </w:rPr>
              <w:t>Préstamos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739.4</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863.8</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124.3</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16.8%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400" w:firstLine="800"/>
              <w:rPr>
                <w:color w:val="000000"/>
                <w:sz w:val="20"/>
                <w:szCs w:val="22"/>
                <w:lang w:val="es-GT" w:eastAsia="es-GT"/>
              </w:rPr>
            </w:pPr>
            <w:r w:rsidRPr="00C53015">
              <w:rPr>
                <w:color w:val="000000"/>
                <w:sz w:val="20"/>
                <w:szCs w:val="22"/>
                <w:lang w:val="es-GT" w:eastAsia="es-GT"/>
              </w:rPr>
              <w:t>Bonos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582.9</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604.1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21.2</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3.6%</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Arrendamiento de Tierra</w:t>
            </w:r>
            <w:r w:rsidR="00D17DE3">
              <w:rPr>
                <w:color w:val="000000"/>
                <w:sz w:val="20"/>
                <w:szCs w:val="22"/>
                <w:lang w:val="es-GT" w:eastAsia="es-GT"/>
              </w:rPr>
              <w:t>s</w:t>
            </w:r>
            <w:r w:rsidRPr="00C53015">
              <w:rPr>
                <w:color w:val="000000"/>
                <w:sz w:val="20"/>
                <w:szCs w:val="22"/>
                <w:lang w:val="es-GT" w:eastAsia="es-GT"/>
              </w:rPr>
              <w:t xml:space="preserve"> y Terrenos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0.1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0.1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0.0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D17DE3" w:rsidP="00D17DE3">
            <w:pPr>
              <w:jc w:val="right"/>
              <w:rPr>
                <w:color w:val="000000"/>
                <w:sz w:val="20"/>
                <w:szCs w:val="22"/>
                <w:lang w:val="es-GT" w:eastAsia="es-GT"/>
              </w:rPr>
            </w:pPr>
            <w:r>
              <w:rPr>
                <w:color w:val="000000"/>
                <w:sz w:val="20"/>
                <w:szCs w:val="22"/>
                <w:lang w:val="es-GT" w:eastAsia="es-GT"/>
              </w:rPr>
              <w:t>0.0</w:t>
            </w:r>
            <w:r w:rsidR="00E425C1" w:rsidRPr="00C53015">
              <w:rPr>
                <w:color w:val="000000"/>
                <w:sz w:val="20"/>
                <w:szCs w:val="22"/>
                <w:lang w:val="es-GT" w:eastAsia="es-GT"/>
              </w:rPr>
              <w:t>%</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Derechos Sobre Bienes Intangibles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6.7</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8.8</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2.1</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31.4%</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Transferencias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6,418.3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7,853.1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1,434.8</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22.4%</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300" w:firstLine="600"/>
              <w:rPr>
                <w:color w:val="000000"/>
                <w:sz w:val="20"/>
                <w:szCs w:val="22"/>
                <w:lang w:val="es-GT" w:eastAsia="es-GT"/>
              </w:rPr>
            </w:pPr>
            <w:r w:rsidRPr="00C53015">
              <w:rPr>
                <w:color w:val="000000"/>
                <w:sz w:val="20"/>
                <w:szCs w:val="22"/>
                <w:lang w:val="es-GT" w:eastAsia="es-GT"/>
              </w:rPr>
              <w:t>Resto del Sector Público</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4,754.3</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5,219.1</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464.8</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9.8%</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Sector </w:t>
            </w:r>
            <w:r w:rsidR="00D17DE3">
              <w:rPr>
                <w:color w:val="000000"/>
                <w:sz w:val="20"/>
                <w:szCs w:val="22"/>
                <w:lang w:val="es-GT" w:eastAsia="es-GT"/>
              </w:rPr>
              <w:t>P</w:t>
            </w:r>
            <w:r w:rsidRPr="00C53015">
              <w:rPr>
                <w:color w:val="000000"/>
                <w:sz w:val="20"/>
                <w:szCs w:val="22"/>
                <w:lang w:val="es-GT" w:eastAsia="es-GT"/>
              </w:rPr>
              <w:t>rivado</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1,628.9</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2,598.5</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969.6</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59.5%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Sector </w:t>
            </w:r>
            <w:r w:rsidR="00D17DE3">
              <w:rPr>
                <w:color w:val="000000"/>
                <w:sz w:val="20"/>
                <w:szCs w:val="22"/>
                <w:lang w:val="es-GT" w:eastAsia="es-GT"/>
              </w:rPr>
              <w:t>E</w:t>
            </w:r>
            <w:r w:rsidRPr="00C53015">
              <w:rPr>
                <w:color w:val="000000"/>
                <w:sz w:val="20"/>
                <w:szCs w:val="22"/>
                <w:lang w:val="es-GT" w:eastAsia="es-GT"/>
              </w:rPr>
              <w:t>xterno</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35.1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35.4</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1.1%</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100" w:firstLine="201"/>
              <w:rPr>
                <w:b/>
                <w:bCs/>
                <w:color w:val="000000"/>
                <w:sz w:val="20"/>
                <w:szCs w:val="22"/>
                <w:lang w:val="es-GT" w:eastAsia="es-GT"/>
              </w:rPr>
            </w:pPr>
            <w:r w:rsidRPr="00C53015">
              <w:rPr>
                <w:b/>
                <w:bCs/>
                <w:color w:val="000000"/>
                <w:sz w:val="20"/>
                <w:szCs w:val="22"/>
                <w:lang w:val="es-GT" w:eastAsia="es-GT"/>
              </w:rPr>
              <w:t>Gastos de Capital</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4,928.1</w:t>
            </w:r>
          </w:p>
        </w:tc>
        <w:tc>
          <w:tcPr>
            <w:tcW w:w="111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b/>
                <w:bCs/>
                <w:sz w:val="20"/>
                <w:szCs w:val="22"/>
                <w:lang w:val="es-GT" w:eastAsia="es-GT"/>
              </w:rPr>
            </w:pPr>
            <w:r w:rsidRPr="00C53015">
              <w:rPr>
                <w:b/>
                <w:bCs/>
                <w:sz w:val="20"/>
                <w:szCs w:val="22"/>
                <w:lang w:val="es-GT" w:eastAsia="es-GT"/>
              </w:rPr>
              <w:t>6,785.5</w:t>
            </w:r>
          </w:p>
        </w:tc>
        <w:tc>
          <w:tcPr>
            <w:tcW w:w="1177"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1,857.4</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37.7%</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Inversión Real Directa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984.9</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2,053.3</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1,068.5</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108.5%</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Inversión Financiera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0.0</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2.9</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2.9</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D17DE3">
            <w:pPr>
              <w:jc w:val="right"/>
              <w:rPr>
                <w:color w:val="000000"/>
                <w:sz w:val="20"/>
                <w:szCs w:val="22"/>
                <w:lang w:val="es-GT" w:eastAsia="es-GT"/>
              </w:rPr>
            </w:pPr>
            <w:r w:rsidRPr="00C53015">
              <w:rPr>
                <w:color w:val="000000"/>
                <w:sz w:val="20"/>
                <w:szCs w:val="22"/>
                <w:lang w:val="es-GT" w:eastAsia="es-GT"/>
              </w:rPr>
              <w:t> </w:t>
            </w:r>
            <w:r w:rsidR="00D17DE3">
              <w:rPr>
                <w:color w:val="000000"/>
                <w:sz w:val="20"/>
                <w:szCs w:val="22"/>
                <w:lang w:val="es-GT" w:eastAsia="es-GT"/>
              </w:rPr>
              <w:t>100.0%</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200" w:firstLine="400"/>
              <w:rPr>
                <w:color w:val="000000"/>
                <w:sz w:val="20"/>
                <w:szCs w:val="22"/>
                <w:lang w:val="es-GT" w:eastAsia="es-GT"/>
              </w:rPr>
            </w:pPr>
            <w:r w:rsidRPr="00C53015">
              <w:rPr>
                <w:color w:val="000000"/>
                <w:sz w:val="20"/>
                <w:szCs w:val="22"/>
                <w:lang w:val="es-GT" w:eastAsia="es-GT"/>
              </w:rPr>
              <w:t>Transferencias</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3,943.2</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4,729.2</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786.0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19.9%</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ind w:firstLineChars="300" w:firstLine="600"/>
              <w:rPr>
                <w:color w:val="000000"/>
                <w:sz w:val="20"/>
                <w:szCs w:val="22"/>
                <w:lang w:val="es-GT" w:eastAsia="es-GT"/>
              </w:rPr>
            </w:pPr>
            <w:r w:rsidRPr="00C53015">
              <w:rPr>
                <w:color w:val="000000"/>
                <w:sz w:val="20"/>
                <w:szCs w:val="22"/>
                <w:lang w:val="es-GT" w:eastAsia="es-GT"/>
              </w:rPr>
              <w:t xml:space="preserve">Resto del Sector Público </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3,739.1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4,476.2</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737.2</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19.7%</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D17DE3">
            <w:pPr>
              <w:ind w:firstLineChars="300" w:firstLine="600"/>
              <w:rPr>
                <w:color w:val="000000"/>
                <w:sz w:val="20"/>
                <w:szCs w:val="22"/>
                <w:lang w:val="es-GT" w:eastAsia="es-GT"/>
              </w:rPr>
            </w:pPr>
            <w:r w:rsidRPr="00C53015">
              <w:rPr>
                <w:color w:val="000000"/>
                <w:sz w:val="20"/>
                <w:szCs w:val="22"/>
                <w:lang w:val="es-GT" w:eastAsia="es-GT"/>
              </w:rPr>
              <w:t xml:space="preserve">Sector </w:t>
            </w:r>
            <w:r w:rsidR="00D17DE3">
              <w:rPr>
                <w:color w:val="000000"/>
                <w:sz w:val="20"/>
                <w:szCs w:val="22"/>
                <w:lang w:val="es-GT" w:eastAsia="es-GT"/>
              </w:rPr>
              <w:t>P</w:t>
            </w:r>
            <w:r w:rsidRPr="00C53015">
              <w:rPr>
                <w:color w:val="000000"/>
                <w:sz w:val="20"/>
                <w:szCs w:val="22"/>
                <w:lang w:val="es-GT" w:eastAsia="es-GT"/>
              </w:rPr>
              <w:t xml:space="preserve">rivado y </w:t>
            </w:r>
            <w:r w:rsidR="00D17DE3">
              <w:rPr>
                <w:color w:val="000000"/>
                <w:sz w:val="20"/>
                <w:szCs w:val="22"/>
                <w:lang w:val="es-GT" w:eastAsia="es-GT"/>
              </w:rPr>
              <w:t>E</w:t>
            </w:r>
            <w:r w:rsidRPr="00C53015">
              <w:rPr>
                <w:color w:val="000000"/>
                <w:sz w:val="20"/>
                <w:szCs w:val="22"/>
                <w:lang w:val="es-GT" w:eastAsia="es-GT"/>
              </w:rPr>
              <w:t xml:space="preserve">xterno </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204.1</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jc w:val="right"/>
              <w:rPr>
                <w:sz w:val="20"/>
                <w:szCs w:val="22"/>
                <w:lang w:val="es-GT" w:eastAsia="es-GT"/>
              </w:rPr>
            </w:pPr>
            <w:r w:rsidRPr="00C53015">
              <w:rPr>
                <w:sz w:val="20"/>
                <w:szCs w:val="22"/>
                <w:lang w:val="es-GT" w:eastAsia="es-GT"/>
              </w:rPr>
              <w:t>253.0</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48.9</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23.9%</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567AE9" w:rsidRDefault="00E425C1" w:rsidP="005D45F9">
            <w:pPr>
              <w:rPr>
                <w:b/>
                <w:bCs/>
                <w:color w:val="000000"/>
                <w:sz w:val="20"/>
                <w:szCs w:val="22"/>
                <w:u w:val="single"/>
                <w:lang w:val="es-GT" w:eastAsia="es-GT"/>
              </w:rPr>
            </w:pPr>
            <w:r w:rsidRPr="00567AE9">
              <w:rPr>
                <w:b/>
                <w:bCs/>
                <w:color w:val="000000"/>
                <w:sz w:val="20"/>
                <w:szCs w:val="22"/>
                <w:u w:val="single"/>
                <w:lang w:val="es-GT" w:eastAsia="es-GT"/>
              </w:rPr>
              <w:t xml:space="preserve">Más </w:t>
            </w:r>
            <w:r w:rsidR="005D45F9" w:rsidRPr="00567AE9">
              <w:rPr>
                <w:b/>
                <w:bCs/>
                <w:color w:val="000000"/>
                <w:sz w:val="20"/>
                <w:szCs w:val="22"/>
                <w:u w:val="single"/>
                <w:lang w:val="es-GT" w:eastAsia="es-GT"/>
              </w:rPr>
              <w:t>P</w:t>
            </w:r>
            <w:r w:rsidRPr="00567AE9">
              <w:rPr>
                <w:b/>
                <w:bCs/>
                <w:color w:val="000000"/>
                <w:sz w:val="20"/>
                <w:szCs w:val="22"/>
                <w:u w:val="single"/>
                <w:lang w:val="es-GT" w:eastAsia="es-GT"/>
              </w:rPr>
              <w:t xml:space="preserve">agos de </w:t>
            </w:r>
            <w:r w:rsidR="005D45F9" w:rsidRPr="00567AE9">
              <w:rPr>
                <w:b/>
                <w:bCs/>
                <w:color w:val="000000"/>
                <w:sz w:val="20"/>
                <w:szCs w:val="22"/>
                <w:u w:val="single"/>
                <w:lang w:val="es-GT" w:eastAsia="es-GT"/>
              </w:rPr>
              <w:t>D</w:t>
            </w:r>
            <w:r w:rsidRPr="00567AE9">
              <w:rPr>
                <w:b/>
                <w:bCs/>
                <w:color w:val="000000"/>
                <w:sz w:val="20"/>
                <w:szCs w:val="22"/>
                <w:u w:val="single"/>
                <w:lang w:val="es-GT" w:eastAsia="es-GT"/>
              </w:rPr>
              <w:t xml:space="preserve">euda </w:t>
            </w:r>
            <w:r w:rsidR="005D45F9" w:rsidRPr="00567AE9">
              <w:rPr>
                <w:b/>
                <w:bCs/>
                <w:color w:val="000000"/>
                <w:sz w:val="20"/>
                <w:szCs w:val="22"/>
                <w:u w:val="single"/>
                <w:lang w:val="es-GT" w:eastAsia="es-GT"/>
              </w:rPr>
              <w:t>E</w:t>
            </w:r>
            <w:r w:rsidRPr="00567AE9">
              <w:rPr>
                <w:b/>
                <w:bCs/>
                <w:color w:val="000000"/>
                <w:sz w:val="20"/>
                <w:szCs w:val="22"/>
                <w:u w:val="single"/>
                <w:lang w:val="es-GT" w:eastAsia="es-GT"/>
              </w:rPr>
              <w:t>xterna:</w:t>
            </w:r>
          </w:p>
        </w:tc>
        <w:tc>
          <w:tcPr>
            <w:tcW w:w="1105" w:type="dxa"/>
            <w:tcBorders>
              <w:top w:val="nil"/>
              <w:left w:val="single" w:sz="4" w:space="0" w:color="auto"/>
              <w:bottom w:val="nil"/>
              <w:right w:val="nil"/>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c>
          <w:tcPr>
            <w:tcW w:w="1115" w:type="dxa"/>
            <w:tcBorders>
              <w:top w:val="nil"/>
              <w:left w:val="single" w:sz="4" w:space="0" w:color="auto"/>
              <w:bottom w:val="nil"/>
              <w:right w:val="single" w:sz="4" w:space="0" w:color="auto"/>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 </w:t>
            </w:r>
          </w:p>
        </w:tc>
      </w:tr>
      <w:tr w:rsidR="00E425C1" w:rsidRPr="00C53015" w:rsidTr="005D45F9">
        <w:trPr>
          <w:trHeight w:val="261"/>
          <w:jc w:val="center"/>
        </w:trPr>
        <w:tc>
          <w:tcPr>
            <w:tcW w:w="4143" w:type="dxa"/>
            <w:tcBorders>
              <w:top w:val="nil"/>
              <w:left w:val="single" w:sz="8" w:space="0" w:color="auto"/>
              <w:bottom w:val="nil"/>
              <w:right w:val="nil"/>
            </w:tcBorders>
            <w:shd w:val="clear" w:color="000000" w:fill="FFFFFF"/>
            <w:noWrap/>
            <w:vAlign w:val="bottom"/>
            <w:hideMark/>
          </w:tcPr>
          <w:p w:rsidR="00E425C1" w:rsidRPr="00C53015" w:rsidRDefault="00E425C1" w:rsidP="00E425C1">
            <w:pPr>
              <w:rPr>
                <w:color w:val="000000"/>
                <w:sz w:val="20"/>
                <w:szCs w:val="22"/>
                <w:lang w:val="es-GT" w:eastAsia="es-GT"/>
              </w:rPr>
            </w:pPr>
            <w:r w:rsidRPr="00C53015">
              <w:rPr>
                <w:color w:val="000000"/>
                <w:sz w:val="20"/>
                <w:szCs w:val="22"/>
                <w:lang w:val="es-GT" w:eastAsia="es-GT"/>
              </w:rPr>
              <w:t>Amortizaciones</w:t>
            </w:r>
          </w:p>
        </w:tc>
        <w:tc>
          <w:tcPr>
            <w:tcW w:w="1105" w:type="dxa"/>
            <w:tcBorders>
              <w:top w:val="nil"/>
              <w:left w:val="single" w:sz="4" w:space="0" w:color="auto"/>
              <w:bottom w:val="nil"/>
              <w:right w:val="nil"/>
            </w:tcBorders>
            <w:shd w:val="clear" w:color="auto" w:fill="auto"/>
            <w:noWrap/>
            <w:vAlign w:val="center"/>
            <w:hideMark/>
          </w:tcPr>
          <w:p w:rsidR="00E425C1" w:rsidRPr="00C53015" w:rsidRDefault="00E425C1" w:rsidP="00E425C1">
            <w:pPr>
              <w:jc w:val="right"/>
              <w:rPr>
                <w:sz w:val="20"/>
                <w:szCs w:val="22"/>
                <w:lang w:val="es-GT" w:eastAsia="es-GT"/>
              </w:rPr>
            </w:pPr>
            <w:r w:rsidRPr="00C53015">
              <w:rPr>
                <w:sz w:val="20"/>
                <w:szCs w:val="22"/>
                <w:lang w:val="es-GT" w:eastAsia="es-GT"/>
              </w:rPr>
              <w:t>1,225.8</w:t>
            </w:r>
          </w:p>
        </w:tc>
        <w:tc>
          <w:tcPr>
            <w:tcW w:w="1115" w:type="dxa"/>
            <w:tcBorders>
              <w:top w:val="nil"/>
              <w:left w:val="single" w:sz="4" w:space="0" w:color="auto"/>
              <w:bottom w:val="nil"/>
              <w:right w:val="single" w:sz="4" w:space="0" w:color="auto"/>
            </w:tcBorders>
            <w:shd w:val="clear" w:color="auto" w:fill="auto"/>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1,448.8</w:t>
            </w:r>
          </w:p>
        </w:tc>
        <w:tc>
          <w:tcPr>
            <w:tcW w:w="1177" w:type="dxa"/>
            <w:tcBorders>
              <w:top w:val="nil"/>
              <w:left w:val="nil"/>
              <w:bottom w:val="nil"/>
              <w:right w:val="single" w:sz="4"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223.0</w:t>
            </w:r>
          </w:p>
        </w:tc>
        <w:tc>
          <w:tcPr>
            <w:tcW w:w="1134" w:type="dxa"/>
            <w:tcBorders>
              <w:top w:val="nil"/>
              <w:left w:val="nil"/>
              <w:bottom w:val="nil"/>
              <w:right w:val="single" w:sz="8" w:space="0" w:color="auto"/>
            </w:tcBorders>
            <w:shd w:val="clear" w:color="000000" w:fill="FFFFFF"/>
            <w:noWrap/>
            <w:vAlign w:val="bottom"/>
            <w:hideMark/>
          </w:tcPr>
          <w:p w:rsidR="00E425C1" w:rsidRPr="00C53015" w:rsidRDefault="00E425C1" w:rsidP="00E425C1">
            <w:pPr>
              <w:jc w:val="right"/>
              <w:rPr>
                <w:color w:val="000000"/>
                <w:sz w:val="20"/>
                <w:szCs w:val="22"/>
                <w:lang w:val="es-GT" w:eastAsia="es-GT"/>
              </w:rPr>
            </w:pPr>
            <w:r w:rsidRPr="00C53015">
              <w:rPr>
                <w:color w:val="000000"/>
                <w:sz w:val="20"/>
                <w:szCs w:val="22"/>
                <w:lang w:val="es-GT" w:eastAsia="es-GT"/>
              </w:rPr>
              <w:t>18.2%</w:t>
            </w:r>
          </w:p>
        </w:tc>
      </w:tr>
      <w:tr w:rsidR="00E425C1" w:rsidRPr="00C53015" w:rsidTr="005D45F9">
        <w:trPr>
          <w:trHeight w:val="274"/>
          <w:jc w:val="center"/>
        </w:trPr>
        <w:tc>
          <w:tcPr>
            <w:tcW w:w="4143" w:type="dxa"/>
            <w:tcBorders>
              <w:top w:val="nil"/>
              <w:left w:val="single" w:sz="8" w:space="0" w:color="auto"/>
              <w:bottom w:val="single" w:sz="8" w:space="0" w:color="auto"/>
              <w:right w:val="nil"/>
            </w:tcBorders>
            <w:shd w:val="clear" w:color="000000" w:fill="FFFFFF"/>
            <w:noWrap/>
            <w:vAlign w:val="bottom"/>
            <w:hideMark/>
          </w:tcPr>
          <w:p w:rsidR="00E425C1" w:rsidRPr="00C53015" w:rsidRDefault="00E425C1" w:rsidP="005D45F9">
            <w:pPr>
              <w:rPr>
                <w:b/>
                <w:bCs/>
                <w:color w:val="000000"/>
                <w:sz w:val="20"/>
                <w:szCs w:val="22"/>
                <w:lang w:val="es-GT" w:eastAsia="es-GT"/>
              </w:rPr>
            </w:pPr>
            <w:r w:rsidRPr="00C53015">
              <w:rPr>
                <w:b/>
                <w:bCs/>
                <w:color w:val="000000"/>
                <w:sz w:val="20"/>
                <w:szCs w:val="22"/>
                <w:lang w:val="es-GT" w:eastAsia="es-GT"/>
              </w:rPr>
              <w:t xml:space="preserve">Total del </w:t>
            </w:r>
            <w:r w:rsidR="005D45F9">
              <w:rPr>
                <w:b/>
                <w:bCs/>
                <w:color w:val="000000"/>
                <w:sz w:val="20"/>
                <w:szCs w:val="22"/>
                <w:lang w:val="es-GT" w:eastAsia="es-GT"/>
              </w:rPr>
              <w:t>G</w:t>
            </w:r>
            <w:r w:rsidRPr="00C53015">
              <w:rPr>
                <w:b/>
                <w:bCs/>
                <w:color w:val="000000"/>
                <w:sz w:val="20"/>
                <w:szCs w:val="22"/>
                <w:lang w:val="es-GT" w:eastAsia="es-GT"/>
              </w:rPr>
              <w:t xml:space="preserve">asto </w:t>
            </w:r>
            <w:r w:rsidR="005D45F9">
              <w:rPr>
                <w:b/>
                <w:bCs/>
                <w:color w:val="000000"/>
                <w:sz w:val="20"/>
                <w:szCs w:val="22"/>
                <w:lang w:val="es-GT" w:eastAsia="es-GT"/>
              </w:rPr>
              <w:t>P</w:t>
            </w:r>
            <w:r w:rsidRPr="00C53015">
              <w:rPr>
                <w:b/>
                <w:bCs/>
                <w:color w:val="000000"/>
                <w:sz w:val="20"/>
                <w:szCs w:val="22"/>
                <w:lang w:val="es-GT" w:eastAsia="es-GT"/>
              </w:rPr>
              <w:t>resupuestario</w:t>
            </w:r>
          </w:p>
        </w:tc>
        <w:tc>
          <w:tcPr>
            <w:tcW w:w="1105" w:type="dxa"/>
            <w:tcBorders>
              <w:top w:val="nil"/>
              <w:left w:val="single" w:sz="4" w:space="0" w:color="auto"/>
              <w:bottom w:val="single" w:sz="8" w:space="0" w:color="auto"/>
              <w:right w:val="nil"/>
            </w:tcBorders>
            <w:shd w:val="clear" w:color="000000" w:fill="FFFFFF"/>
            <w:noWrap/>
            <w:vAlign w:val="bottom"/>
            <w:hideMark/>
          </w:tcPr>
          <w:p w:rsidR="00E425C1" w:rsidRPr="00C53015" w:rsidRDefault="00E425C1" w:rsidP="00D17DE3">
            <w:pPr>
              <w:jc w:val="right"/>
              <w:rPr>
                <w:b/>
                <w:bCs/>
                <w:color w:val="000000"/>
                <w:sz w:val="20"/>
                <w:szCs w:val="22"/>
                <w:lang w:val="es-GT" w:eastAsia="es-GT"/>
              </w:rPr>
            </w:pPr>
            <w:r w:rsidRPr="00C53015">
              <w:rPr>
                <w:b/>
                <w:bCs/>
                <w:color w:val="000000"/>
                <w:sz w:val="20"/>
                <w:szCs w:val="22"/>
                <w:lang w:val="es-GT" w:eastAsia="es-GT"/>
              </w:rPr>
              <w:t xml:space="preserve">  32,503.6 </w:t>
            </w:r>
          </w:p>
        </w:tc>
        <w:tc>
          <w:tcPr>
            <w:tcW w:w="1115"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C53015" w:rsidRDefault="00E425C1" w:rsidP="00D17DE3">
            <w:pPr>
              <w:jc w:val="right"/>
              <w:rPr>
                <w:b/>
                <w:bCs/>
                <w:color w:val="000000"/>
                <w:sz w:val="20"/>
                <w:szCs w:val="22"/>
                <w:lang w:val="es-GT" w:eastAsia="es-GT"/>
              </w:rPr>
            </w:pPr>
            <w:r w:rsidRPr="00C53015">
              <w:rPr>
                <w:b/>
                <w:bCs/>
                <w:color w:val="000000"/>
                <w:sz w:val="20"/>
                <w:szCs w:val="22"/>
                <w:lang w:val="es-GT" w:eastAsia="es-GT"/>
              </w:rPr>
              <w:t xml:space="preserve">  37,890.0 </w:t>
            </w:r>
          </w:p>
        </w:tc>
        <w:tc>
          <w:tcPr>
            <w:tcW w:w="1177"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5,386.4</w:t>
            </w:r>
          </w:p>
        </w:tc>
        <w:tc>
          <w:tcPr>
            <w:tcW w:w="1134" w:type="dxa"/>
            <w:tcBorders>
              <w:top w:val="nil"/>
              <w:left w:val="nil"/>
              <w:bottom w:val="single" w:sz="8" w:space="0" w:color="auto"/>
              <w:right w:val="single" w:sz="8" w:space="0" w:color="auto"/>
            </w:tcBorders>
            <w:shd w:val="clear" w:color="000000" w:fill="FFFFFF"/>
            <w:noWrap/>
            <w:vAlign w:val="bottom"/>
            <w:hideMark/>
          </w:tcPr>
          <w:p w:rsidR="00E425C1" w:rsidRPr="00C53015" w:rsidRDefault="00E425C1" w:rsidP="00E425C1">
            <w:pPr>
              <w:jc w:val="right"/>
              <w:rPr>
                <w:b/>
                <w:bCs/>
                <w:color w:val="000000"/>
                <w:sz w:val="20"/>
                <w:szCs w:val="22"/>
                <w:lang w:val="es-GT" w:eastAsia="es-GT"/>
              </w:rPr>
            </w:pPr>
            <w:r w:rsidRPr="00C53015">
              <w:rPr>
                <w:b/>
                <w:bCs/>
                <w:color w:val="000000"/>
                <w:sz w:val="20"/>
                <w:szCs w:val="22"/>
                <w:lang w:val="es-GT" w:eastAsia="es-GT"/>
              </w:rPr>
              <w:t>16.6%</w:t>
            </w:r>
          </w:p>
        </w:tc>
      </w:tr>
    </w:tbl>
    <w:p w:rsidR="00E425C1" w:rsidRDefault="00E425C1" w:rsidP="00E425C1">
      <w:pPr>
        <w:rPr>
          <w:sz w:val="18"/>
          <w:lang w:val="es-MX"/>
        </w:rPr>
      </w:pPr>
      <w:r>
        <w:rPr>
          <w:sz w:val="16"/>
          <w:lang w:val="es-MX"/>
        </w:rPr>
        <w:fldChar w:fldCharType="end"/>
      </w:r>
      <w:r w:rsidR="005D45F9">
        <w:rPr>
          <w:sz w:val="16"/>
          <w:lang w:val="es-MX"/>
        </w:rPr>
        <w:t xml:space="preserve">    </w:t>
      </w:r>
      <w:r w:rsidRPr="004B1436">
        <w:rPr>
          <w:sz w:val="18"/>
          <w:lang w:val="es-MX"/>
        </w:rPr>
        <w:t>* Cifras preliminares</w:t>
      </w:r>
    </w:p>
    <w:p w:rsidR="005D45F9" w:rsidRPr="004B1436" w:rsidRDefault="005D45F9" w:rsidP="005D45F9">
      <w:pPr>
        <w:rPr>
          <w:sz w:val="18"/>
          <w:lang w:val="es-MX"/>
        </w:rPr>
      </w:pPr>
      <w:r>
        <w:rPr>
          <w:sz w:val="18"/>
          <w:lang w:val="es-MX"/>
        </w:rPr>
        <w:t xml:space="preserve">       </w:t>
      </w:r>
      <w:r w:rsidRPr="004B1436">
        <w:rPr>
          <w:sz w:val="18"/>
          <w:lang w:val="es-MX"/>
        </w:rPr>
        <w:t>Fuente: Ministerio de Finanzas Públicas con base al SICOIN.</w:t>
      </w:r>
    </w:p>
    <w:p w:rsidR="005D45F9" w:rsidRPr="004B1436" w:rsidRDefault="005D45F9" w:rsidP="00E425C1">
      <w:pPr>
        <w:rPr>
          <w:sz w:val="18"/>
          <w:lang w:val="es-MX"/>
        </w:rPr>
      </w:pPr>
    </w:p>
    <w:p w:rsidR="00E425C1" w:rsidRDefault="00E425C1" w:rsidP="00E425C1">
      <w:pPr>
        <w:rPr>
          <w:sz w:val="18"/>
          <w:lang w:val="es-MX"/>
        </w:rPr>
      </w:pPr>
    </w:p>
    <w:p w:rsidR="00E425C1" w:rsidRDefault="00E425C1" w:rsidP="00E425C1">
      <w:pPr>
        <w:rPr>
          <w:sz w:val="18"/>
          <w:lang w:val="es-MX"/>
        </w:rPr>
      </w:pPr>
    </w:p>
    <w:p w:rsidR="00E425C1" w:rsidRPr="00FB641E" w:rsidRDefault="00E425C1" w:rsidP="00E425C1">
      <w:pPr>
        <w:keepNext/>
        <w:keepLines/>
        <w:numPr>
          <w:ilvl w:val="2"/>
          <w:numId w:val="4"/>
        </w:numPr>
        <w:spacing w:before="200"/>
        <w:outlineLvl w:val="2"/>
        <w:rPr>
          <w:b/>
          <w:bCs/>
          <w:lang w:val="es-MX"/>
        </w:rPr>
      </w:pPr>
      <w:bookmarkStart w:id="13" w:name="_Toc20495566"/>
      <w:r w:rsidRPr="00FB641E">
        <w:rPr>
          <w:b/>
          <w:bCs/>
          <w:lang w:val="es-MX"/>
        </w:rPr>
        <w:lastRenderedPageBreak/>
        <w:t xml:space="preserve">Ejecución </w:t>
      </w:r>
      <w:r w:rsidR="000D2458">
        <w:rPr>
          <w:b/>
          <w:bCs/>
          <w:lang w:val="es-MX"/>
        </w:rPr>
        <w:t>P</w:t>
      </w:r>
      <w:r w:rsidRPr="00FB641E">
        <w:rPr>
          <w:b/>
          <w:bCs/>
          <w:lang w:val="es-MX"/>
        </w:rPr>
        <w:t xml:space="preserve">resupuestaria </w:t>
      </w:r>
      <w:r w:rsidR="000D2458">
        <w:rPr>
          <w:b/>
          <w:bCs/>
          <w:lang w:val="es-MX"/>
        </w:rPr>
        <w:t>I</w:t>
      </w:r>
      <w:r w:rsidRPr="00FB641E">
        <w:rPr>
          <w:b/>
          <w:bCs/>
          <w:lang w:val="es-MX"/>
        </w:rPr>
        <w:t>nstitucional</w:t>
      </w:r>
      <w:bookmarkEnd w:id="13"/>
    </w:p>
    <w:p w:rsidR="00E425C1" w:rsidRPr="00FB641E" w:rsidRDefault="00E425C1" w:rsidP="00E425C1">
      <w:pPr>
        <w:jc w:val="both"/>
        <w:rPr>
          <w:sz w:val="18"/>
          <w:lang w:val="es-MX"/>
        </w:rPr>
      </w:pPr>
    </w:p>
    <w:p w:rsidR="00E425C1" w:rsidRDefault="00E425C1" w:rsidP="00E425C1">
      <w:pPr>
        <w:jc w:val="both"/>
        <w:rPr>
          <w:lang w:val="es-MX"/>
        </w:rPr>
      </w:pPr>
      <w:r>
        <w:rPr>
          <w:lang w:val="es-MX"/>
        </w:rPr>
        <w:t xml:space="preserve">Al 30 de junio de 2019, el gasto correspondiente a Educación, </w:t>
      </w:r>
      <w:r w:rsidR="00EB3A2D">
        <w:rPr>
          <w:lang w:val="es-MX"/>
        </w:rPr>
        <w:t>Servicios</w:t>
      </w:r>
      <w:r>
        <w:rPr>
          <w:lang w:val="es-MX"/>
        </w:rPr>
        <w:t xml:space="preserve"> de la Deuda, Salud y Gobernación, en su conjunto se ubicaron en el 50.0% del total de la ejecución, el cual en 2018 fue de 49.8%; en tanto que el resto de entidades (14 ministerios sin incluir las Obligaciones del Estado a Cargo del Tesoro), ejecutaron el 16.3% en 2019 y 14.8% en 2018.</w:t>
      </w:r>
    </w:p>
    <w:p w:rsidR="00E425C1" w:rsidRDefault="00E425C1" w:rsidP="00E425C1">
      <w:pPr>
        <w:jc w:val="both"/>
        <w:rPr>
          <w:lang w:val="es-MX"/>
        </w:rPr>
      </w:pPr>
    </w:p>
    <w:p w:rsidR="00E425C1" w:rsidRDefault="00E425C1" w:rsidP="00E425C1">
      <w:pPr>
        <w:jc w:val="both"/>
        <w:rPr>
          <w:lang w:val="es-MX"/>
        </w:rPr>
      </w:pPr>
      <w:r>
        <w:rPr>
          <w:lang w:val="es-MX"/>
        </w:rPr>
        <w:t xml:space="preserve">Por su parte la entidad Obligaciones del Estado a Cargo del Tesoro, al 30 de junio de 2019 tuvo una ejecución del 33.7%, mientras que en 2018 fue del 35.5%, </w:t>
      </w:r>
      <w:r w:rsidR="004B1436">
        <w:rPr>
          <w:lang w:val="es-MX"/>
        </w:rPr>
        <w:t xml:space="preserve">CON </w:t>
      </w:r>
      <w:r>
        <w:rPr>
          <w:lang w:val="es-MX"/>
        </w:rPr>
        <w:t>respecto al total de la ejecución presupuestaria de cada año.</w:t>
      </w:r>
    </w:p>
    <w:p w:rsidR="00E425C1" w:rsidRDefault="00E425C1" w:rsidP="00E425C1">
      <w:pPr>
        <w:jc w:val="both"/>
        <w:rPr>
          <w:lang w:val="es-MX"/>
        </w:rPr>
      </w:pPr>
    </w:p>
    <w:p w:rsidR="00E425C1" w:rsidRPr="00FB641E" w:rsidRDefault="00E425C1" w:rsidP="00E425C1">
      <w:pPr>
        <w:jc w:val="both"/>
        <w:rPr>
          <w:lang w:val="es-MX"/>
        </w:rPr>
      </w:pPr>
      <w:r>
        <w:rPr>
          <w:lang w:val="es-MX"/>
        </w:rPr>
        <w:t xml:space="preserve">Dentro de la ejecución de las </w:t>
      </w:r>
      <w:r w:rsidRPr="00FB641E">
        <w:rPr>
          <w:lang w:val="es-MX"/>
        </w:rPr>
        <w:t>Obligaciones del Estado a Cargo del Tesoro</w:t>
      </w:r>
      <w:r>
        <w:rPr>
          <w:lang w:val="es-MX"/>
        </w:rPr>
        <w:t>, se encuentran los</w:t>
      </w:r>
      <w:r w:rsidRPr="00FB641E">
        <w:rPr>
          <w:lang w:val="es-MX"/>
        </w:rPr>
        <w:t xml:space="preserve"> compromisos de </w:t>
      </w:r>
      <w:r>
        <w:rPr>
          <w:lang w:val="es-MX"/>
        </w:rPr>
        <w:t xml:space="preserve">los </w:t>
      </w:r>
      <w:r w:rsidRPr="00FB641E">
        <w:rPr>
          <w:lang w:val="es-MX"/>
        </w:rPr>
        <w:t>aportes constitucionales</w:t>
      </w:r>
      <w:r>
        <w:rPr>
          <w:lang w:val="es-MX"/>
        </w:rPr>
        <w:t>, en los que resaltan las transferencias a favor de</w:t>
      </w:r>
      <w:r w:rsidRPr="00FB641E">
        <w:rPr>
          <w:lang w:val="es-MX"/>
        </w:rPr>
        <w:t xml:space="preserve"> las 340 </w:t>
      </w:r>
      <w:r w:rsidR="004B1436">
        <w:rPr>
          <w:lang w:val="es-MX"/>
        </w:rPr>
        <w:t>M</w:t>
      </w:r>
      <w:r w:rsidRPr="00FB641E">
        <w:rPr>
          <w:lang w:val="es-MX"/>
        </w:rPr>
        <w:t xml:space="preserve">unicipalidades del país, </w:t>
      </w:r>
      <w:r>
        <w:rPr>
          <w:lang w:val="es-MX"/>
        </w:rPr>
        <w:t xml:space="preserve">los </w:t>
      </w:r>
      <w:r w:rsidRPr="00FB641E">
        <w:rPr>
          <w:lang w:val="es-MX"/>
        </w:rPr>
        <w:t xml:space="preserve">Consejos Departamentales de Desarrollo, </w:t>
      </w:r>
      <w:r>
        <w:rPr>
          <w:lang w:val="es-MX"/>
        </w:rPr>
        <w:t xml:space="preserve">la </w:t>
      </w:r>
      <w:r w:rsidRPr="00FB641E">
        <w:rPr>
          <w:lang w:val="es-MX"/>
        </w:rPr>
        <w:t xml:space="preserve">Universidad de San Carlos de Guatemala, </w:t>
      </w:r>
      <w:r>
        <w:rPr>
          <w:lang w:val="es-MX"/>
        </w:rPr>
        <w:t xml:space="preserve">el </w:t>
      </w:r>
      <w:r w:rsidRPr="00FB641E">
        <w:rPr>
          <w:lang w:val="es-MX"/>
        </w:rPr>
        <w:t xml:space="preserve">Organismo Judicial, </w:t>
      </w:r>
      <w:r>
        <w:rPr>
          <w:lang w:val="es-MX"/>
        </w:rPr>
        <w:t xml:space="preserve">el </w:t>
      </w:r>
      <w:r w:rsidRPr="00FB641E">
        <w:rPr>
          <w:lang w:val="es-MX"/>
        </w:rPr>
        <w:t xml:space="preserve">Ministerio Público, </w:t>
      </w:r>
      <w:r>
        <w:rPr>
          <w:lang w:val="es-MX"/>
        </w:rPr>
        <w:t xml:space="preserve">el </w:t>
      </w:r>
      <w:r w:rsidRPr="00FB641E">
        <w:rPr>
          <w:lang w:val="es-MX"/>
        </w:rPr>
        <w:t xml:space="preserve">Congreso de la República, </w:t>
      </w:r>
      <w:r>
        <w:rPr>
          <w:lang w:val="es-MX"/>
        </w:rPr>
        <w:t xml:space="preserve">la </w:t>
      </w:r>
      <w:r w:rsidRPr="00FB641E">
        <w:rPr>
          <w:lang w:val="es-MX"/>
        </w:rPr>
        <w:t xml:space="preserve">Contraloría General de Cuentas, </w:t>
      </w:r>
      <w:r>
        <w:rPr>
          <w:lang w:val="es-MX"/>
        </w:rPr>
        <w:t xml:space="preserve">la </w:t>
      </w:r>
      <w:r w:rsidRPr="00FB641E">
        <w:rPr>
          <w:lang w:val="es-MX"/>
        </w:rPr>
        <w:t>Corte de Constitucionalidad, entre otros.</w:t>
      </w:r>
    </w:p>
    <w:p w:rsidR="00E425C1" w:rsidRPr="00FB641E" w:rsidRDefault="00E425C1" w:rsidP="00E425C1">
      <w:pPr>
        <w:jc w:val="both"/>
        <w:rPr>
          <w:sz w:val="18"/>
          <w:lang w:val="es-MX"/>
        </w:rPr>
      </w:pPr>
    </w:p>
    <w:p w:rsidR="00E425C1" w:rsidRPr="0088577C" w:rsidRDefault="00E425C1" w:rsidP="00E425C1">
      <w:pPr>
        <w:jc w:val="center"/>
        <w:rPr>
          <w:b/>
          <w:sz w:val="22"/>
          <w:szCs w:val="22"/>
          <w:lang w:val="es-MX"/>
        </w:rPr>
      </w:pPr>
      <w:r w:rsidRPr="0088577C">
        <w:rPr>
          <w:b/>
          <w:sz w:val="22"/>
          <w:szCs w:val="22"/>
          <w:lang w:val="es-MX"/>
        </w:rPr>
        <w:t xml:space="preserve">Gráfica </w:t>
      </w:r>
      <w:r>
        <w:rPr>
          <w:b/>
          <w:sz w:val="22"/>
          <w:szCs w:val="22"/>
          <w:lang w:val="es-MX"/>
        </w:rPr>
        <w:t>11</w:t>
      </w:r>
    </w:p>
    <w:p w:rsidR="00E425C1" w:rsidRPr="0088577C" w:rsidRDefault="00E425C1" w:rsidP="00E425C1">
      <w:pPr>
        <w:jc w:val="center"/>
        <w:rPr>
          <w:b/>
          <w:sz w:val="22"/>
          <w:szCs w:val="22"/>
          <w:lang w:val="es-MX"/>
        </w:rPr>
      </w:pPr>
      <w:r w:rsidRPr="0088577C">
        <w:rPr>
          <w:b/>
          <w:sz w:val="22"/>
          <w:szCs w:val="22"/>
          <w:lang w:val="es-MX"/>
        </w:rPr>
        <w:t>Ejecución Presupuestaria por Grupo de Entidades</w:t>
      </w:r>
    </w:p>
    <w:p w:rsidR="00E425C1" w:rsidRPr="0088577C" w:rsidRDefault="00E425C1" w:rsidP="00E425C1">
      <w:pPr>
        <w:jc w:val="center"/>
        <w:rPr>
          <w:b/>
          <w:sz w:val="22"/>
          <w:szCs w:val="22"/>
          <w:lang w:val="es-MX"/>
        </w:rPr>
      </w:pPr>
      <w:r w:rsidRPr="0088577C">
        <w:rPr>
          <w:b/>
          <w:sz w:val="22"/>
          <w:szCs w:val="22"/>
          <w:lang w:val="es-MX"/>
        </w:rPr>
        <w:t xml:space="preserve">Comparativo al 30 de junio </w:t>
      </w:r>
      <w:r w:rsidR="004B1436">
        <w:rPr>
          <w:b/>
          <w:sz w:val="22"/>
          <w:szCs w:val="22"/>
          <w:lang w:val="es-MX"/>
        </w:rPr>
        <w:t xml:space="preserve">de </w:t>
      </w:r>
      <w:r w:rsidRPr="0088577C">
        <w:rPr>
          <w:b/>
          <w:sz w:val="22"/>
          <w:szCs w:val="22"/>
          <w:lang w:val="es-MX"/>
        </w:rPr>
        <w:t>201</w:t>
      </w:r>
      <w:r>
        <w:rPr>
          <w:b/>
          <w:sz w:val="22"/>
          <w:szCs w:val="22"/>
          <w:lang w:val="es-MX"/>
        </w:rPr>
        <w:t>8</w:t>
      </w:r>
      <w:r w:rsidRPr="0088577C">
        <w:rPr>
          <w:b/>
          <w:sz w:val="22"/>
          <w:szCs w:val="22"/>
          <w:lang w:val="es-MX"/>
        </w:rPr>
        <w:t xml:space="preserve"> y 201</w:t>
      </w:r>
      <w:r>
        <w:rPr>
          <w:b/>
          <w:sz w:val="22"/>
          <w:szCs w:val="22"/>
          <w:lang w:val="es-MX"/>
        </w:rPr>
        <w:t>9*</w:t>
      </w:r>
    </w:p>
    <w:p w:rsidR="00E425C1" w:rsidRPr="0088577C" w:rsidRDefault="00E425C1" w:rsidP="00E425C1">
      <w:pPr>
        <w:jc w:val="center"/>
        <w:rPr>
          <w:b/>
          <w:sz w:val="22"/>
          <w:szCs w:val="22"/>
          <w:lang w:val="es-MX"/>
        </w:rPr>
      </w:pPr>
      <w:r w:rsidRPr="0088577C">
        <w:rPr>
          <w:b/>
          <w:sz w:val="22"/>
          <w:szCs w:val="22"/>
          <w:lang w:val="es-MX"/>
        </w:rPr>
        <w:t xml:space="preserve">(Porcentajes de </w:t>
      </w:r>
      <w:r w:rsidR="004B1436">
        <w:rPr>
          <w:b/>
          <w:sz w:val="22"/>
          <w:szCs w:val="22"/>
          <w:lang w:val="es-MX"/>
        </w:rPr>
        <w:t>E</w:t>
      </w:r>
      <w:r w:rsidRPr="0088577C">
        <w:rPr>
          <w:b/>
          <w:sz w:val="22"/>
          <w:szCs w:val="22"/>
          <w:lang w:val="es-MX"/>
        </w:rPr>
        <w:t>jecución)</w:t>
      </w:r>
    </w:p>
    <w:p w:rsidR="00E425C1" w:rsidRDefault="00E425C1" w:rsidP="00E425C1">
      <w:pPr>
        <w:jc w:val="center"/>
        <w:rPr>
          <w:i/>
          <w:sz w:val="22"/>
          <w:lang w:val="es-MX"/>
        </w:rPr>
      </w:pPr>
      <w:r>
        <w:rPr>
          <w:noProof/>
          <w:lang w:val="es-GT" w:eastAsia="es-GT"/>
        </w:rPr>
        <w:drawing>
          <wp:inline distT="0" distB="0" distL="0" distR="0" wp14:anchorId="2E12103C" wp14:editId="06058C71">
            <wp:extent cx="2377440" cy="1880006"/>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val="es-GT" w:eastAsia="es-GT"/>
        </w:rPr>
        <w:drawing>
          <wp:inline distT="0" distB="0" distL="0" distR="0" wp14:anchorId="1DE978D6" wp14:editId="20CD5C8C">
            <wp:extent cx="3057753" cy="1931213"/>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25C1" w:rsidRDefault="00E425C1" w:rsidP="00E425C1">
      <w:pPr>
        <w:rPr>
          <w:i/>
          <w:sz w:val="22"/>
          <w:lang w:val="es-MX"/>
        </w:rPr>
      </w:pPr>
    </w:p>
    <w:p w:rsidR="00E425C1" w:rsidRDefault="00E425C1" w:rsidP="00E425C1">
      <w:pPr>
        <w:ind w:left="142"/>
        <w:rPr>
          <w:sz w:val="18"/>
          <w:lang w:val="es-MX"/>
        </w:rPr>
      </w:pPr>
      <w:r w:rsidRPr="004B1436">
        <w:rPr>
          <w:sz w:val="18"/>
          <w:lang w:val="es-MX"/>
        </w:rPr>
        <w:t>* Cifras preliminares</w:t>
      </w:r>
    </w:p>
    <w:p w:rsidR="00D335DF" w:rsidRPr="004B1436" w:rsidRDefault="00D335DF" w:rsidP="00D335DF">
      <w:pPr>
        <w:rPr>
          <w:sz w:val="20"/>
          <w:lang w:val="es-MX"/>
        </w:rPr>
      </w:pPr>
      <w:r w:rsidRPr="004B1436">
        <w:rPr>
          <w:i/>
          <w:sz w:val="28"/>
          <w:lang w:val="es-MX"/>
        </w:rPr>
        <w:t xml:space="preserve"> </w:t>
      </w:r>
      <w:r>
        <w:rPr>
          <w:i/>
          <w:sz w:val="28"/>
          <w:lang w:val="es-MX"/>
        </w:rPr>
        <w:t xml:space="preserve">  </w:t>
      </w:r>
      <w:r w:rsidRPr="004B1436">
        <w:rPr>
          <w:i/>
          <w:sz w:val="28"/>
          <w:lang w:val="es-MX"/>
        </w:rPr>
        <w:t xml:space="preserve"> </w:t>
      </w:r>
      <w:r w:rsidRPr="004B1436">
        <w:rPr>
          <w:sz w:val="18"/>
          <w:lang w:val="es-MX"/>
        </w:rPr>
        <w:t>Fuente: Ministerio de Finanzas Públicas con base al SICOIN.</w:t>
      </w:r>
    </w:p>
    <w:p w:rsidR="00D335DF" w:rsidRPr="004B1436" w:rsidRDefault="00D335DF" w:rsidP="00E425C1">
      <w:pPr>
        <w:ind w:left="142"/>
        <w:rPr>
          <w:sz w:val="18"/>
          <w:lang w:val="es-MX"/>
        </w:rPr>
      </w:pPr>
    </w:p>
    <w:p w:rsidR="00E425C1" w:rsidRDefault="00E425C1" w:rsidP="00E425C1">
      <w:pPr>
        <w:jc w:val="center"/>
        <w:rPr>
          <w:b/>
          <w:sz w:val="22"/>
          <w:lang w:val="es-MX"/>
        </w:rPr>
      </w:pPr>
    </w:p>
    <w:p w:rsidR="00E425C1" w:rsidRPr="003E1D05" w:rsidRDefault="00E425C1" w:rsidP="00E425C1">
      <w:pPr>
        <w:jc w:val="both"/>
        <w:rPr>
          <w:lang w:val="es-MX"/>
        </w:rPr>
      </w:pPr>
      <w:r>
        <w:rPr>
          <w:lang w:val="es-MX"/>
        </w:rPr>
        <w:t>Al comparar la ejecución presupuestaria por entidad d</w:t>
      </w:r>
      <w:r w:rsidRPr="003E1D05">
        <w:rPr>
          <w:lang w:val="es-MX"/>
        </w:rPr>
        <w:t>urante el primer semestre de 201</w:t>
      </w:r>
      <w:r>
        <w:rPr>
          <w:lang w:val="es-MX"/>
        </w:rPr>
        <w:t>9 con la de 2018</w:t>
      </w:r>
      <w:r w:rsidRPr="003E1D05">
        <w:rPr>
          <w:lang w:val="es-MX"/>
        </w:rPr>
        <w:t>, la</w:t>
      </w:r>
      <w:r w:rsidRPr="003E1D05">
        <w:rPr>
          <w:b/>
          <w:lang w:val="es-MX"/>
        </w:rPr>
        <w:t xml:space="preserve"> </w:t>
      </w:r>
      <w:r w:rsidRPr="003E1D05">
        <w:rPr>
          <w:lang w:val="es-MX"/>
        </w:rPr>
        <w:t xml:space="preserve">ejecución </w:t>
      </w:r>
      <w:r>
        <w:rPr>
          <w:lang w:val="es-MX"/>
        </w:rPr>
        <w:t xml:space="preserve">experimentó un </w:t>
      </w:r>
      <w:r w:rsidRPr="003E1D05">
        <w:rPr>
          <w:lang w:val="es-MX"/>
        </w:rPr>
        <w:t>aument</w:t>
      </w:r>
      <w:r>
        <w:rPr>
          <w:lang w:val="es-MX"/>
        </w:rPr>
        <w:t xml:space="preserve">o neto de </w:t>
      </w:r>
      <w:r w:rsidRPr="003E1D05">
        <w:rPr>
          <w:lang w:val="es-MX"/>
        </w:rPr>
        <w:t>Q</w:t>
      </w:r>
      <w:r w:rsidR="00240A8C">
        <w:rPr>
          <w:lang w:val="es-MX"/>
        </w:rPr>
        <w:t>.</w:t>
      </w:r>
      <w:r>
        <w:rPr>
          <w:lang w:val="es-MX"/>
        </w:rPr>
        <w:t>5</w:t>
      </w:r>
      <w:r w:rsidRPr="003E1D05">
        <w:rPr>
          <w:lang w:val="es-MX"/>
        </w:rPr>
        <w:t>,</w:t>
      </w:r>
      <w:r>
        <w:rPr>
          <w:lang w:val="es-MX"/>
        </w:rPr>
        <w:t xml:space="preserve">386.4 </w:t>
      </w:r>
      <w:r w:rsidRPr="003E1D05">
        <w:rPr>
          <w:lang w:val="es-MX"/>
        </w:rPr>
        <w:t xml:space="preserve">millones, </w:t>
      </w:r>
      <w:r>
        <w:rPr>
          <w:lang w:val="es-MX"/>
        </w:rPr>
        <w:t xml:space="preserve">de </w:t>
      </w:r>
      <w:r w:rsidRPr="003E1D05">
        <w:rPr>
          <w:lang w:val="es-MX"/>
        </w:rPr>
        <w:t>los cuales</w:t>
      </w:r>
      <w:r>
        <w:rPr>
          <w:lang w:val="es-MX"/>
        </w:rPr>
        <w:t>, los montos más voluminosos se observan en: las Obligaciones del Estado con Q</w:t>
      </w:r>
      <w:r w:rsidR="00240A8C">
        <w:rPr>
          <w:lang w:val="es-MX"/>
        </w:rPr>
        <w:t>.</w:t>
      </w:r>
      <w:r>
        <w:rPr>
          <w:lang w:val="es-MX"/>
        </w:rPr>
        <w:t>1.241.9 millones; el Ministerio de Educación con Q</w:t>
      </w:r>
      <w:r w:rsidR="00240A8C">
        <w:rPr>
          <w:lang w:val="es-MX"/>
        </w:rPr>
        <w:t>.</w:t>
      </w:r>
      <w:r>
        <w:rPr>
          <w:lang w:val="es-MX"/>
        </w:rPr>
        <w:t>1,410.2 millones; el Ministerio de Comunicaciones, Infraestructura y Vivienda con Q</w:t>
      </w:r>
      <w:r w:rsidR="00240A8C">
        <w:rPr>
          <w:lang w:val="es-MX"/>
        </w:rPr>
        <w:t>.</w:t>
      </w:r>
      <w:r>
        <w:rPr>
          <w:lang w:val="es-MX"/>
        </w:rPr>
        <w:t xml:space="preserve">925.3 millones; </w:t>
      </w:r>
      <w:r w:rsidR="00240A8C">
        <w:rPr>
          <w:lang w:val="es-MX"/>
        </w:rPr>
        <w:t>los</w:t>
      </w:r>
      <w:r>
        <w:rPr>
          <w:lang w:val="es-MX"/>
        </w:rPr>
        <w:t xml:space="preserve"> Servicio</w:t>
      </w:r>
      <w:r w:rsidR="00240A8C">
        <w:rPr>
          <w:lang w:val="es-MX"/>
        </w:rPr>
        <w:t>s</w:t>
      </w:r>
      <w:r>
        <w:rPr>
          <w:lang w:val="es-MX"/>
        </w:rPr>
        <w:t xml:space="preserve"> de la Deuda con Q</w:t>
      </w:r>
      <w:r w:rsidR="00240A8C">
        <w:rPr>
          <w:lang w:val="es-MX"/>
        </w:rPr>
        <w:t>.</w:t>
      </w:r>
      <w:r>
        <w:rPr>
          <w:lang w:val="es-MX"/>
        </w:rPr>
        <w:t>746.8 millones y finalmente el Ministerio de Salud Pública y Asistencia Social con Q</w:t>
      </w:r>
      <w:r w:rsidR="00240A8C">
        <w:rPr>
          <w:lang w:val="es-MX"/>
        </w:rPr>
        <w:t>.</w:t>
      </w:r>
      <w:r>
        <w:rPr>
          <w:lang w:val="es-MX"/>
        </w:rPr>
        <w:t>601.9 millones, entre otros con montos menores.</w:t>
      </w:r>
    </w:p>
    <w:p w:rsidR="00E425C1" w:rsidRDefault="00E425C1" w:rsidP="00E425C1">
      <w:pPr>
        <w:rPr>
          <w:b/>
          <w:sz w:val="22"/>
          <w:lang w:val="es-MX"/>
        </w:rPr>
      </w:pPr>
    </w:p>
    <w:p w:rsidR="00E425C1" w:rsidRDefault="00E425C1" w:rsidP="00E425C1">
      <w:pPr>
        <w:jc w:val="center"/>
        <w:rPr>
          <w:b/>
          <w:sz w:val="22"/>
          <w:lang w:val="es-MX"/>
        </w:rPr>
      </w:pPr>
    </w:p>
    <w:p w:rsidR="00E425C1" w:rsidRDefault="00E425C1" w:rsidP="00E425C1">
      <w:pPr>
        <w:jc w:val="center"/>
        <w:rPr>
          <w:b/>
          <w:sz w:val="22"/>
          <w:lang w:val="es-MX"/>
        </w:rPr>
      </w:pPr>
    </w:p>
    <w:p w:rsidR="00E425C1" w:rsidRDefault="00E425C1" w:rsidP="00E425C1">
      <w:pPr>
        <w:rPr>
          <w:b/>
          <w:sz w:val="22"/>
          <w:szCs w:val="22"/>
          <w:lang w:val="es-MX"/>
        </w:rPr>
      </w:pPr>
      <w:r>
        <w:rPr>
          <w:b/>
          <w:sz w:val="22"/>
          <w:szCs w:val="22"/>
          <w:lang w:val="es-MX"/>
        </w:rPr>
        <w:br w:type="page"/>
      </w:r>
    </w:p>
    <w:p w:rsidR="00E425C1" w:rsidRPr="0088577C" w:rsidRDefault="00E425C1" w:rsidP="00E425C1">
      <w:pPr>
        <w:jc w:val="center"/>
        <w:rPr>
          <w:b/>
          <w:sz w:val="22"/>
          <w:szCs w:val="22"/>
          <w:lang w:val="es-MX"/>
        </w:rPr>
      </w:pPr>
      <w:r w:rsidRPr="0088577C">
        <w:rPr>
          <w:b/>
          <w:sz w:val="22"/>
          <w:szCs w:val="22"/>
          <w:lang w:val="es-MX"/>
        </w:rPr>
        <w:lastRenderedPageBreak/>
        <w:t xml:space="preserve">Cuadro </w:t>
      </w:r>
      <w:r>
        <w:rPr>
          <w:b/>
          <w:sz w:val="22"/>
          <w:szCs w:val="22"/>
          <w:lang w:val="es-MX"/>
        </w:rPr>
        <w:t>5</w:t>
      </w:r>
    </w:p>
    <w:p w:rsidR="00E425C1" w:rsidRPr="0088577C" w:rsidRDefault="00E425C1" w:rsidP="00E425C1">
      <w:pPr>
        <w:jc w:val="center"/>
        <w:rPr>
          <w:b/>
          <w:sz w:val="22"/>
          <w:szCs w:val="22"/>
          <w:lang w:val="es-MX"/>
        </w:rPr>
      </w:pPr>
      <w:r w:rsidRPr="0088577C">
        <w:rPr>
          <w:b/>
          <w:sz w:val="22"/>
          <w:szCs w:val="22"/>
          <w:lang w:val="es-MX"/>
        </w:rPr>
        <w:t>Ejecución Presupuestaria por Entidad</w:t>
      </w:r>
    </w:p>
    <w:p w:rsidR="00E425C1" w:rsidRPr="0088577C" w:rsidRDefault="00E425C1" w:rsidP="00E425C1">
      <w:pPr>
        <w:jc w:val="center"/>
        <w:rPr>
          <w:b/>
          <w:sz w:val="22"/>
          <w:szCs w:val="22"/>
          <w:lang w:val="es-MX"/>
        </w:rPr>
      </w:pPr>
      <w:r w:rsidRPr="0088577C">
        <w:rPr>
          <w:b/>
          <w:sz w:val="22"/>
          <w:szCs w:val="22"/>
          <w:lang w:val="es-MX"/>
        </w:rPr>
        <w:t xml:space="preserve">Al 30 de junio </w:t>
      </w:r>
      <w:r w:rsidR="00240A8C">
        <w:rPr>
          <w:b/>
          <w:sz w:val="22"/>
          <w:szCs w:val="22"/>
          <w:lang w:val="es-MX"/>
        </w:rPr>
        <w:t xml:space="preserve">de </w:t>
      </w:r>
      <w:r w:rsidRPr="0088577C">
        <w:rPr>
          <w:b/>
          <w:sz w:val="22"/>
          <w:szCs w:val="22"/>
          <w:lang w:val="es-MX"/>
        </w:rPr>
        <w:t>201</w:t>
      </w:r>
      <w:r>
        <w:rPr>
          <w:b/>
          <w:sz w:val="22"/>
          <w:szCs w:val="22"/>
          <w:lang w:val="es-MX"/>
        </w:rPr>
        <w:t>8</w:t>
      </w:r>
      <w:r w:rsidRPr="0088577C">
        <w:rPr>
          <w:b/>
          <w:sz w:val="22"/>
          <w:szCs w:val="22"/>
          <w:lang w:val="es-MX"/>
        </w:rPr>
        <w:t xml:space="preserve"> - 201</w:t>
      </w:r>
      <w:r>
        <w:rPr>
          <w:b/>
          <w:sz w:val="22"/>
          <w:szCs w:val="22"/>
          <w:lang w:val="es-MX"/>
        </w:rPr>
        <w:t>9</w:t>
      </w:r>
    </w:p>
    <w:p w:rsidR="00E425C1" w:rsidRDefault="00E425C1" w:rsidP="00D335DF">
      <w:pPr>
        <w:jc w:val="center"/>
        <w:rPr>
          <w:rFonts w:ascii="Calibri" w:eastAsia="Calibri" w:hAnsi="Calibri"/>
          <w:sz w:val="20"/>
          <w:szCs w:val="20"/>
          <w:lang w:val="es-MX" w:eastAsia="es-MX"/>
        </w:rPr>
      </w:pPr>
      <w:r w:rsidRPr="0088577C">
        <w:rPr>
          <w:b/>
          <w:sz w:val="22"/>
          <w:szCs w:val="22"/>
          <w:lang w:val="es-MX"/>
        </w:rPr>
        <w:t>(Cifras en Millones de Quetzales)</w:t>
      </w:r>
      <w:r>
        <w:rPr>
          <w:lang w:val="es-MX"/>
        </w:rPr>
        <w:fldChar w:fldCharType="begin"/>
      </w:r>
      <w:r>
        <w:rPr>
          <w:lang w:val="es-MX"/>
        </w:rPr>
        <w:instrText xml:space="preserve"> LINK Excel.Sheet.12 "C:\\Users\\deefoper12\\Documents\\2019\\DEF\\Informe de Medio año\\Cuadros a junio.xlsx" "X Entidad!F25C3:F46C9" \a \f 4 \h  \* MERGEFORMAT </w:instrText>
      </w:r>
      <w:r>
        <w:rPr>
          <w:lang w:val="es-MX"/>
        </w:rPr>
        <w:fldChar w:fldCharType="separate"/>
      </w:r>
    </w:p>
    <w:p w:rsidR="00E425C1" w:rsidRDefault="00E425C1" w:rsidP="00E425C1">
      <w:pPr>
        <w:rPr>
          <w:rFonts w:ascii="Calibri" w:eastAsia="Calibri" w:hAnsi="Calibri"/>
          <w:sz w:val="20"/>
          <w:szCs w:val="20"/>
          <w:lang w:val="es-MX" w:eastAsia="es-MX"/>
        </w:rPr>
      </w:pPr>
      <w:r>
        <w:rPr>
          <w:lang w:val="es-MX"/>
        </w:rPr>
        <w:fldChar w:fldCharType="begin"/>
      </w:r>
      <w:r>
        <w:rPr>
          <w:lang w:val="es-MX"/>
        </w:rPr>
        <w:instrText xml:space="preserve"> LINK Excel.Sheet.12 "C:\\Users\\deefoper12\\Documents\\2019\\DEF\\Informe de Medio año\\Cuadros a junio.xlsx" "X Entidad!F25C3:F46C9" \a \f 4 \h  \* MERGEFORMAT </w:instrText>
      </w:r>
      <w:r>
        <w:rPr>
          <w:lang w:val="es-MX"/>
        </w:rPr>
        <w:fldChar w:fldCharType="separate"/>
      </w:r>
    </w:p>
    <w:tbl>
      <w:tblPr>
        <w:tblW w:w="9072" w:type="dxa"/>
        <w:tblInd w:w="70" w:type="dxa"/>
        <w:tblCellMar>
          <w:left w:w="70" w:type="dxa"/>
          <w:right w:w="70" w:type="dxa"/>
        </w:tblCellMar>
        <w:tblLook w:val="04A0" w:firstRow="1" w:lastRow="0" w:firstColumn="1" w:lastColumn="0" w:noHBand="0" w:noVBand="1"/>
      </w:tblPr>
      <w:tblGrid>
        <w:gridCol w:w="2040"/>
        <w:gridCol w:w="1221"/>
        <w:gridCol w:w="1134"/>
        <w:gridCol w:w="1275"/>
        <w:gridCol w:w="1134"/>
        <w:gridCol w:w="1134"/>
        <w:gridCol w:w="1134"/>
      </w:tblGrid>
      <w:tr w:rsidR="00E425C1" w:rsidRPr="000F4A4D" w:rsidTr="00D335DF">
        <w:trPr>
          <w:trHeight w:val="510"/>
        </w:trPr>
        <w:tc>
          <w:tcPr>
            <w:tcW w:w="2040"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Devengado por Entidad</w:t>
            </w:r>
          </w:p>
        </w:tc>
        <w:tc>
          <w:tcPr>
            <w:tcW w:w="1221"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2018</w:t>
            </w:r>
          </w:p>
        </w:tc>
        <w:tc>
          <w:tcPr>
            <w:tcW w:w="1134"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2019</w:t>
            </w:r>
          </w:p>
        </w:tc>
        <w:tc>
          <w:tcPr>
            <w:tcW w:w="2409" w:type="dxa"/>
            <w:gridSpan w:val="2"/>
            <w:tcBorders>
              <w:top w:val="single" w:sz="8" w:space="0" w:color="auto"/>
              <w:left w:val="single" w:sz="4" w:space="0" w:color="auto"/>
              <w:bottom w:val="single" w:sz="4" w:space="0" w:color="auto"/>
              <w:right w:val="single" w:sz="8" w:space="0" w:color="000000"/>
            </w:tcBorders>
            <w:shd w:val="clear" w:color="000000" w:fill="8DB4E2"/>
            <w:noWrap/>
            <w:vAlign w:val="center"/>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Diferencias</w:t>
            </w:r>
          </w:p>
        </w:tc>
        <w:tc>
          <w:tcPr>
            <w:tcW w:w="2268" w:type="dxa"/>
            <w:gridSpan w:val="2"/>
            <w:tcBorders>
              <w:top w:val="single" w:sz="8" w:space="0" w:color="auto"/>
              <w:left w:val="nil"/>
              <w:bottom w:val="single" w:sz="4" w:space="0" w:color="auto"/>
              <w:right w:val="single" w:sz="8" w:space="0" w:color="000000"/>
            </w:tcBorders>
            <w:shd w:val="clear" w:color="000000" w:fill="8DB4E2"/>
            <w:vAlign w:val="center"/>
            <w:hideMark/>
          </w:tcPr>
          <w:p w:rsidR="00E425C1" w:rsidRPr="000F4A4D" w:rsidRDefault="00E425C1" w:rsidP="0024636C">
            <w:pPr>
              <w:jc w:val="center"/>
              <w:rPr>
                <w:b/>
                <w:bCs/>
                <w:color w:val="000000"/>
                <w:sz w:val="20"/>
                <w:szCs w:val="20"/>
                <w:lang w:val="es-GT" w:eastAsia="es-GT"/>
              </w:rPr>
            </w:pPr>
            <w:r w:rsidRPr="000F4A4D">
              <w:rPr>
                <w:b/>
                <w:bCs/>
                <w:color w:val="000000"/>
                <w:sz w:val="20"/>
                <w:szCs w:val="20"/>
                <w:lang w:val="es-GT" w:eastAsia="es-GT"/>
              </w:rPr>
              <w:t>Estructura</w:t>
            </w:r>
            <w:r w:rsidR="0024636C">
              <w:rPr>
                <w:b/>
                <w:bCs/>
                <w:color w:val="000000"/>
                <w:sz w:val="20"/>
                <w:szCs w:val="20"/>
                <w:lang w:val="es-GT" w:eastAsia="es-GT"/>
              </w:rPr>
              <w:t xml:space="preserve"> </w:t>
            </w:r>
            <w:r w:rsidRPr="000F4A4D">
              <w:rPr>
                <w:b/>
                <w:bCs/>
                <w:color w:val="000000"/>
                <w:sz w:val="20"/>
                <w:szCs w:val="20"/>
                <w:lang w:val="es-GT" w:eastAsia="es-GT"/>
              </w:rPr>
              <w:t xml:space="preserve">de la </w:t>
            </w:r>
            <w:r w:rsidR="00D335DF">
              <w:rPr>
                <w:b/>
                <w:bCs/>
                <w:color w:val="000000"/>
                <w:sz w:val="20"/>
                <w:szCs w:val="20"/>
                <w:lang w:val="es-GT" w:eastAsia="es-GT"/>
              </w:rPr>
              <w:t>E</w:t>
            </w:r>
            <w:r w:rsidRPr="000F4A4D">
              <w:rPr>
                <w:b/>
                <w:bCs/>
                <w:color w:val="000000"/>
                <w:sz w:val="20"/>
                <w:szCs w:val="20"/>
                <w:lang w:val="es-GT" w:eastAsia="es-GT"/>
              </w:rPr>
              <w:t>jecución</w:t>
            </w:r>
          </w:p>
        </w:tc>
      </w:tr>
      <w:tr w:rsidR="00E425C1" w:rsidRPr="000F4A4D" w:rsidTr="00D335DF">
        <w:trPr>
          <w:trHeight w:val="300"/>
        </w:trPr>
        <w:tc>
          <w:tcPr>
            <w:tcW w:w="2040" w:type="dxa"/>
            <w:vMerge/>
            <w:tcBorders>
              <w:top w:val="single" w:sz="8" w:space="0" w:color="auto"/>
              <w:left w:val="single" w:sz="8" w:space="0" w:color="auto"/>
              <w:bottom w:val="single" w:sz="4" w:space="0" w:color="000000"/>
              <w:right w:val="nil"/>
            </w:tcBorders>
            <w:vAlign w:val="center"/>
            <w:hideMark/>
          </w:tcPr>
          <w:p w:rsidR="00E425C1" w:rsidRPr="000F4A4D" w:rsidRDefault="00E425C1" w:rsidP="00E425C1">
            <w:pPr>
              <w:rPr>
                <w:b/>
                <w:bCs/>
                <w:color w:val="000000"/>
                <w:sz w:val="20"/>
                <w:szCs w:val="20"/>
                <w:lang w:val="es-GT" w:eastAsia="es-GT"/>
              </w:rPr>
            </w:pPr>
          </w:p>
        </w:tc>
        <w:tc>
          <w:tcPr>
            <w:tcW w:w="1221" w:type="dxa"/>
            <w:vMerge/>
            <w:tcBorders>
              <w:top w:val="single" w:sz="8" w:space="0" w:color="auto"/>
              <w:left w:val="single" w:sz="4" w:space="0" w:color="auto"/>
              <w:bottom w:val="single" w:sz="4" w:space="0" w:color="000000"/>
              <w:right w:val="single" w:sz="4" w:space="0" w:color="auto"/>
            </w:tcBorders>
            <w:vAlign w:val="center"/>
            <w:hideMark/>
          </w:tcPr>
          <w:p w:rsidR="00E425C1" w:rsidRPr="000F4A4D" w:rsidRDefault="00E425C1" w:rsidP="00E425C1">
            <w:pPr>
              <w:rPr>
                <w:b/>
                <w:bCs/>
                <w:color w:val="000000"/>
                <w:sz w:val="20"/>
                <w:szCs w:val="20"/>
                <w:lang w:val="es-GT" w:eastAsia="es-GT"/>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E425C1" w:rsidRPr="000F4A4D" w:rsidRDefault="00E425C1" w:rsidP="00E425C1">
            <w:pPr>
              <w:rPr>
                <w:b/>
                <w:bCs/>
                <w:color w:val="000000"/>
                <w:sz w:val="20"/>
                <w:szCs w:val="20"/>
                <w:lang w:val="es-GT" w:eastAsia="es-GT"/>
              </w:rPr>
            </w:pPr>
          </w:p>
        </w:tc>
        <w:tc>
          <w:tcPr>
            <w:tcW w:w="1275" w:type="dxa"/>
            <w:tcBorders>
              <w:top w:val="nil"/>
              <w:left w:val="nil"/>
              <w:bottom w:val="single" w:sz="4" w:space="0" w:color="auto"/>
              <w:right w:val="single" w:sz="4" w:space="0" w:color="auto"/>
            </w:tcBorders>
            <w:shd w:val="clear" w:color="000000" w:fill="8DB4E2"/>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Absolutas</w:t>
            </w:r>
          </w:p>
        </w:tc>
        <w:tc>
          <w:tcPr>
            <w:tcW w:w="1134" w:type="dxa"/>
            <w:tcBorders>
              <w:top w:val="single" w:sz="4" w:space="0" w:color="auto"/>
              <w:left w:val="nil"/>
              <w:bottom w:val="single" w:sz="4" w:space="0" w:color="auto"/>
              <w:right w:val="single" w:sz="8" w:space="0" w:color="auto"/>
            </w:tcBorders>
            <w:shd w:val="clear" w:color="000000" w:fill="8DB4E2"/>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Relativas</w:t>
            </w:r>
          </w:p>
        </w:tc>
        <w:tc>
          <w:tcPr>
            <w:tcW w:w="1134" w:type="dxa"/>
            <w:tcBorders>
              <w:top w:val="nil"/>
              <w:left w:val="nil"/>
              <w:bottom w:val="single" w:sz="4" w:space="0" w:color="auto"/>
              <w:right w:val="single" w:sz="4" w:space="0" w:color="auto"/>
            </w:tcBorders>
            <w:shd w:val="clear" w:color="000000" w:fill="8DB4E2"/>
            <w:noWrap/>
            <w:vAlign w:val="bottom"/>
            <w:hideMark/>
          </w:tcPr>
          <w:p w:rsidR="00E425C1" w:rsidRPr="000F4A4D" w:rsidRDefault="00E425C1" w:rsidP="00240A8C">
            <w:pPr>
              <w:jc w:val="center"/>
              <w:rPr>
                <w:b/>
                <w:bCs/>
                <w:color w:val="000000"/>
                <w:sz w:val="22"/>
                <w:szCs w:val="22"/>
                <w:lang w:val="es-GT" w:eastAsia="es-GT"/>
              </w:rPr>
            </w:pPr>
            <w:r w:rsidRPr="000F4A4D">
              <w:rPr>
                <w:b/>
                <w:bCs/>
                <w:color w:val="000000"/>
                <w:sz w:val="22"/>
                <w:szCs w:val="22"/>
                <w:lang w:val="es-GT" w:eastAsia="es-GT"/>
              </w:rPr>
              <w:t>201</w:t>
            </w:r>
            <w:r w:rsidR="00240A8C">
              <w:rPr>
                <w:b/>
                <w:bCs/>
                <w:color w:val="000000"/>
                <w:sz w:val="22"/>
                <w:szCs w:val="22"/>
                <w:lang w:val="es-GT" w:eastAsia="es-GT"/>
              </w:rPr>
              <w:t>8</w:t>
            </w:r>
          </w:p>
        </w:tc>
        <w:tc>
          <w:tcPr>
            <w:tcW w:w="1134" w:type="dxa"/>
            <w:tcBorders>
              <w:top w:val="nil"/>
              <w:left w:val="nil"/>
              <w:bottom w:val="single" w:sz="4" w:space="0" w:color="auto"/>
              <w:right w:val="single" w:sz="8" w:space="0" w:color="auto"/>
            </w:tcBorders>
            <w:shd w:val="clear" w:color="000000" w:fill="8DB4E2"/>
            <w:noWrap/>
            <w:vAlign w:val="bottom"/>
            <w:hideMark/>
          </w:tcPr>
          <w:p w:rsidR="00E425C1" w:rsidRPr="000F4A4D" w:rsidRDefault="00E425C1" w:rsidP="00240A8C">
            <w:pPr>
              <w:jc w:val="center"/>
              <w:rPr>
                <w:b/>
                <w:bCs/>
                <w:color w:val="000000"/>
                <w:sz w:val="22"/>
                <w:szCs w:val="22"/>
                <w:lang w:val="es-GT" w:eastAsia="es-GT"/>
              </w:rPr>
            </w:pPr>
            <w:r w:rsidRPr="000F4A4D">
              <w:rPr>
                <w:b/>
                <w:bCs/>
                <w:color w:val="000000"/>
                <w:sz w:val="22"/>
                <w:szCs w:val="22"/>
                <w:lang w:val="es-GT" w:eastAsia="es-GT"/>
              </w:rPr>
              <w:t>201</w:t>
            </w:r>
            <w:r w:rsidR="00240A8C">
              <w:rPr>
                <w:b/>
                <w:bCs/>
                <w:color w:val="000000"/>
                <w:sz w:val="22"/>
                <w:szCs w:val="22"/>
                <w:lang w:val="es-GT" w:eastAsia="es-GT"/>
              </w:rPr>
              <w:t>9</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jc w:val="center"/>
              <w:rPr>
                <w:b/>
                <w:bCs/>
                <w:color w:val="000000"/>
                <w:sz w:val="20"/>
                <w:szCs w:val="20"/>
                <w:lang w:val="es-GT" w:eastAsia="es-GT"/>
              </w:rPr>
            </w:pPr>
            <w:r w:rsidRPr="000F4A4D">
              <w:rPr>
                <w:b/>
                <w:bCs/>
                <w:color w:val="000000"/>
                <w:sz w:val="20"/>
                <w:szCs w:val="20"/>
                <w:lang w:val="es-GT" w:eastAsia="es-GT"/>
              </w:rPr>
              <w:t>Total</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rPr>
                <w:b/>
                <w:bCs/>
                <w:color w:val="000000"/>
                <w:sz w:val="20"/>
                <w:szCs w:val="20"/>
                <w:lang w:val="es-GT" w:eastAsia="es-GT"/>
              </w:rPr>
            </w:pPr>
            <w:r w:rsidRPr="000F4A4D">
              <w:rPr>
                <w:b/>
                <w:bCs/>
                <w:color w:val="000000"/>
                <w:sz w:val="20"/>
                <w:szCs w:val="20"/>
                <w:lang w:val="es-GT" w:eastAsia="es-GT"/>
              </w:rPr>
              <w:t xml:space="preserve">   32,503.7 </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rPr>
                <w:b/>
                <w:bCs/>
                <w:color w:val="000000"/>
                <w:sz w:val="20"/>
                <w:szCs w:val="20"/>
                <w:lang w:val="es-GT" w:eastAsia="es-GT"/>
              </w:rPr>
            </w:pPr>
            <w:r w:rsidRPr="000F4A4D">
              <w:rPr>
                <w:b/>
                <w:bCs/>
                <w:color w:val="000000"/>
                <w:sz w:val="20"/>
                <w:szCs w:val="20"/>
                <w:lang w:val="es-GT" w:eastAsia="es-GT"/>
              </w:rPr>
              <w:t xml:space="preserve">   37,890.0 </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b/>
                <w:bCs/>
                <w:color w:val="000000"/>
                <w:sz w:val="22"/>
                <w:szCs w:val="22"/>
                <w:lang w:val="es-GT" w:eastAsia="es-GT"/>
              </w:rPr>
            </w:pPr>
            <w:r w:rsidRPr="000F4A4D">
              <w:rPr>
                <w:b/>
                <w:bCs/>
                <w:color w:val="000000"/>
                <w:sz w:val="22"/>
                <w:szCs w:val="22"/>
                <w:lang w:val="es-GT" w:eastAsia="es-GT"/>
              </w:rPr>
              <w:t>5,386.4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b/>
                <w:bCs/>
                <w:color w:val="000000"/>
                <w:sz w:val="22"/>
                <w:szCs w:val="22"/>
                <w:lang w:val="es-GT" w:eastAsia="es-GT"/>
              </w:rPr>
            </w:pPr>
            <w:r w:rsidRPr="000F4A4D">
              <w:rPr>
                <w:b/>
                <w:bCs/>
                <w:color w:val="000000"/>
                <w:sz w:val="22"/>
                <w:szCs w:val="22"/>
                <w:lang w:val="es-GT" w:eastAsia="es-GT"/>
              </w:rPr>
              <w:t>16.6%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100.0%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b/>
                <w:bCs/>
                <w:color w:val="000000"/>
                <w:sz w:val="22"/>
                <w:szCs w:val="22"/>
                <w:lang w:val="es-GT" w:eastAsia="es-GT"/>
              </w:rPr>
            </w:pPr>
            <w:r w:rsidRPr="000F4A4D">
              <w:rPr>
                <w:b/>
                <w:bCs/>
                <w:color w:val="000000"/>
                <w:sz w:val="22"/>
                <w:szCs w:val="22"/>
                <w:lang w:val="es-GT" w:eastAsia="es-GT"/>
              </w:rPr>
              <w:t>100.0%</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Obligaciones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11,526.6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12,768.5</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1,241.9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10.8%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35.5%</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33.7%</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Educación</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6,298.9</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7,709.1</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1,410.2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22.4%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19.4%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20.3%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Servicios de la Deuda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5,313.4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6,060.2</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746.8</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16.3%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16.0%</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Salud Pública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2,555.8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3,157.7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601.9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23.6%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7.9%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8.3%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Comunicaciones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1,485.7</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2,411.0</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925.3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62.3%</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4.6%</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6.4%</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Gobernación</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2,010.6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2,002.7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-8.0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-0.4%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6.2%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5.3%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Defensa</w:t>
            </w:r>
            <w:r w:rsidR="0024636C">
              <w:rPr>
                <w:color w:val="000000"/>
                <w:sz w:val="20"/>
                <w:szCs w:val="20"/>
                <w:lang w:val="es-GT" w:eastAsia="es-GT"/>
              </w:rPr>
              <w:t xml:space="preserve"> Nacional</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944.6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952.5</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8.0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0.8%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2.9%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2.5%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Agricultura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434.2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578.6</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144.3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33.2%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Secretarías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502.0</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547.7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45.7</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1.5%</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1.4%</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Desarrollo Social</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307.1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405.2</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98.0</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31.9%</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1.1%</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Trabajo</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295.7</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307.6</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4.0%</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0.8%</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Relaciones Exteriores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180.2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209.0</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28.8</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16.0%</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0.6%</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0.6%</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Cultura y Deportes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161.5</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204.8</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43.4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26.8%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0.5%</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Economía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130.7</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180.8</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50.1</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38.4%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0.5%</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Finanzas</w:t>
            </w:r>
            <w:r w:rsidR="0024636C">
              <w:rPr>
                <w:color w:val="000000"/>
                <w:sz w:val="20"/>
                <w:szCs w:val="20"/>
                <w:lang w:val="es-GT" w:eastAsia="es-GT"/>
              </w:rPr>
              <w:t xml:space="preserve"> Públicas</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119.6</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137.9</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18.3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15.3%</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0.4%</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0.4%</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Presidencia</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105.4</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110.5</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5.1</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4.9%</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0.3%</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0.3%</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Ambiente</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55.1</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58.3</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0.2%</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0.2%</w:t>
            </w:r>
          </w:p>
        </w:tc>
      </w:tr>
      <w:tr w:rsidR="00E425C1" w:rsidRPr="000F4A4D" w:rsidTr="00D335DF">
        <w:trPr>
          <w:trHeight w:val="300"/>
        </w:trPr>
        <w:tc>
          <w:tcPr>
            <w:tcW w:w="2040" w:type="dxa"/>
            <w:tcBorders>
              <w:top w:val="nil"/>
              <w:left w:val="single" w:sz="8" w:space="0" w:color="auto"/>
              <w:bottom w:val="nil"/>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PGN</w:t>
            </w:r>
          </w:p>
        </w:tc>
        <w:tc>
          <w:tcPr>
            <w:tcW w:w="1221" w:type="dxa"/>
            <w:tcBorders>
              <w:top w:val="nil"/>
              <w:left w:val="single" w:sz="4" w:space="0" w:color="auto"/>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46.8</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56.7</w:t>
            </w:r>
          </w:p>
        </w:tc>
        <w:tc>
          <w:tcPr>
            <w:tcW w:w="1275"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9.9</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21.2%</w:t>
            </w:r>
          </w:p>
        </w:tc>
        <w:tc>
          <w:tcPr>
            <w:tcW w:w="1134" w:type="dxa"/>
            <w:tcBorders>
              <w:top w:val="nil"/>
              <w:left w:val="nil"/>
              <w:bottom w:val="nil"/>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c>
          <w:tcPr>
            <w:tcW w:w="1134" w:type="dxa"/>
            <w:tcBorders>
              <w:top w:val="nil"/>
              <w:left w:val="nil"/>
              <w:bottom w:val="nil"/>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r>
      <w:tr w:rsidR="00E425C1" w:rsidRPr="000F4A4D" w:rsidTr="0024636C">
        <w:trPr>
          <w:trHeight w:val="262"/>
        </w:trPr>
        <w:tc>
          <w:tcPr>
            <w:tcW w:w="2040" w:type="dxa"/>
            <w:tcBorders>
              <w:top w:val="nil"/>
              <w:left w:val="single" w:sz="8" w:space="0" w:color="auto"/>
              <w:bottom w:val="single" w:sz="8" w:space="0" w:color="auto"/>
              <w:right w:val="nil"/>
            </w:tcBorders>
            <w:shd w:val="clear" w:color="000000" w:fill="FFFFFF"/>
            <w:noWrap/>
            <w:vAlign w:val="bottom"/>
            <w:hideMark/>
          </w:tcPr>
          <w:p w:rsidR="00E425C1" w:rsidRPr="000F4A4D" w:rsidRDefault="00E425C1" w:rsidP="00E425C1">
            <w:pPr>
              <w:rPr>
                <w:color w:val="000000"/>
                <w:sz w:val="20"/>
                <w:szCs w:val="20"/>
                <w:lang w:val="es-GT" w:eastAsia="es-GT"/>
              </w:rPr>
            </w:pPr>
            <w:r w:rsidRPr="000F4A4D">
              <w:rPr>
                <w:color w:val="000000"/>
                <w:sz w:val="20"/>
                <w:szCs w:val="20"/>
                <w:lang w:val="es-GT" w:eastAsia="es-GT"/>
              </w:rPr>
              <w:t>Energía y Minas</w:t>
            </w:r>
          </w:p>
        </w:tc>
        <w:tc>
          <w:tcPr>
            <w:tcW w:w="1221"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29.9</w:t>
            </w:r>
          </w:p>
        </w:tc>
        <w:tc>
          <w:tcPr>
            <w:tcW w:w="1134" w:type="dxa"/>
            <w:tcBorders>
              <w:top w:val="nil"/>
              <w:left w:val="nil"/>
              <w:bottom w:val="single" w:sz="8" w:space="0" w:color="auto"/>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31.2</w:t>
            </w:r>
          </w:p>
        </w:tc>
        <w:tc>
          <w:tcPr>
            <w:tcW w:w="1275" w:type="dxa"/>
            <w:tcBorders>
              <w:top w:val="nil"/>
              <w:left w:val="nil"/>
              <w:bottom w:val="single" w:sz="8" w:space="0" w:color="auto"/>
              <w:right w:val="single" w:sz="4"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1.3</w:t>
            </w:r>
          </w:p>
        </w:tc>
        <w:tc>
          <w:tcPr>
            <w:tcW w:w="1134" w:type="dxa"/>
            <w:tcBorders>
              <w:top w:val="nil"/>
              <w:left w:val="nil"/>
              <w:bottom w:val="single" w:sz="8" w:space="0" w:color="auto"/>
              <w:right w:val="single" w:sz="8" w:space="0" w:color="auto"/>
            </w:tcBorders>
            <w:shd w:val="clear" w:color="000000" w:fill="FFFFFF"/>
            <w:noWrap/>
            <w:vAlign w:val="bottom"/>
            <w:hideMark/>
          </w:tcPr>
          <w:p w:rsidR="00E425C1" w:rsidRPr="000F4A4D" w:rsidRDefault="00E425C1" w:rsidP="00E425C1">
            <w:pPr>
              <w:jc w:val="right"/>
              <w:rPr>
                <w:color w:val="000000"/>
                <w:sz w:val="22"/>
                <w:szCs w:val="22"/>
                <w:lang w:val="es-GT" w:eastAsia="es-GT"/>
              </w:rPr>
            </w:pPr>
            <w:r w:rsidRPr="000F4A4D">
              <w:rPr>
                <w:color w:val="000000"/>
                <w:sz w:val="22"/>
                <w:szCs w:val="22"/>
                <w:lang w:val="es-GT" w:eastAsia="es-GT"/>
              </w:rPr>
              <w:t>4.4%</w:t>
            </w:r>
          </w:p>
        </w:tc>
        <w:tc>
          <w:tcPr>
            <w:tcW w:w="1134" w:type="dxa"/>
            <w:tcBorders>
              <w:top w:val="nil"/>
              <w:left w:val="nil"/>
              <w:bottom w:val="single" w:sz="8" w:space="0" w:color="auto"/>
              <w:right w:val="single" w:sz="4"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c>
          <w:tcPr>
            <w:tcW w:w="1134" w:type="dxa"/>
            <w:tcBorders>
              <w:top w:val="nil"/>
              <w:left w:val="nil"/>
              <w:bottom w:val="single" w:sz="8" w:space="0" w:color="auto"/>
              <w:right w:val="single" w:sz="8" w:space="0" w:color="auto"/>
            </w:tcBorders>
            <w:shd w:val="clear" w:color="000000" w:fill="FFFFFF"/>
            <w:noWrap/>
            <w:vAlign w:val="bottom"/>
            <w:hideMark/>
          </w:tcPr>
          <w:p w:rsidR="00E425C1" w:rsidRPr="000F4A4D" w:rsidRDefault="00E425C1" w:rsidP="00E425C1">
            <w:pPr>
              <w:jc w:val="center"/>
              <w:rPr>
                <w:color w:val="000000"/>
                <w:sz w:val="22"/>
                <w:szCs w:val="22"/>
                <w:lang w:val="es-GT" w:eastAsia="es-GT"/>
              </w:rPr>
            </w:pPr>
            <w:r w:rsidRPr="000F4A4D">
              <w:rPr>
                <w:color w:val="000000"/>
                <w:sz w:val="22"/>
                <w:szCs w:val="22"/>
                <w:lang w:val="es-GT" w:eastAsia="es-GT"/>
              </w:rPr>
              <w:t>0.1%</w:t>
            </w:r>
          </w:p>
        </w:tc>
      </w:tr>
    </w:tbl>
    <w:p w:rsidR="00E425C1" w:rsidRDefault="00E425C1" w:rsidP="00E425C1">
      <w:pPr>
        <w:rPr>
          <w:sz w:val="18"/>
          <w:lang w:val="es-MX"/>
        </w:rPr>
      </w:pPr>
      <w:r>
        <w:rPr>
          <w:sz w:val="16"/>
          <w:lang w:val="es-MX"/>
        </w:rPr>
        <w:fldChar w:fldCharType="end"/>
      </w:r>
      <w:r>
        <w:rPr>
          <w:sz w:val="16"/>
          <w:lang w:val="es-MX"/>
        </w:rPr>
        <w:fldChar w:fldCharType="end"/>
      </w:r>
      <w:r w:rsidRPr="00B55626">
        <w:rPr>
          <w:sz w:val="18"/>
          <w:lang w:val="es-MX"/>
        </w:rPr>
        <w:t>* Cifras preliminares</w:t>
      </w:r>
    </w:p>
    <w:p w:rsidR="00D335DF" w:rsidRPr="00B55626" w:rsidRDefault="00D335DF" w:rsidP="00D335DF">
      <w:pPr>
        <w:tabs>
          <w:tab w:val="left" w:pos="5954"/>
        </w:tabs>
        <w:rPr>
          <w:sz w:val="18"/>
          <w:lang w:val="es-MX"/>
        </w:rPr>
      </w:pPr>
      <w:r>
        <w:rPr>
          <w:sz w:val="18"/>
          <w:lang w:val="es-MX"/>
        </w:rPr>
        <w:t xml:space="preserve">   </w:t>
      </w:r>
      <w:r w:rsidRPr="00B55626">
        <w:rPr>
          <w:sz w:val="18"/>
          <w:lang w:val="es-MX"/>
        </w:rPr>
        <w:t>Fuente: Ministerio de Finanzas Públicas con base al SICOIN.</w:t>
      </w:r>
    </w:p>
    <w:p w:rsidR="00D335DF" w:rsidRPr="00B55626" w:rsidRDefault="00D335DF" w:rsidP="00E425C1">
      <w:pPr>
        <w:rPr>
          <w:sz w:val="18"/>
          <w:lang w:val="es-MX"/>
        </w:rPr>
      </w:pPr>
    </w:p>
    <w:p w:rsidR="00E425C1" w:rsidRPr="00FB641E" w:rsidRDefault="00E425C1" w:rsidP="00E425C1">
      <w:pPr>
        <w:jc w:val="both"/>
        <w:rPr>
          <w:lang w:val="es-MX"/>
        </w:rPr>
      </w:pPr>
    </w:p>
    <w:p w:rsidR="00E425C1" w:rsidRDefault="00E425C1" w:rsidP="00E425C1">
      <w:pPr>
        <w:keepNext/>
        <w:keepLines/>
        <w:numPr>
          <w:ilvl w:val="2"/>
          <w:numId w:val="4"/>
        </w:numPr>
        <w:jc w:val="both"/>
        <w:outlineLvl w:val="2"/>
        <w:rPr>
          <w:sz w:val="32"/>
          <w:lang w:val="es-MX"/>
        </w:rPr>
      </w:pPr>
      <w:bookmarkStart w:id="14" w:name="_Toc20495567"/>
      <w:r w:rsidRPr="0072034B">
        <w:rPr>
          <w:b/>
          <w:bCs/>
          <w:lang w:val="es-MX"/>
        </w:rPr>
        <w:t>Gasto Público por Fuente de Financiamiento</w:t>
      </w:r>
      <w:bookmarkEnd w:id="14"/>
    </w:p>
    <w:p w:rsidR="00E425C1" w:rsidRPr="0072034B" w:rsidRDefault="00E425C1" w:rsidP="00E425C1">
      <w:pPr>
        <w:keepNext/>
        <w:keepLines/>
        <w:ind w:left="720"/>
        <w:jc w:val="both"/>
        <w:outlineLvl w:val="2"/>
        <w:rPr>
          <w:sz w:val="32"/>
          <w:lang w:val="es-MX"/>
        </w:rPr>
      </w:pPr>
    </w:p>
    <w:p w:rsidR="00E425C1" w:rsidRDefault="00E425C1" w:rsidP="00E425C1">
      <w:pPr>
        <w:jc w:val="both"/>
        <w:rPr>
          <w:lang w:val="es-MX"/>
        </w:rPr>
      </w:pPr>
      <w:r w:rsidRPr="00FB641E">
        <w:rPr>
          <w:lang w:val="es-MX"/>
        </w:rPr>
        <w:t>La</w:t>
      </w:r>
      <w:r>
        <w:rPr>
          <w:lang w:val="es-MX"/>
        </w:rPr>
        <w:t xml:space="preserve"> ejecución presupuestaria por fuente de financiamiento incluye cuatro apartados, cada uno compuesto por diferentes fuentes, dentro de los cuales están los Ingresos Corrientes, Ingresos Tributarios IVA-Paz, seguidamente se encuentran agrupadas las fuentes relacionadas con recursos provenientes de la deuda pública y las donaciones, </w:t>
      </w:r>
      <w:r w:rsidR="00B55626">
        <w:rPr>
          <w:lang w:val="es-MX"/>
        </w:rPr>
        <w:t xml:space="preserve">y </w:t>
      </w:r>
      <w:r>
        <w:rPr>
          <w:lang w:val="es-MX"/>
        </w:rPr>
        <w:t>finalmente las restantes con menos recursos disponibles para la ejecución presupuestaria.</w:t>
      </w:r>
    </w:p>
    <w:p w:rsidR="00E425C1" w:rsidRDefault="00E425C1" w:rsidP="00E425C1">
      <w:pPr>
        <w:jc w:val="both"/>
        <w:rPr>
          <w:lang w:val="es-MX"/>
        </w:rPr>
      </w:pPr>
    </w:p>
    <w:p w:rsidR="00E425C1" w:rsidRDefault="00E425C1" w:rsidP="00E425C1">
      <w:pPr>
        <w:jc w:val="both"/>
        <w:rPr>
          <w:lang w:val="es-MX"/>
        </w:rPr>
      </w:pPr>
      <w:r>
        <w:rPr>
          <w:lang w:val="es-MX"/>
        </w:rPr>
        <w:t>Los ingresos corrientes financiaron la ejecución presupuestaria en 52.8% en 2019 y en 57.7% en 2018, el IVA-Paz tuvo una participación en la ejecución del 13.5% en 2019 y de 11.2% en 2018, la deuda pública tuvo una participación en la ejecución total al 30 de junio de 2019 de 21.5% y de 17.3% en 2018.</w:t>
      </w:r>
    </w:p>
    <w:p w:rsidR="00E425C1" w:rsidRDefault="00E425C1" w:rsidP="00E425C1">
      <w:pPr>
        <w:jc w:val="both"/>
        <w:rPr>
          <w:lang w:val="es-MX"/>
        </w:rPr>
      </w:pPr>
    </w:p>
    <w:p w:rsidR="00E425C1" w:rsidRDefault="00E425C1" w:rsidP="00E425C1">
      <w:pPr>
        <w:jc w:val="both"/>
        <w:rPr>
          <w:lang w:val="es-MX"/>
        </w:rPr>
      </w:pPr>
      <w:r>
        <w:rPr>
          <w:lang w:val="es-MX"/>
        </w:rPr>
        <w:lastRenderedPageBreak/>
        <w:t>En lo referente a la fuente de financiamiento de recursos provenientes de la deuda pública y donaciones, para 2019 tuvo una ejecución presupuestaria de Q</w:t>
      </w:r>
      <w:r w:rsidR="00B55626">
        <w:rPr>
          <w:lang w:val="es-MX"/>
        </w:rPr>
        <w:t>.</w:t>
      </w:r>
      <w:r>
        <w:rPr>
          <w:lang w:val="es-MX"/>
        </w:rPr>
        <w:t>8,140.7 millones, con un aumento de Q</w:t>
      </w:r>
      <w:r w:rsidR="00B55626">
        <w:rPr>
          <w:lang w:val="es-MX"/>
        </w:rPr>
        <w:t>.</w:t>
      </w:r>
      <w:r>
        <w:rPr>
          <w:lang w:val="es-MX"/>
        </w:rPr>
        <w:t xml:space="preserve">2,524.9 millones </w:t>
      </w:r>
      <w:r w:rsidR="00B55626">
        <w:rPr>
          <w:lang w:val="es-MX"/>
        </w:rPr>
        <w:t xml:space="preserve">con </w:t>
      </w:r>
      <w:r>
        <w:rPr>
          <w:lang w:val="es-MX"/>
        </w:rPr>
        <w:t>respecto a la ejecución de 2018 que fue de Q</w:t>
      </w:r>
      <w:r w:rsidR="00B55626">
        <w:rPr>
          <w:lang w:val="es-MX"/>
        </w:rPr>
        <w:t>.</w:t>
      </w:r>
      <w:r>
        <w:rPr>
          <w:lang w:val="es-MX"/>
        </w:rPr>
        <w:t>5,615.8 millones, es decir, que en lo que respecta a 2019 la participación fue del 21.5% y de 17.3% en 2018.</w:t>
      </w:r>
    </w:p>
    <w:p w:rsidR="00E425C1" w:rsidRDefault="00E425C1" w:rsidP="00E425C1">
      <w:pPr>
        <w:jc w:val="both"/>
        <w:rPr>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6</w:t>
      </w:r>
    </w:p>
    <w:p w:rsidR="00E425C1" w:rsidRPr="0088577C" w:rsidRDefault="00E425C1" w:rsidP="00E425C1">
      <w:pPr>
        <w:jc w:val="center"/>
        <w:rPr>
          <w:b/>
          <w:sz w:val="22"/>
          <w:szCs w:val="22"/>
          <w:lang w:val="es-MX"/>
        </w:rPr>
      </w:pPr>
      <w:r w:rsidRPr="0088577C">
        <w:rPr>
          <w:b/>
          <w:sz w:val="22"/>
          <w:szCs w:val="22"/>
          <w:lang w:val="es-MX"/>
        </w:rPr>
        <w:t>Ejecución Presupuestaria por Fuente de Financiamiento</w:t>
      </w:r>
    </w:p>
    <w:p w:rsidR="00E425C1" w:rsidRPr="0088577C" w:rsidRDefault="00E425C1" w:rsidP="00E425C1">
      <w:pPr>
        <w:jc w:val="center"/>
        <w:rPr>
          <w:b/>
          <w:sz w:val="22"/>
          <w:szCs w:val="22"/>
          <w:lang w:val="es-MX"/>
        </w:rPr>
      </w:pPr>
      <w:r w:rsidRPr="0088577C">
        <w:rPr>
          <w:b/>
          <w:sz w:val="22"/>
          <w:szCs w:val="22"/>
          <w:lang w:val="es-MX"/>
        </w:rPr>
        <w:t>Al 30 de junio de 201</w:t>
      </w:r>
      <w:r>
        <w:rPr>
          <w:b/>
          <w:sz w:val="22"/>
          <w:szCs w:val="22"/>
          <w:lang w:val="es-MX"/>
        </w:rPr>
        <w:t>8</w:t>
      </w:r>
      <w:r w:rsidRPr="0088577C">
        <w:rPr>
          <w:b/>
          <w:sz w:val="22"/>
          <w:szCs w:val="22"/>
          <w:lang w:val="es-MX"/>
        </w:rPr>
        <w:t xml:space="preserve"> - 201</w:t>
      </w:r>
      <w:r>
        <w:rPr>
          <w:b/>
          <w:sz w:val="22"/>
          <w:szCs w:val="22"/>
          <w:lang w:val="es-MX"/>
        </w:rPr>
        <w:t>9</w:t>
      </w:r>
      <w:r w:rsidRPr="0088577C">
        <w:rPr>
          <w:b/>
          <w:sz w:val="22"/>
          <w:szCs w:val="22"/>
          <w:lang w:val="es-MX"/>
        </w:rPr>
        <w:t>*</w:t>
      </w:r>
    </w:p>
    <w:p w:rsidR="00E425C1" w:rsidRPr="0088577C" w:rsidRDefault="00E425C1" w:rsidP="00E425C1">
      <w:pPr>
        <w:jc w:val="center"/>
        <w:rPr>
          <w:b/>
          <w:sz w:val="22"/>
          <w:szCs w:val="22"/>
          <w:lang w:val="es-MX"/>
        </w:rPr>
      </w:pPr>
      <w:r w:rsidRPr="0088577C">
        <w:rPr>
          <w:b/>
          <w:sz w:val="22"/>
          <w:szCs w:val="22"/>
          <w:lang w:val="es-MX"/>
        </w:rPr>
        <w:t>(Millones de Quetzales)</w:t>
      </w:r>
    </w:p>
    <w:p w:rsidR="00E425C1" w:rsidRDefault="00E425C1" w:rsidP="00E425C1">
      <w:pPr>
        <w:jc w:val="both"/>
        <w:rPr>
          <w:lang w:val="es-MX"/>
        </w:rPr>
      </w:pPr>
      <w:r w:rsidRPr="007D639C">
        <w:rPr>
          <w:noProof/>
          <w:lang w:val="es-GT" w:eastAsia="es-GT"/>
        </w:rPr>
        <w:drawing>
          <wp:inline distT="0" distB="0" distL="0" distR="0" wp14:anchorId="0164202F" wp14:editId="79335CD3">
            <wp:extent cx="5760720" cy="3295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95650"/>
                    </a:xfrm>
                    <a:prstGeom prst="rect">
                      <a:avLst/>
                    </a:prstGeom>
                    <a:noFill/>
                    <a:ln>
                      <a:noFill/>
                    </a:ln>
                  </pic:spPr>
                </pic:pic>
              </a:graphicData>
            </a:graphic>
          </wp:inline>
        </w:drawing>
      </w:r>
    </w:p>
    <w:p w:rsidR="00E425C1" w:rsidRDefault="00E425C1" w:rsidP="00E425C1">
      <w:pPr>
        <w:rPr>
          <w:sz w:val="18"/>
          <w:lang w:val="es-MX"/>
        </w:rPr>
      </w:pPr>
      <w:r w:rsidRPr="00B55626">
        <w:rPr>
          <w:sz w:val="18"/>
          <w:lang w:val="es-MX"/>
        </w:rPr>
        <w:t>* Cifras preliminares</w:t>
      </w:r>
    </w:p>
    <w:p w:rsidR="00D335DF" w:rsidRPr="00B55626" w:rsidRDefault="00D335DF" w:rsidP="00D335DF">
      <w:pPr>
        <w:rPr>
          <w:sz w:val="18"/>
          <w:lang w:val="es-MX"/>
        </w:rPr>
      </w:pPr>
      <w:r>
        <w:rPr>
          <w:sz w:val="18"/>
          <w:lang w:val="es-MX"/>
        </w:rPr>
        <w:t xml:space="preserve">   </w:t>
      </w:r>
      <w:r w:rsidRPr="00B55626">
        <w:rPr>
          <w:sz w:val="18"/>
          <w:lang w:val="es-MX"/>
        </w:rPr>
        <w:t>Fuente: Ministerio de Finanzas Públicas con base al SICOIN.</w:t>
      </w:r>
    </w:p>
    <w:p w:rsidR="00D335DF" w:rsidRPr="00B55626" w:rsidRDefault="00D335DF" w:rsidP="00E425C1">
      <w:pPr>
        <w:rPr>
          <w:sz w:val="18"/>
          <w:lang w:val="es-MX"/>
        </w:rPr>
      </w:pPr>
    </w:p>
    <w:p w:rsidR="00E425C1" w:rsidRDefault="00E425C1" w:rsidP="00E425C1">
      <w:pPr>
        <w:jc w:val="both"/>
        <w:rPr>
          <w:lang w:val="es-MX"/>
        </w:rPr>
      </w:pPr>
    </w:p>
    <w:p w:rsidR="00E425C1" w:rsidRDefault="00E425C1" w:rsidP="00E425C1">
      <w:pPr>
        <w:jc w:val="both"/>
        <w:rPr>
          <w:lang w:val="es-MX"/>
        </w:rPr>
      </w:pPr>
      <w:r>
        <w:rPr>
          <w:lang w:val="es-MX"/>
        </w:rPr>
        <w:t>Otro punto relevante de la ejecución presupuestaria proveniente de los recursos de la deuda pública y donaciones, es el volumen del pago de deuda con recursos de deuda pública, que para 2019 tuvo una ejecución de Q</w:t>
      </w:r>
      <w:r w:rsidR="00B55626">
        <w:rPr>
          <w:lang w:val="es-MX"/>
        </w:rPr>
        <w:t>.</w:t>
      </w:r>
      <w:r>
        <w:rPr>
          <w:lang w:val="es-MX"/>
        </w:rPr>
        <w:t>6,060.2 millones, de los cuales se usaron recursos de deuda pública por valor de Q</w:t>
      </w:r>
      <w:r w:rsidR="00B55626">
        <w:rPr>
          <w:lang w:val="es-MX"/>
        </w:rPr>
        <w:t>.</w:t>
      </w:r>
      <w:r>
        <w:rPr>
          <w:lang w:val="es-MX"/>
        </w:rPr>
        <w:t>5,476.0 millones equivalentes al 90.74%, en tanto que para 2018 fue del 75.4%, es decir</w:t>
      </w:r>
      <w:r w:rsidR="00B55626">
        <w:rPr>
          <w:lang w:val="es-MX"/>
        </w:rPr>
        <w:t>,</w:t>
      </w:r>
      <w:r>
        <w:rPr>
          <w:lang w:val="es-MX"/>
        </w:rPr>
        <w:t xml:space="preserve"> Q</w:t>
      </w:r>
      <w:r w:rsidR="00B55626">
        <w:rPr>
          <w:lang w:val="es-MX"/>
        </w:rPr>
        <w:t>.</w:t>
      </w:r>
      <w:r>
        <w:rPr>
          <w:lang w:val="es-MX"/>
        </w:rPr>
        <w:t xml:space="preserve">4,007.4 millones. </w:t>
      </w:r>
      <w:r w:rsidR="00B55626">
        <w:rPr>
          <w:lang w:val="es-MX"/>
        </w:rPr>
        <w:t>A</w:t>
      </w:r>
      <w:r>
        <w:rPr>
          <w:lang w:val="es-MX"/>
        </w:rPr>
        <w:t>l observar las diferencias en la ejecución, del total fueron Q</w:t>
      </w:r>
      <w:r w:rsidR="00B55626">
        <w:rPr>
          <w:lang w:val="es-MX"/>
        </w:rPr>
        <w:t>.</w:t>
      </w:r>
      <w:r>
        <w:rPr>
          <w:lang w:val="es-MX"/>
        </w:rPr>
        <w:t>746.8 millones más que en 2018, en tanto que el destino para pagar deuda aumentó Q</w:t>
      </w:r>
      <w:r w:rsidR="00B55626">
        <w:rPr>
          <w:lang w:val="es-MX"/>
        </w:rPr>
        <w:t>.</w:t>
      </w:r>
      <w:r>
        <w:rPr>
          <w:lang w:val="es-MX"/>
        </w:rPr>
        <w:t>1,468.6 millones, tal como se observa en el cuadro que se presenta a continuación</w:t>
      </w:r>
      <w:r w:rsidR="00B55626">
        <w:rPr>
          <w:lang w:val="es-MX"/>
        </w:rPr>
        <w:t>:</w:t>
      </w:r>
      <w:r>
        <w:rPr>
          <w:lang w:val="es-MX"/>
        </w:rPr>
        <w:t xml:space="preserve"> </w:t>
      </w:r>
    </w:p>
    <w:p w:rsidR="00E425C1" w:rsidRDefault="00E425C1" w:rsidP="00E425C1">
      <w:pPr>
        <w:jc w:val="both"/>
        <w:rPr>
          <w:lang w:val="es-MX"/>
        </w:rPr>
      </w:pPr>
    </w:p>
    <w:p w:rsidR="00E425C1" w:rsidRDefault="00E425C1" w:rsidP="00E425C1">
      <w:pPr>
        <w:rPr>
          <w:b/>
          <w:sz w:val="22"/>
          <w:szCs w:val="22"/>
          <w:lang w:val="es-MX"/>
        </w:rPr>
      </w:pPr>
      <w:r>
        <w:rPr>
          <w:b/>
          <w:sz w:val="22"/>
          <w:szCs w:val="22"/>
          <w:lang w:val="es-MX"/>
        </w:rPr>
        <w:br w:type="page"/>
      </w:r>
    </w:p>
    <w:p w:rsidR="00E425C1" w:rsidRPr="0088577C" w:rsidRDefault="00E425C1" w:rsidP="00E425C1">
      <w:pPr>
        <w:jc w:val="center"/>
        <w:rPr>
          <w:b/>
          <w:sz w:val="22"/>
          <w:szCs w:val="22"/>
          <w:lang w:val="es-MX"/>
        </w:rPr>
      </w:pPr>
      <w:r w:rsidRPr="0088577C">
        <w:rPr>
          <w:b/>
          <w:sz w:val="22"/>
          <w:szCs w:val="22"/>
          <w:lang w:val="es-MX"/>
        </w:rPr>
        <w:lastRenderedPageBreak/>
        <w:t xml:space="preserve">Cuadro </w:t>
      </w:r>
      <w:r>
        <w:rPr>
          <w:b/>
          <w:sz w:val="22"/>
          <w:szCs w:val="22"/>
          <w:lang w:val="es-MX"/>
        </w:rPr>
        <w:t>7</w:t>
      </w:r>
    </w:p>
    <w:p w:rsidR="00E425C1" w:rsidRPr="0088577C" w:rsidRDefault="00E425C1" w:rsidP="00E425C1">
      <w:pPr>
        <w:jc w:val="center"/>
        <w:rPr>
          <w:b/>
          <w:sz w:val="22"/>
          <w:szCs w:val="22"/>
          <w:lang w:val="es-MX"/>
        </w:rPr>
      </w:pPr>
      <w:r w:rsidRPr="0088577C">
        <w:rPr>
          <w:b/>
          <w:sz w:val="22"/>
          <w:szCs w:val="22"/>
          <w:lang w:val="es-MX"/>
        </w:rPr>
        <w:t xml:space="preserve">Ejecución Presupuestaria </w:t>
      </w:r>
      <w:r w:rsidR="00B55626">
        <w:rPr>
          <w:b/>
          <w:sz w:val="22"/>
          <w:szCs w:val="22"/>
          <w:lang w:val="es-MX"/>
        </w:rPr>
        <w:t>S</w:t>
      </w:r>
      <w:r>
        <w:rPr>
          <w:b/>
          <w:sz w:val="22"/>
          <w:szCs w:val="22"/>
          <w:lang w:val="es-MX"/>
        </w:rPr>
        <w:t>ervicio</w:t>
      </w:r>
      <w:r w:rsidR="00B55626">
        <w:rPr>
          <w:b/>
          <w:sz w:val="22"/>
          <w:szCs w:val="22"/>
          <w:lang w:val="es-MX"/>
        </w:rPr>
        <w:t>s</w:t>
      </w:r>
      <w:r>
        <w:rPr>
          <w:b/>
          <w:sz w:val="22"/>
          <w:szCs w:val="22"/>
          <w:lang w:val="es-MX"/>
        </w:rPr>
        <w:t xml:space="preserve"> de la </w:t>
      </w:r>
      <w:r w:rsidR="00B55626">
        <w:rPr>
          <w:b/>
          <w:sz w:val="22"/>
          <w:szCs w:val="22"/>
          <w:lang w:val="es-MX"/>
        </w:rPr>
        <w:t>D</w:t>
      </w:r>
      <w:r>
        <w:rPr>
          <w:b/>
          <w:sz w:val="22"/>
          <w:szCs w:val="22"/>
          <w:lang w:val="es-MX"/>
        </w:rPr>
        <w:t xml:space="preserve">euda </w:t>
      </w:r>
      <w:r w:rsidR="00B55626">
        <w:rPr>
          <w:b/>
          <w:sz w:val="22"/>
          <w:szCs w:val="22"/>
          <w:lang w:val="es-MX"/>
        </w:rPr>
        <w:t>P</w:t>
      </w:r>
      <w:r>
        <w:rPr>
          <w:b/>
          <w:sz w:val="22"/>
          <w:szCs w:val="22"/>
          <w:lang w:val="es-MX"/>
        </w:rPr>
        <w:t>ública</w:t>
      </w:r>
    </w:p>
    <w:p w:rsidR="00E425C1" w:rsidRPr="0088577C" w:rsidRDefault="00E425C1" w:rsidP="00E425C1">
      <w:pPr>
        <w:jc w:val="center"/>
        <w:rPr>
          <w:b/>
          <w:sz w:val="22"/>
          <w:szCs w:val="22"/>
          <w:lang w:val="es-MX"/>
        </w:rPr>
      </w:pPr>
      <w:r w:rsidRPr="0088577C">
        <w:rPr>
          <w:b/>
          <w:sz w:val="22"/>
          <w:szCs w:val="22"/>
          <w:lang w:val="es-MX"/>
        </w:rPr>
        <w:t>Al 30 de junio de 201</w:t>
      </w:r>
      <w:r>
        <w:rPr>
          <w:b/>
          <w:sz w:val="22"/>
          <w:szCs w:val="22"/>
          <w:lang w:val="es-MX"/>
        </w:rPr>
        <w:t>8</w:t>
      </w:r>
      <w:r w:rsidRPr="0088577C">
        <w:rPr>
          <w:b/>
          <w:sz w:val="22"/>
          <w:szCs w:val="22"/>
          <w:lang w:val="es-MX"/>
        </w:rPr>
        <w:t xml:space="preserve"> - 201</w:t>
      </w:r>
      <w:r>
        <w:rPr>
          <w:b/>
          <w:sz w:val="22"/>
          <w:szCs w:val="22"/>
          <w:lang w:val="es-MX"/>
        </w:rPr>
        <w:t>9</w:t>
      </w:r>
      <w:r w:rsidRPr="0088577C">
        <w:rPr>
          <w:b/>
          <w:sz w:val="22"/>
          <w:szCs w:val="22"/>
          <w:lang w:val="es-MX"/>
        </w:rPr>
        <w:t>*</w:t>
      </w:r>
    </w:p>
    <w:p w:rsidR="00E425C1" w:rsidRPr="0088577C" w:rsidRDefault="00E425C1" w:rsidP="00E425C1">
      <w:pPr>
        <w:jc w:val="center"/>
        <w:rPr>
          <w:b/>
          <w:sz w:val="22"/>
          <w:szCs w:val="22"/>
          <w:lang w:val="es-MX"/>
        </w:rPr>
      </w:pPr>
      <w:r w:rsidRPr="0088577C">
        <w:rPr>
          <w:b/>
          <w:sz w:val="22"/>
          <w:szCs w:val="22"/>
          <w:lang w:val="es-MX"/>
        </w:rPr>
        <w:t>(Millones de Quetzales)</w:t>
      </w:r>
    </w:p>
    <w:p w:rsidR="00E425C1" w:rsidRDefault="00E425C1" w:rsidP="00E425C1">
      <w:pPr>
        <w:jc w:val="center"/>
        <w:rPr>
          <w:rFonts w:ascii="Calibri" w:eastAsia="Calibri" w:hAnsi="Calibri"/>
          <w:sz w:val="20"/>
          <w:szCs w:val="20"/>
          <w:lang w:val="es-MX" w:eastAsia="es-MX"/>
        </w:rPr>
      </w:pPr>
      <w:r>
        <w:rPr>
          <w:lang w:val="es-MX"/>
        </w:rPr>
        <w:fldChar w:fldCharType="begin"/>
      </w:r>
      <w:r>
        <w:rPr>
          <w:lang w:val="es-MX"/>
        </w:rPr>
        <w:instrText xml:space="preserve"> LINK Excel.Sheet.12 "C:\\Users\\deefoper12\\Documents\\2019\\DEF\\Informe de Medio año\\Cuadros a junio.xlsx" "Fte Financ!F99C23:F102C28" \a \f 4 \h  \* MERGEFORMAT </w:instrText>
      </w:r>
      <w:r>
        <w:rPr>
          <w:lang w:val="es-MX"/>
        </w:rPr>
        <w:fldChar w:fldCharType="separate"/>
      </w:r>
    </w:p>
    <w:tbl>
      <w:tblPr>
        <w:tblW w:w="8931" w:type="dxa"/>
        <w:tblInd w:w="70" w:type="dxa"/>
        <w:tblCellMar>
          <w:left w:w="70" w:type="dxa"/>
          <w:right w:w="70" w:type="dxa"/>
        </w:tblCellMar>
        <w:tblLook w:val="04A0" w:firstRow="1" w:lastRow="0" w:firstColumn="1" w:lastColumn="0" w:noHBand="0" w:noVBand="1"/>
      </w:tblPr>
      <w:tblGrid>
        <w:gridCol w:w="3760"/>
        <w:gridCol w:w="480"/>
        <w:gridCol w:w="580"/>
        <w:gridCol w:w="1417"/>
        <w:gridCol w:w="1276"/>
        <w:gridCol w:w="1418"/>
      </w:tblGrid>
      <w:tr w:rsidR="00E425C1" w:rsidRPr="002F278F" w:rsidTr="00D335DF">
        <w:trPr>
          <w:trHeight w:val="436"/>
        </w:trPr>
        <w:tc>
          <w:tcPr>
            <w:tcW w:w="4820" w:type="dxa"/>
            <w:gridSpan w:val="3"/>
            <w:tcBorders>
              <w:top w:val="single" w:sz="8" w:space="0" w:color="auto"/>
              <w:left w:val="single" w:sz="8" w:space="0" w:color="auto"/>
              <w:bottom w:val="single" w:sz="4" w:space="0" w:color="auto"/>
              <w:right w:val="nil"/>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Concepto</w:t>
            </w:r>
          </w:p>
        </w:tc>
        <w:tc>
          <w:tcPr>
            <w:tcW w:w="1417" w:type="dxa"/>
            <w:tcBorders>
              <w:top w:val="single" w:sz="8" w:space="0" w:color="auto"/>
              <w:left w:val="single" w:sz="4" w:space="0" w:color="auto"/>
              <w:bottom w:val="single" w:sz="4" w:space="0" w:color="auto"/>
              <w:right w:val="single" w:sz="4" w:space="0" w:color="auto"/>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2018</w:t>
            </w:r>
          </w:p>
        </w:tc>
        <w:tc>
          <w:tcPr>
            <w:tcW w:w="1276" w:type="dxa"/>
            <w:tcBorders>
              <w:top w:val="single" w:sz="8" w:space="0" w:color="auto"/>
              <w:left w:val="nil"/>
              <w:bottom w:val="single" w:sz="4" w:space="0" w:color="auto"/>
              <w:right w:val="single" w:sz="4" w:space="0" w:color="auto"/>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2019</w:t>
            </w:r>
          </w:p>
        </w:tc>
        <w:tc>
          <w:tcPr>
            <w:tcW w:w="1418" w:type="dxa"/>
            <w:tcBorders>
              <w:top w:val="single" w:sz="8" w:space="0" w:color="auto"/>
              <w:left w:val="nil"/>
              <w:bottom w:val="single" w:sz="4" w:space="0" w:color="auto"/>
              <w:right w:val="single" w:sz="8" w:space="0" w:color="auto"/>
            </w:tcBorders>
            <w:shd w:val="clear" w:color="000000" w:fill="8DB4E2"/>
            <w:noWrap/>
            <w:vAlign w:val="center"/>
            <w:hideMark/>
          </w:tcPr>
          <w:p w:rsidR="00E425C1" w:rsidRPr="002F278F" w:rsidRDefault="00E425C1" w:rsidP="00240C29">
            <w:pPr>
              <w:jc w:val="center"/>
              <w:rPr>
                <w:b/>
                <w:bCs/>
                <w:color w:val="000000"/>
                <w:sz w:val="22"/>
                <w:szCs w:val="22"/>
                <w:lang w:val="es-GT" w:eastAsia="es-GT"/>
              </w:rPr>
            </w:pPr>
            <w:r w:rsidRPr="002F278F">
              <w:rPr>
                <w:b/>
                <w:bCs/>
                <w:color w:val="000000"/>
                <w:sz w:val="22"/>
                <w:szCs w:val="22"/>
                <w:lang w:val="es-GT" w:eastAsia="es-GT"/>
              </w:rPr>
              <w:t>Diferencia</w:t>
            </w:r>
          </w:p>
        </w:tc>
      </w:tr>
      <w:tr w:rsidR="00E425C1" w:rsidRPr="002F278F" w:rsidTr="00D335DF">
        <w:trPr>
          <w:trHeight w:val="300"/>
        </w:trPr>
        <w:tc>
          <w:tcPr>
            <w:tcW w:w="4820" w:type="dxa"/>
            <w:gridSpan w:val="3"/>
            <w:tcBorders>
              <w:top w:val="nil"/>
              <w:left w:val="single" w:sz="8" w:space="0" w:color="auto"/>
              <w:bottom w:val="nil"/>
              <w:right w:val="nil"/>
            </w:tcBorders>
            <w:shd w:val="clear" w:color="000000" w:fill="FFFFFF"/>
            <w:noWrap/>
            <w:vAlign w:val="bottom"/>
            <w:hideMark/>
          </w:tcPr>
          <w:p w:rsidR="00E425C1" w:rsidRPr="002F278F" w:rsidRDefault="00E425C1" w:rsidP="00D335DF">
            <w:pPr>
              <w:rPr>
                <w:color w:val="000000"/>
                <w:sz w:val="22"/>
                <w:szCs w:val="22"/>
                <w:lang w:val="es-GT" w:eastAsia="es-GT"/>
              </w:rPr>
            </w:pPr>
            <w:r w:rsidRPr="002F278F">
              <w:rPr>
                <w:color w:val="000000"/>
                <w:sz w:val="22"/>
                <w:szCs w:val="22"/>
                <w:lang w:val="es-GT" w:eastAsia="es-GT"/>
              </w:rPr>
              <w:t>Monto del pago de</w:t>
            </w:r>
            <w:r w:rsidR="00D335DF">
              <w:rPr>
                <w:color w:val="000000"/>
                <w:sz w:val="22"/>
                <w:szCs w:val="22"/>
                <w:lang w:val="es-GT" w:eastAsia="es-GT"/>
              </w:rPr>
              <w:t xml:space="preserve"> </w:t>
            </w:r>
            <w:r w:rsidRPr="002F278F">
              <w:rPr>
                <w:color w:val="000000"/>
                <w:sz w:val="22"/>
                <w:szCs w:val="22"/>
                <w:lang w:val="es-GT" w:eastAsia="es-GT"/>
              </w:rPr>
              <w:t>l</w:t>
            </w:r>
            <w:r w:rsidR="00D335DF">
              <w:rPr>
                <w:color w:val="000000"/>
                <w:sz w:val="22"/>
                <w:szCs w:val="22"/>
                <w:lang w:val="es-GT" w:eastAsia="es-GT"/>
              </w:rPr>
              <w:t>os</w:t>
            </w:r>
            <w:r w:rsidRPr="002F278F">
              <w:rPr>
                <w:color w:val="000000"/>
                <w:sz w:val="22"/>
                <w:szCs w:val="22"/>
                <w:lang w:val="es-GT" w:eastAsia="es-GT"/>
              </w:rPr>
              <w:t xml:space="preserve"> Servicio</w:t>
            </w:r>
            <w:r w:rsidR="00D335DF">
              <w:rPr>
                <w:color w:val="000000"/>
                <w:sz w:val="22"/>
                <w:szCs w:val="22"/>
                <w:lang w:val="es-GT" w:eastAsia="es-GT"/>
              </w:rPr>
              <w:t>s</w:t>
            </w:r>
            <w:r w:rsidRPr="002F278F">
              <w:rPr>
                <w:color w:val="000000"/>
                <w:sz w:val="22"/>
                <w:szCs w:val="22"/>
                <w:lang w:val="es-GT" w:eastAsia="es-GT"/>
              </w:rPr>
              <w:t xml:space="preserve"> de la Deuda</w:t>
            </w:r>
            <w:r w:rsidR="00B55626">
              <w:rPr>
                <w:color w:val="000000"/>
                <w:sz w:val="22"/>
                <w:szCs w:val="22"/>
                <w:lang w:val="es-GT" w:eastAsia="es-GT"/>
              </w:rPr>
              <w:t xml:space="preserve"> Pública</w:t>
            </w:r>
          </w:p>
        </w:tc>
        <w:tc>
          <w:tcPr>
            <w:tcW w:w="1417" w:type="dxa"/>
            <w:tcBorders>
              <w:top w:val="nil"/>
              <w:left w:val="single" w:sz="4" w:space="0" w:color="auto"/>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5,313.4 </w:t>
            </w:r>
          </w:p>
        </w:tc>
        <w:tc>
          <w:tcPr>
            <w:tcW w:w="1276" w:type="dxa"/>
            <w:tcBorders>
              <w:top w:val="nil"/>
              <w:left w:val="nil"/>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6,060.2 </w:t>
            </w:r>
          </w:p>
        </w:tc>
        <w:tc>
          <w:tcPr>
            <w:tcW w:w="1418" w:type="dxa"/>
            <w:tcBorders>
              <w:top w:val="nil"/>
              <w:left w:val="nil"/>
              <w:bottom w:val="nil"/>
              <w:right w:val="single" w:sz="8"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746.81 </w:t>
            </w:r>
          </w:p>
        </w:tc>
      </w:tr>
      <w:tr w:rsidR="00E425C1" w:rsidRPr="002F278F" w:rsidTr="00D335DF">
        <w:trPr>
          <w:trHeight w:val="300"/>
        </w:trPr>
        <w:tc>
          <w:tcPr>
            <w:tcW w:w="4240" w:type="dxa"/>
            <w:gridSpan w:val="2"/>
            <w:tcBorders>
              <w:top w:val="nil"/>
              <w:left w:val="single" w:sz="8" w:space="0" w:color="auto"/>
              <w:bottom w:val="nil"/>
              <w:right w:val="nil"/>
            </w:tcBorders>
            <w:shd w:val="clear" w:color="000000" w:fill="FFFFFF"/>
            <w:noWrap/>
            <w:vAlign w:val="bottom"/>
            <w:hideMark/>
          </w:tcPr>
          <w:p w:rsidR="00E425C1" w:rsidRPr="002F278F" w:rsidRDefault="00240C29" w:rsidP="00D335DF">
            <w:pPr>
              <w:rPr>
                <w:color w:val="000000"/>
                <w:sz w:val="22"/>
                <w:szCs w:val="22"/>
                <w:lang w:val="es-GT" w:eastAsia="es-GT"/>
              </w:rPr>
            </w:pPr>
            <w:r>
              <w:rPr>
                <w:color w:val="000000"/>
                <w:sz w:val="22"/>
                <w:szCs w:val="22"/>
                <w:lang w:val="es-GT" w:eastAsia="es-GT"/>
              </w:rPr>
              <w:t>P</w:t>
            </w:r>
            <w:r w:rsidR="00E425C1" w:rsidRPr="002F278F">
              <w:rPr>
                <w:color w:val="000000"/>
                <w:sz w:val="22"/>
                <w:szCs w:val="22"/>
                <w:lang w:val="es-GT" w:eastAsia="es-GT"/>
              </w:rPr>
              <w:t xml:space="preserve">ago de </w:t>
            </w:r>
            <w:r w:rsidR="00D335DF">
              <w:rPr>
                <w:color w:val="000000"/>
                <w:sz w:val="22"/>
                <w:szCs w:val="22"/>
                <w:lang w:val="es-GT" w:eastAsia="es-GT"/>
              </w:rPr>
              <w:t>D</w:t>
            </w:r>
            <w:r w:rsidR="00E425C1" w:rsidRPr="002F278F">
              <w:rPr>
                <w:color w:val="000000"/>
                <w:sz w:val="22"/>
                <w:szCs w:val="22"/>
                <w:lang w:val="es-GT" w:eastAsia="es-GT"/>
              </w:rPr>
              <w:t>euda</w:t>
            </w:r>
            <w:r w:rsidR="00D335DF">
              <w:rPr>
                <w:color w:val="000000"/>
                <w:sz w:val="22"/>
                <w:szCs w:val="22"/>
                <w:lang w:val="es-GT" w:eastAsia="es-GT"/>
              </w:rPr>
              <w:t xml:space="preserve"> Pública</w:t>
            </w:r>
            <w:r w:rsidR="00E425C1" w:rsidRPr="002F278F">
              <w:rPr>
                <w:color w:val="000000"/>
                <w:sz w:val="22"/>
                <w:szCs w:val="22"/>
                <w:lang w:val="es-GT" w:eastAsia="es-GT"/>
              </w:rPr>
              <w:t xml:space="preserve"> con deuda</w:t>
            </w:r>
          </w:p>
        </w:tc>
        <w:tc>
          <w:tcPr>
            <w:tcW w:w="580" w:type="dxa"/>
            <w:tcBorders>
              <w:top w:val="nil"/>
              <w:left w:val="nil"/>
              <w:bottom w:val="nil"/>
              <w:right w:val="nil"/>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w:t>
            </w:r>
          </w:p>
        </w:tc>
        <w:tc>
          <w:tcPr>
            <w:tcW w:w="1417" w:type="dxa"/>
            <w:tcBorders>
              <w:top w:val="nil"/>
              <w:left w:val="single" w:sz="4" w:space="0" w:color="auto"/>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4,007.4 </w:t>
            </w:r>
          </w:p>
        </w:tc>
        <w:tc>
          <w:tcPr>
            <w:tcW w:w="1276" w:type="dxa"/>
            <w:tcBorders>
              <w:top w:val="nil"/>
              <w:left w:val="nil"/>
              <w:bottom w:val="nil"/>
              <w:right w:val="single" w:sz="4"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5,476.0 </w:t>
            </w:r>
          </w:p>
        </w:tc>
        <w:tc>
          <w:tcPr>
            <w:tcW w:w="1418" w:type="dxa"/>
            <w:tcBorders>
              <w:top w:val="nil"/>
              <w:left w:val="nil"/>
              <w:bottom w:val="nil"/>
              <w:right w:val="single" w:sz="8" w:space="0" w:color="auto"/>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xml:space="preserve">     1,468.61 </w:t>
            </w:r>
          </w:p>
        </w:tc>
      </w:tr>
      <w:tr w:rsidR="00E425C1" w:rsidRPr="002F278F" w:rsidTr="00D335DF">
        <w:trPr>
          <w:trHeight w:val="315"/>
        </w:trPr>
        <w:tc>
          <w:tcPr>
            <w:tcW w:w="3760" w:type="dxa"/>
            <w:tcBorders>
              <w:top w:val="nil"/>
              <w:left w:val="single" w:sz="8" w:space="0" w:color="auto"/>
              <w:bottom w:val="single" w:sz="8" w:space="0" w:color="auto"/>
              <w:right w:val="nil"/>
            </w:tcBorders>
            <w:shd w:val="clear" w:color="000000" w:fill="FFFFFF"/>
            <w:noWrap/>
            <w:vAlign w:val="bottom"/>
            <w:hideMark/>
          </w:tcPr>
          <w:p w:rsidR="00E425C1" w:rsidRPr="002F278F" w:rsidRDefault="00E425C1" w:rsidP="00D335DF">
            <w:pPr>
              <w:rPr>
                <w:color w:val="000000"/>
                <w:sz w:val="22"/>
                <w:szCs w:val="22"/>
                <w:lang w:val="es-GT" w:eastAsia="es-GT"/>
              </w:rPr>
            </w:pPr>
            <w:r w:rsidRPr="002F278F">
              <w:rPr>
                <w:color w:val="000000"/>
                <w:sz w:val="22"/>
                <w:szCs w:val="22"/>
                <w:lang w:val="es-GT" w:eastAsia="es-GT"/>
              </w:rPr>
              <w:t xml:space="preserve">% </w:t>
            </w:r>
            <w:r w:rsidR="00B55626">
              <w:rPr>
                <w:color w:val="000000"/>
                <w:sz w:val="22"/>
                <w:szCs w:val="22"/>
                <w:lang w:val="es-GT" w:eastAsia="es-GT"/>
              </w:rPr>
              <w:t xml:space="preserve">de </w:t>
            </w:r>
            <w:r w:rsidR="00D335DF">
              <w:rPr>
                <w:color w:val="000000"/>
                <w:sz w:val="22"/>
                <w:szCs w:val="22"/>
                <w:lang w:val="es-GT" w:eastAsia="es-GT"/>
              </w:rPr>
              <w:t>E</w:t>
            </w:r>
            <w:r w:rsidRPr="002F278F">
              <w:rPr>
                <w:color w:val="000000"/>
                <w:sz w:val="22"/>
                <w:szCs w:val="22"/>
                <w:lang w:val="es-GT" w:eastAsia="es-GT"/>
              </w:rPr>
              <w:t>jecución</w:t>
            </w:r>
          </w:p>
        </w:tc>
        <w:tc>
          <w:tcPr>
            <w:tcW w:w="480" w:type="dxa"/>
            <w:tcBorders>
              <w:top w:val="nil"/>
              <w:left w:val="nil"/>
              <w:bottom w:val="single" w:sz="8" w:space="0" w:color="auto"/>
              <w:right w:val="nil"/>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w:t>
            </w:r>
          </w:p>
        </w:tc>
        <w:tc>
          <w:tcPr>
            <w:tcW w:w="580" w:type="dxa"/>
            <w:tcBorders>
              <w:top w:val="nil"/>
              <w:left w:val="nil"/>
              <w:bottom w:val="single" w:sz="8" w:space="0" w:color="auto"/>
              <w:right w:val="nil"/>
            </w:tcBorders>
            <w:shd w:val="clear" w:color="000000" w:fill="FFFFFF"/>
            <w:noWrap/>
            <w:vAlign w:val="bottom"/>
            <w:hideMark/>
          </w:tcPr>
          <w:p w:rsidR="00E425C1" w:rsidRPr="002F278F" w:rsidRDefault="00E425C1" w:rsidP="00E425C1">
            <w:pPr>
              <w:rPr>
                <w:color w:val="000000"/>
                <w:sz w:val="22"/>
                <w:szCs w:val="22"/>
                <w:lang w:val="es-GT" w:eastAsia="es-GT"/>
              </w:rPr>
            </w:pPr>
            <w:r w:rsidRPr="002F278F">
              <w:rPr>
                <w:color w:val="000000"/>
                <w:sz w:val="22"/>
                <w:szCs w:val="22"/>
                <w:lang w:val="es-GT" w:eastAsia="es-GT"/>
              </w:rPr>
              <w:t> </w:t>
            </w:r>
          </w:p>
        </w:tc>
        <w:tc>
          <w:tcPr>
            <w:tcW w:w="1417"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2F278F" w:rsidRDefault="00E425C1" w:rsidP="00E425C1">
            <w:pPr>
              <w:jc w:val="right"/>
              <w:rPr>
                <w:color w:val="000000"/>
                <w:sz w:val="22"/>
                <w:szCs w:val="22"/>
                <w:lang w:val="es-GT" w:eastAsia="es-GT"/>
              </w:rPr>
            </w:pPr>
            <w:r w:rsidRPr="002F278F">
              <w:rPr>
                <w:color w:val="000000"/>
                <w:sz w:val="22"/>
                <w:szCs w:val="22"/>
                <w:lang w:val="es-GT" w:eastAsia="es-GT"/>
              </w:rPr>
              <w:t>75.4%</w:t>
            </w:r>
          </w:p>
        </w:tc>
        <w:tc>
          <w:tcPr>
            <w:tcW w:w="1276" w:type="dxa"/>
            <w:tcBorders>
              <w:top w:val="nil"/>
              <w:left w:val="nil"/>
              <w:bottom w:val="single" w:sz="8" w:space="0" w:color="auto"/>
              <w:right w:val="single" w:sz="4" w:space="0" w:color="auto"/>
            </w:tcBorders>
            <w:shd w:val="clear" w:color="000000" w:fill="FFFFFF"/>
            <w:noWrap/>
            <w:vAlign w:val="bottom"/>
            <w:hideMark/>
          </w:tcPr>
          <w:p w:rsidR="00E425C1" w:rsidRPr="002F278F" w:rsidRDefault="00E425C1" w:rsidP="00E425C1">
            <w:pPr>
              <w:jc w:val="right"/>
              <w:rPr>
                <w:color w:val="000000"/>
                <w:sz w:val="22"/>
                <w:szCs w:val="22"/>
                <w:lang w:val="es-GT" w:eastAsia="es-GT"/>
              </w:rPr>
            </w:pPr>
            <w:r w:rsidRPr="002F278F">
              <w:rPr>
                <w:color w:val="000000"/>
                <w:sz w:val="22"/>
                <w:szCs w:val="22"/>
                <w:lang w:val="es-GT" w:eastAsia="es-GT"/>
              </w:rPr>
              <w:t>90.4%</w:t>
            </w:r>
          </w:p>
        </w:tc>
        <w:tc>
          <w:tcPr>
            <w:tcW w:w="1418" w:type="dxa"/>
            <w:tcBorders>
              <w:top w:val="nil"/>
              <w:left w:val="nil"/>
              <w:bottom w:val="single" w:sz="8" w:space="0" w:color="auto"/>
              <w:right w:val="single" w:sz="8" w:space="0" w:color="auto"/>
            </w:tcBorders>
            <w:shd w:val="clear" w:color="000000" w:fill="FFFFFF"/>
            <w:noWrap/>
            <w:vAlign w:val="bottom"/>
            <w:hideMark/>
          </w:tcPr>
          <w:p w:rsidR="00E425C1" w:rsidRPr="002F278F" w:rsidRDefault="00E425C1" w:rsidP="00E425C1">
            <w:pPr>
              <w:jc w:val="right"/>
              <w:rPr>
                <w:color w:val="000000"/>
                <w:sz w:val="22"/>
                <w:szCs w:val="22"/>
                <w:lang w:val="es-GT" w:eastAsia="es-GT"/>
              </w:rPr>
            </w:pPr>
            <w:r w:rsidRPr="002F278F">
              <w:rPr>
                <w:color w:val="000000"/>
                <w:sz w:val="22"/>
                <w:szCs w:val="22"/>
                <w:lang w:val="es-GT" w:eastAsia="es-GT"/>
              </w:rPr>
              <w:t>14.9%</w:t>
            </w:r>
          </w:p>
        </w:tc>
      </w:tr>
    </w:tbl>
    <w:p w:rsidR="00D335DF" w:rsidRDefault="00E425C1" w:rsidP="00D335DF">
      <w:pPr>
        <w:rPr>
          <w:sz w:val="18"/>
          <w:lang w:val="es-MX"/>
        </w:rPr>
      </w:pPr>
      <w:r>
        <w:rPr>
          <w:lang w:val="es-MX"/>
        </w:rPr>
        <w:fldChar w:fldCharType="end"/>
      </w:r>
      <w:r w:rsidR="00D335DF" w:rsidRPr="00B55626">
        <w:rPr>
          <w:sz w:val="18"/>
          <w:lang w:val="es-MX"/>
        </w:rPr>
        <w:t>* Cifras preliminares</w:t>
      </w:r>
    </w:p>
    <w:p w:rsidR="00D335DF" w:rsidRPr="00B55626" w:rsidRDefault="00D335DF" w:rsidP="00D335DF">
      <w:pPr>
        <w:rPr>
          <w:sz w:val="18"/>
          <w:lang w:val="es-MX"/>
        </w:rPr>
      </w:pPr>
      <w:r>
        <w:rPr>
          <w:sz w:val="18"/>
          <w:lang w:val="es-MX"/>
        </w:rPr>
        <w:t xml:space="preserve">   </w:t>
      </w:r>
      <w:r w:rsidRPr="00B55626">
        <w:rPr>
          <w:sz w:val="18"/>
          <w:lang w:val="es-MX"/>
        </w:rPr>
        <w:t>Fuente: Ministerio de Finanzas Públicas con base al SICOIN.</w:t>
      </w:r>
    </w:p>
    <w:p w:rsidR="00E425C1" w:rsidRDefault="00E425C1" w:rsidP="00E425C1">
      <w:pPr>
        <w:jc w:val="both"/>
        <w:rPr>
          <w:lang w:val="es-MX"/>
        </w:rPr>
      </w:pPr>
    </w:p>
    <w:p w:rsidR="00E425C1" w:rsidRDefault="00E425C1" w:rsidP="00E425C1">
      <w:pPr>
        <w:jc w:val="both"/>
        <w:rPr>
          <w:lang w:val="es-MX"/>
        </w:rPr>
      </w:pPr>
    </w:p>
    <w:p w:rsidR="00E425C1" w:rsidRPr="00E4580C" w:rsidRDefault="00E425C1" w:rsidP="00E425C1">
      <w:pPr>
        <w:keepNext/>
        <w:keepLines/>
        <w:numPr>
          <w:ilvl w:val="2"/>
          <w:numId w:val="4"/>
        </w:numPr>
        <w:spacing w:before="200"/>
        <w:outlineLvl w:val="2"/>
        <w:rPr>
          <w:b/>
          <w:bCs/>
          <w:lang w:val="es-MX"/>
        </w:rPr>
      </w:pPr>
      <w:bookmarkStart w:id="15" w:name="_Toc20495568"/>
      <w:r w:rsidRPr="00E4580C">
        <w:rPr>
          <w:b/>
          <w:bCs/>
          <w:lang w:val="es-MX"/>
        </w:rPr>
        <w:t>Gasto Social y Acuerdos de Paz</w:t>
      </w:r>
      <w:bookmarkEnd w:id="15"/>
    </w:p>
    <w:p w:rsidR="00E425C1" w:rsidRPr="009E05CC" w:rsidRDefault="00E425C1" w:rsidP="00E425C1">
      <w:pPr>
        <w:jc w:val="both"/>
        <w:rPr>
          <w:lang w:val="es-MX"/>
        </w:rPr>
      </w:pPr>
    </w:p>
    <w:p w:rsidR="00E425C1" w:rsidRPr="009E05CC" w:rsidRDefault="00E425C1" w:rsidP="00E425C1">
      <w:pPr>
        <w:jc w:val="both"/>
      </w:pPr>
      <w:r w:rsidRPr="009E05CC">
        <w:t xml:space="preserve">Uno de los objetivos prioritarios de la actual administración </w:t>
      </w:r>
      <w:r>
        <w:t xml:space="preserve">de gobierno </w:t>
      </w:r>
      <w:r w:rsidRPr="009E05CC">
        <w:t>es continuar apoyando el Gasto Social</w:t>
      </w:r>
      <w:r w:rsidRPr="006C78B0">
        <w:rPr>
          <w:vertAlign w:val="superscript"/>
        </w:rPr>
        <w:footnoteReference w:id="1"/>
      </w:r>
      <w:r w:rsidRPr="009E05CC">
        <w:t xml:space="preserve"> </w:t>
      </w:r>
      <w:r>
        <w:t>en</w:t>
      </w:r>
      <w:r w:rsidRPr="009E05CC">
        <w:t xml:space="preserve"> cumplimiento </w:t>
      </w:r>
      <w:r>
        <w:t>de</w:t>
      </w:r>
      <w:r w:rsidRPr="009E05CC">
        <w:t xml:space="preserve"> lo establecido </w:t>
      </w:r>
      <w:r>
        <w:t>en</w:t>
      </w:r>
      <w:r w:rsidRPr="009E05CC">
        <w:t xml:space="preserve"> los Acuerdos de Paz</w:t>
      </w:r>
      <w:r>
        <w:t>;</w:t>
      </w:r>
      <w:r w:rsidRPr="009E05CC">
        <w:t xml:space="preserve"> en el Plan Nacional de Desarrollo K’atun, Nuestra Guatemala 2032</w:t>
      </w:r>
      <w:r>
        <w:t>;</w:t>
      </w:r>
      <w:r w:rsidRPr="009E05CC">
        <w:t xml:space="preserve"> y en la Política General de Gobierno 2016-2020</w:t>
      </w:r>
      <w:r>
        <w:t>. De esa cuenta,</w:t>
      </w:r>
      <w:r w:rsidRPr="009E05CC">
        <w:t xml:space="preserve"> el monto de ejecución presupuestaria del Gasto Social pasó de Q</w:t>
      </w:r>
      <w:r>
        <w:t>.</w:t>
      </w:r>
      <w:r w:rsidRPr="009E05CC">
        <w:t>1</w:t>
      </w:r>
      <w:r>
        <w:t>4</w:t>
      </w:r>
      <w:r w:rsidRPr="009E05CC">
        <w:t>,</w:t>
      </w:r>
      <w:r>
        <w:t>147.1</w:t>
      </w:r>
      <w:r w:rsidRPr="009E05CC">
        <w:t xml:space="preserve"> millones en 201</w:t>
      </w:r>
      <w:r>
        <w:t>8</w:t>
      </w:r>
      <w:r w:rsidRPr="009E05CC">
        <w:t xml:space="preserve"> a Q</w:t>
      </w:r>
      <w:r>
        <w:t>.</w:t>
      </w:r>
      <w:r w:rsidRPr="009E05CC">
        <w:t>1</w:t>
      </w:r>
      <w:r>
        <w:t>5</w:t>
      </w:r>
      <w:r w:rsidRPr="009E05CC">
        <w:t>,</w:t>
      </w:r>
      <w:r>
        <w:t>224.6</w:t>
      </w:r>
      <w:r w:rsidRPr="009E05CC">
        <w:t xml:space="preserve"> millones en 201</w:t>
      </w:r>
      <w:r>
        <w:t>9;</w:t>
      </w:r>
      <w:r w:rsidRPr="009E05CC">
        <w:t xml:space="preserve"> es decir, tuvo un aumento de Q</w:t>
      </w:r>
      <w:r>
        <w:t>.1,077.5</w:t>
      </w:r>
      <w:r w:rsidRPr="009E05CC">
        <w:t xml:space="preserve"> millones </w:t>
      </w:r>
      <w:r>
        <w:t>(7.6</w:t>
      </w:r>
      <w:r w:rsidRPr="009E05CC">
        <w:t>% mayor a lo observado en 201</w:t>
      </w:r>
      <w:r>
        <w:t>8)</w:t>
      </w:r>
      <w:r w:rsidRPr="009E05CC">
        <w:t xml:space="preserve">, </w:t>
      </w:r>
      <w:r>
        <w:t>que</w:t>
      </w:r>
      <w:r w:rsidRPr="009E05CC">
        <w:t xml:space="preserve"> favoreció principalmente </w:t>
      </w:r>
      <w:r w:rsidR="00240C29">
        <w:t>los</w:t>
      </w:r>
      <w:r w:rsidRPr="009E05CC">
        <w:t xml:space="preserve"> gasto</w:t>
      </w:r>
      <w:r w:rsidR="00240C29">
        <w:t>s</w:t>
      </w:r>
      <w:r w:rsidRPr="009E05CC">
        <w:t xml:space="preserve"> en </w:t>
      </w:r>
      <w:r>
        <w:t>Educación.</w:t>
      </w:r>
    </w:p>
    <w:p w:rsidR="00E425C1" w:rsidRPr="009E05CC" w:rsidRDefault="00E425C1" w:rsidP="00E425C1">
      <w:pPr>
        <w:jc w:val="both"/>
      </w:pPr>
    </w:p>
    <w:p w:rsidR="00E425C1" w:rsidRDefault="00E425C1" w:rsidP="00E425C1">
      <w:pPr>
        <w:jc w:val="both"/>
      </w:pPr>
      <w:r>
        <w:t>L</w:t>
      </w:r>
      <w:r w:rsidRPr="009E05CC">
        <w:t>os Acuerdos de Paz incluyen el gasto destinado al Sector Justicia</w:t>
      </w:r>
      <w:r>
        <w:t xml:space="preserve"> que </w:t>
      </w:r>
      <w:r w:rsidRPr="009E05CC">
        <w:t xml:space="preserve">para </w:t>
      </w:r>
      <w:r>
        <w:t xml:space="preserve">el primer semestre de </w:t>
      </w:r>
      <w:r w:rsidRPr="009E05CC">
        <w:t>201</w:t>
      </w:r>
      <w:r>
        <w:t>9</w:t>
      </w:r>
      <w:r w:rsidRPr="009E05CC">
        <w:t xml:space="preserve"> </w:t>
      </w:r>
      <w:r>
        <w:t xml:space="preserve">disminuyó en términos netos </w:t>
      </w:r>
      <w:r w:rsidRPr="009E05CC">
        <w:t>Q</w:t>
      </w:r>
      <w:r>
        <w:t>.145.3</w:t>
      </w:r>
      <w:r w:rsidRPr="009E05CC">
        <w:t xml:space="preserve"> millones,</w:t>
      </w:r>
      <w:r w:rsidR="00240C29">
        <w:t xml:space="preserve"> ya que</w:t>
      </w:r>
      <w:r w:rsidRPr="009E05CC">
        <w:t xml:space="preserve"> pas</w:t>
      </w:r>
      <w:r>
        <w:t>ó</w:t>
      </w:r>
      <w:r w:rsidRPr="009E05CC">
        <w:t xml:space="preserve"> de Q</w:t>
      </w:r>
      <w:r>
        <w:t>.4</w:t>
      </w:r>
      <w:r w:rsidRPr="009E05CC">
        <w:t>,</w:t>
      </w:r>
      <w:r>
        <w:t>254.7</w:t>
      </w:r>
      <w:r w:rsidRPr="009E05CC">
        <w:t xml:space="preserve"> millones en 201</w:t>
      </w:r>
      <w:r>
        <w:t>8</w:t>
      </w:r>
      <w:r w:rsidRPr="009E05CC">
        <w:t xml:space="preserve"> a Q</w:t>
      </w:r>
      <w:r>
        <w:t>.4</w:t>
      </w:r>
      <w:r w:rsidRPr="009E05CC">
        <w:t>,</w:t>
      </w:r>
      <w:r>
        <w:t>109.4</w:t>
      </w:r>
      <w:r w:rsidRPr="009E05CC">
        <w:t xml:space="preserve"> millones</w:t>
      </w:r>
      <w:r>
        <w:t xml:space="preserve"> en 2019. Los subsectores que tuvieron disminuciones fueron: Ministerio Público</w:t>
      </w:r>
      <w:r w:rsidRPr="009E05CC">
        <w:t xml:space="preserve"> con Q</w:t>
      </w:r>
      <w:r>
        <w:t>.116.3</w:t>
      </w:r>
      <w:r w:rsidRPr="009E05CC">
        <w:t xml:space="preserve"> millones</w:t>
      </w:r>
      <w:r>
        <w:t xml:space="preserve"> y el</w:t>
      </w:r>
      <w:r w:rsidRPr="009E05CC">
        <w:t xml:space="preserve"> Organismo Judicial y Corte de Constitucionalidad </w:t>
      </w:r>
      <w:r>
        <w:t xml:space="preserve">por </w:t>
      </w:r>
      <w:r w:rsidRPr="009E05CC">
        <w:t>un monto de Q</w:t>
      </w:r>
      <w:r>
        <w:t>.75.6</w:t>
      </w:r>
      <w:r w:rsidRPr="009E05CC">
        <w:t xml:space="preserve"> millones</w:t>
      </w:r>
      <w:r>
        <w:t>; en tanto que Seguridad Interna aumentó en Q.46.6 millones.</w:t>
      </w:r>
    </w:p>
    <w:p w:rsidR="00E425C1" w:rsidRPr="009E05CC" w:rsidRDefault="00E425C1" w:rsidP="00E425C1">
      <w:pPr>
        <w:jc w:val="both"/>
      </w:pPr>
    </w:p>
    <w:p w:rsidR="00E425C1" w:rsidRPr="009E05CC" w:rsidRDefault="00E425C1" w:rsidP="00E425C1">
      <w:pPr>
        <w:jc w:val="both"/>
      </w:pPr>
      <w:r>
        <w:t xml:space="preserve">Los dos sectores que conforman el gasto derivado de los Acuerdos de Paz (Gasto Social y Sector Justicia) </w:t>
      </w:r>
      <w:r w:rsidRPr="009E05CC">
        <w:t>tuvieron un aumento de Q</w:t>
      </w:r>
      <w:r>
        <w:t>.932.2</w:t>
      </w:r>
      <w:r w:rsidRPr="009E05CC">
        <w:t xml:space="preserve"> millones </w:t>
      </w:r>
      <w:r>
        <w:t xml:space="preserve">respecto de </w:t>
      </w:r>
      <w:r w:rsidRPr="009E05CC">
        <w:t>201</w:t>
      </w:r>
      <w:r>
        <w:t>8</w:t>
      </w:r>
      <w:r w:rsidRPr="009E05CC">
        <w:t xml:space="preserve">, teniendo mayor </w:t>
      </w:r>
      <w:r>
        <w:t xml:space="preserve">incidencia </w:t>
      </w:r>
      <w:r w:rsidRPr="009E05CC">
        <w:t xml:space="preserve">en el gasto </w:t>
      </w:r>
      <w:r>
        <w:t>social.</w:t>
      </w:r>
    </w:p>
    <w:p w:rsidR="00E425C1" w:rsidRDefault="00E425C1" w:rsidP="00E425C1">
      <w:pPr>
        <w:jc w:val="both"/>
      </w:pPr>
    </w:p>
    <w:p w:rsidR="00E425C1" w:rsidRDefault="00E425C1" w:rsidP="00E425C1">
      <w:pPr>
        <w:rPr>
          <w:b/>
          <w:sz w:val="22"/>
          <w:szCs w:val="22"/>
          <w:lang w:val="es-MX"/>
        </w:rPr>
      </w:pPr>
      <w:r>
        <w:rPr>
          <w:b/>
          <w:sz w:val="22"/>
          <w:szCs w:val="22"/>
          <w:lang w:val="es-MX"/>
        </w:rPr>
        <w:br w:type="page"/>
      </w:r>
    </w:p>
    <w:p w:rsidR="00E425C1" w:rsidRPr="0088577C" w:rsidRDefault="00E425C1" w:rsidP="00E425C1">
      <w:pPr>
        <w:jc w:val="center"/>
        <w:rPr>
          <w:b/>
          <w:sz w:val="22"/>
          <w:szCs w:val="22"/>
          <w:lang w:val="es-MX"/>
        </w:rPr>
      </w:pPr>
      <w:r w:rsidRPr="0088577C">
        <w:rPr>
          <w:b/>
          <w:sz w:val="22"/>
          <w:szCs w:val="22"/>
          <w:lang w:val="es-MX"/>
        </w:rPr>
        <w:lastRenderedPageBreak/>
        <w:t xml:space="preserve">Cuadro </w:t>
      </w:r>
      <w:r>
        <w:rPr>
          <w:b/>
          <w:sz w:val="22"/>
          <w:szCs w:val="22"/>
          <w:lang w:val="es-MX"/>
        </w:rPr>
        <w:t>8</w:t>
      </w:r>
    </w:p>
    <w:p w:rsidR="00E425C1" w:rsidRPr="0088577C" w:rsidRDefault="00E425C1" w:rsidP="00E425C1">
      <w:pPr>
        <w:jc w:val="center"/>
        <w:rPr>
          <w:b/>
          <w:sz w:val="22"/>
          <w:szCs w:val="22"/>
          <w:lang w:val="es-MX"/>
        </w:rPr>
      </w:pPr>
      <w:r w:rsidRPr="0088577C">
        <w:rPr>
          <w:b/>
          <w:sz w:val="22"/>
          <w:szCs w:val="22"/>
          <w:lang w:val="es-MX"/>
        </w:rPr>
        <w:t>Ejecución Presupuestaria del Gasto Social y Acuerdos de Paz</w:t>
      </w:r>
    </w:p>
    <w:p w:rsidR="00E425C1" w:rsidRPr="0088577C" w:rsidRDefault="00E425C1" w:rsidP="00E425C1">
      <w:pPr>
        <w:jc w:val="center"/>
        <w:rPr>
          <w:b/>
          <w:sz w:val="22"/>
          <w:szCs w:val="22"/>
          <w:lang w:val="es-MX"/>
        </w:rPr>
      </w:pPr>
      <w:r w:rsidRPr="0088577C">
        <w:rPr>
          <w:b/>
          <w:sz w:val="22"/>
          <w:szCs w:val="22"/>
          <w:lang w:val="es-MX"/>
        </w:rPr>
        <w:t xml:space="preserve">Al 30 de junio </w:t>
      </w:r>
      <w:r>
        <w:rPr>
          <w:b/>
          <w:sz w:val="22"/>
          <w:szCs w:val="22"/>
          <w:lang w:val="es-MX"/>
        </w:rPr>
        <w:t>de cada año</w:t>
      </w:r>
    </w:p>
    <w:p w:rsidR="00E425C1" w:rsidRDefault="00E425C1" w:rsidP="00E425C1">
      <w:pPr>
        <w:jc w:val="center"/>
        <w:rPr>
          <w:b/>
          <w:sz w:val="22"/>
          <w:szCs w:val="22"/>
          <w:lang w:val="es-MX"/>
        </w:rPr>
      </w:pPr>
      <w:r w:rsidRPr="0088577C">
        <w:rPr>
          <w:b/>
          <w:sz w:val="22"/>
          <w:szCs w:val="22"/>
          <w:lang w:val="es-MX"/>
        </w:rPr>
        <w:t>(Cifras en Millones de Quetzales)</w:t>
      </w:r>
    </w:p>
    <w:tbl>
      <w:tblPr>
        <w:tblW w:w="8662" w:type="dxa"/>
        <w:tblInd w:w="55" w:type="dxa"/>
        <w:tblCellMar>
          <w:left w:w="70" w:type="dxa"/>
          <w:right w:w="70" w:type="dxa"/>
        </w:tblCellMar>
        <w:tblLook w:val="04A0" w:firstRow="1" w:lastRow="0" w:firstColumn="1" w:lastColumn="0" w:noHBand="0" w:noVBand="1"/>
      </w:tblPr>
      <w:tblGrid>
        <w:gridCol w:w="3276"/>
        <w:gridCol w:w="1408"/>
        <w:gridCol w:w="1289"/>
        <w:gridCol w:w="1394"/>
        <w:gridCol w:w="1295"/>
      </w:tblGrid>
      <w:tr w:rsidR="00E425C1" w:rsidRPr="00414E1E" w:rsidTr="00DD2E5D">
        <w:trPr>
          <w:trHeight w:val="439"/>
        </w:trPr>
        <w:tc>
          <w:tcPr>
            <w:tcW w:w="3276" w:type="dxa"/>
            <w:vMerge w:val="restart"/>
            <w:tcBorders>
              <w:top w:val="single" w:sz="8" w:space="0" w:color="auto"/>
              <w:left w:val="single" w:sz="8" w:space="0" w:color="auto"/>
              <w:bottom w:val="single" w:sz="4" w:space="0" w:color="auto"/>
              <w:right w:val="nil"/>
            </w:tcBorders>
            <w:shd w:val="clear" w:color="000000" w:fill="8DB4E2"/>
            <w:vAlign w:val="center"/>
          </w:tcPr>
          <w:p w:rsidR="00E425C1" w:rsidRPr="00414E1E" w:rsidRDefault="00DD2E5D" w:rsidP="00E425C1">
            <w:pPr>
              <w:jc w:val="center"/>
              <w:rPr>
                <w:b/>
                <w:bCs/>
                <w:color w:val="000000"/>
                <w:sz w:val="22"/>
                <w:lang w:val="es-GT" w:eastAsia="es-GT"/>
              </w:rPr>
            </w:pPr>
            <w:r>
              <w:rPr>
                <w:b/>
                <w:bCs/>
                <w:color w:val="000000"/>
                <w:sz w:val="22"/>
                <w:lang w:val="es-GT" w:eastAsia="es-GT"/>
              </w:rPr>
              <w:t>Concepto</w:t>
            </w:r>
          </w:p>
        </w:tc>
        <w:tc>
          <w:tcPr>
            <w:tcW w:w="1408"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2018</w:t>
            </w:r>
          </w:p>
        </w:tc>
        <w:tc>
          <w:tcPr>
            <w:tcW w:w="1289"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2019</w:t>
            </w:r>
          </w:p>
        </w:tc>
        <w:tc>
          <w:tcPr>
            <w:tcW w:w="2689" w:type="dxa"/>
            <w:gridSpan w:val="2"/>
            <w:tcBorders>
              <w:top w:val="single" w:sz="8" w:space="0" w:color="auto"/>
              <w:left w:val="nil"/>
              <w:bottom w:val="single" w:sz="4" w:space="0" w:color="auto"/>
              <w:right w:val="single" w:sz="8" w:space="0" w:color="000000"/>
            </w:tcBorders>
            <w:shd w:val="clear" w:color="000000" w:fill="8DB4E2"/>
            <w:noWrap/>
            <w:vAlign w:val="center"/>
            <w:hideMark/>
          </w:tcPr>
          <w:p w:rsidR="00E425C1" w:rsidRPr="00414E1E" w:rsidRDefault="00E425C1" w:rsidP="00DD2E5D">
            <w:pPr>
              <w:jc w:val="center"/>
              <w:rPr>
                <w:b/>
                <w:bCs/>
                <w:color w:val="000000"/>
                <w:sz w:val="22"/>
                <w:lang w:val="es-GT" w:eastAsia="es-GT"/>
              </w:rPr>
            </w:pPr>
            <w:r w:rsidRPr="00414E1E">
              <w:rPr>
                <w:b/>
                <w:bCs/>
                <w:color w:val="000000"/>
                <w:sz w:val="22"/>
                <w:lang w:val="es-GT" w:eastAsia="es-GT"/>
              </w:rPr>
              <w:t>Diferencias</w:t>
            </w:r>
          </w:p>
        </w:tc>
      </w:tr>
      <w:tr w:rsidR="00E425C1" w:rsidRPr="00414E1E" w:rsidTr="00DD2E5D">
        <w:trPr>
          <w:trHeight w:val="439"/>
        </w:trPr>
        <w:tc>
          <w:tcPr>
            <w:tcW w:w="3276" w:type="dxa"/>
            <w:vMerge/>
            <w:tcBorders>
              <w:top w:val="single" w:sz="8" w:space="0" w:color="auto"/>
              <w:left w:val="single" w:sz="8" w:space="0" w:color="auto"/>
              <w:bottom w:val="single" w:sz="4" w:space="0" w:color="auto"/>
              <w:right w:val="nil"/>
            </w:tcBorders>
            <w:vAlign w:val="center"/>
            <w:hideMark/>
          </w:tcPr>
          <w:p w:rsidR="00E425C1" w:rsidRPr="00414E1E" w:rsidRDefault="00E425C1" w:rsidP="00E425C1">
            <w:pPr>
              <w:rPr>
                <w:b/>
                <w:bCs/>
                <w:color w:val="000000"/>
                <w:sz w:val="22"/>
                <w:lang w:val="es-GT" w:eastAsia="es-GT"/>
              </w:rPr>
            </w:pPr>
          </w:p>
        </w:tc>
        <w:tc>
          <w:tcPr>
            <w:tcW w:w="1408" w:type="dxa"/>
            <w:vMerge/>
            <w:tcBorders>
              <w:top w:val="single" w:sz="8" w:space="0" w:color="auto"/>
              <w:left w:val="single" w:sz="4" w:space="0" w:color="auto"/>
              <w:bottom w:val="single" w:sz="4" w:space="0" w:color="auto"/>
              <w:right w:val="single" w:sz="4" w:space="0" w:color="auto"/>
            </w:tcBorders>
            <w:vAlign w:val="center"/>
            <w:hideMark/>
          </w:tcPr>
          <w:p w:rsidR="00E425C1" w:rsidRPr="00414E1E" w:rsidRDefault="00E425C1" w:rsidP="00E425C1">
            <w:pPr>
              <w:rPr>
                <w:b/>
                <w:bCs/>
                <w:color w:val="000000"/>
                <w:sz w:val="22"/>
                <w:lang w:val="es-GT" w:eastAsia="es-GT"/>
              </w:rPr>
            </w:pPr>
          </w:p>
        </w:tc>
        <w:tc>
          <w:tcPr>
            <w:tcW w:w="1289" w:type="dxa"/>
            <w:vMerge/>
            <w:tcBorders>
              <w:top w:val="single" w:sz="8" w:space="0" w:color="auto"/>
              <w:left w:val="single" w:sz="4" w:space="0" w:color="auto"/>
              <w:bottom w:val="single" w:sz="4" w:space="0" w:color="auto"/>
              <w:right w:val="single" w:sz="4" w:space="0" w:color="auto"/>
            </w:tcBorders>
            <w:vAlign w:val="center"/>
            <w:hideMark/>
          </w:tcPr>
          <w:p w:rsidR="00E425C1" w:rsidRPr="00414E1E" w:rsidRDefault="00E425C1" w:rsidP="00E425C1">
            <w:pPr>
              <w:rPr>
                <w:b/>
                <w:bCs/>
                <w:color w:val="000000"/>
                <w:sz w:val="22"/>
                <w:lang w:val="es-GT" w:eastAsia="es-GT"/>
              </w:rPr>
            </w:pPr>
          </w:p>
        </w:tc>
        <w:tc>
          <w:tcPr>
            <w:tcW w:w="1394" w:type="dxa"/>
            <w:tcBorders>
              <w:top w:val="single" w:sz="4" w:space="0" w:color="auto"/>
              <w:left w:val="nil"/>
              <w:bottom w:val="single" w:sz="4" w:space="0" w:color="auto"/>
              <w:right w:val="single" w:sz="4" w:space="0" w:color="auto"/>
            </w:tcBorders>
            <w:shd w:val="clear" w:color="000000" w:fill="8DB4E2"/>
            <w:noWrap/>
            <w:vAlign w:val="center"/>
            <w:hideMark/>
          </w:tcPr>
          <w:p w:rsidR="00E425C1" w:rsidRPr="00414E1E" w:rsidRDefault="00E425C1" w:rsidP="00DD2E5D">
            <w:pPr>
              <w:jc w:val="center"/>
              <w:rPr>
                <w:b/>
                <w:bCs/>
                <w:color w:val="000000"/>
                <w:sz w:val="22"/>
                <w:lang w:val="es-GT" w:eastAsia="es-GT"/>
              </w:rPr>
            </w:pPr>
            <w:r w:rsidRPr="00414E1E">
              <w:rPr>
                <w:b/>
                <w:bCs/>
                <w:color w:val="000000"/>
                <w:sz w:val="22"/>
                <w:lang w:val="es-GT" w:eastAsia="es-GT"/>
              </w:rPr>
              <w:t>Absolutas</w:t>
            </w:r>
          </w:p>
        </w:tc>
        <w:tc>
          <w:tcPr>
            <w:tcW w:w="1295" w:type="dxa"/>
            <w:tcBorders>
              <w:top w:val="nil"/>
              <w:left w:val="nil"/>
              <w:bottom w:val="single" w:sz="4" w:space="0" w:color="auto"/>
              <w:right w:val="single" w:sz="8" w:space="0" w:color="auto"/>
            </w:tcBorders>
            <w:shd w:val="clear" w:color="000000" w:fill="8DB4E2"/>
            <w:noWrap/>
            <w:vAlign w:val="center"/>
            <w:hideMark/>
          </w:tcPr>
          <w:p w:rsidR="00E425C1" w:rsidRPr="00414E1E" w:rsidRDefault="00E425C1" w:rsidP="00DD2E5D">
            <w:pPr>
              <w:jc w:val="center"/>
              <w:rPr>
                <w:b/>
                <w:bCs/>
                <w:color w:val="000000"/>
                <w:sz w:val="22"/>
                <w:lang w:val="es-GT" w:eastAsia="es-GT"/>
              </w:rPr>
            </w:pPr>
            <w:r w:rsidRPr="00414E1E">
              <w:rPr>
                <w:b/>
                <w:bCs/>
                <w:color w:val="000000"/>
                <w:sz w:val="22"/>
                <w:lang w:val="es-GT" w:eastAsia="es-GT"/>
              </w:rPr>
              <w:t>Relativas</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Total</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18,401.8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19,334.0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932.2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5.1%</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Salud y Asistencia Social</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6,181.6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5,626.1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(555.5)</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-9.0%</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Educación, Ciencia y Cultura</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7,934.5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9,545.6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1,611.1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20.3%</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Vivienda</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31.0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53.0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22.0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70.9%</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Gasto Social</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14,147.1 </w:t>
            </w:r>
          </w:p>
        </w:tc>
        <w:tc>
          <w:tcPr>
            <w:tcW w:w="1289"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15,224.6 </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1,077.5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7.6%</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Seguridad Interna</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2,114.2 </w:t>
            </w:r>
          </w:p>
        </w:tc>
        <w:tc>
          <w:tcPr>
            <w:tcW w:w="1289" w:type="dxa"/>
            <w:tcBorders>
              <w:top w:val="nil"/>
              <w:left w:val="nil"/>
              <w:bottom w:val="nil"/>
              <w:right w:val="single" w:sz="4" w:space="0" w:color="auto"/>
            </w:tcBorders>
            <w:shd w:val="clear" w:color="auto" w:fill="auto"/>
            <w:noWrap/>
            <w:vAlign w:val="bottom"/>
            <w:hideMark/>
          </w:tcPr>
          <w:p w:rsidR="00E425C1" w:rsidRPr="00414E1E" w:rsidRDefault="00E425C1" w:rsidP="00E425C1">
            <w:pPr>
              <w:jc w:val="right"/>
              <w:rPr>
                <w:sz w:val="22"/>
                <w:lang w:val="es-GT" w:eastAsia="es-GT"/>
              </w:rPr>
            </w:pPr>
            <w:r w:rsidRPr="00414E1E">
              <w:rPr>
                <w:sz w:val="22"/>
                <w:lang w:val="es-GT" w:eastAsia="es-GT"/>
              </w:rPr>
              <w:t>2,160.8</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46.6 </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2.2%</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Organismo Judicial y C.C</w:t>
            </w:r>
            <w:r w:rsidR="00240C29">
              <w:rPr>
                <w:color w:val="000000"/>
                <w:sz w:val="22"/>
                <w:lang w:val="es-GT" w:eastAsia="es-GT"/>
              </w:rPr>
              <w:t>.</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1,298.7 </w:t>
            </w:r>
          </w:p>
        </w:tc>
        <w:tc>
          <w:tcPr>
            <w:tcW w:w="1289" w:type="dxa"/>
            <w:tcBorders>
              <w:top w:val="nil"/>
              <w:left w:val="nil"/>
              <w:bottom w:val="nil"/>
              <w:right w:val="single" w:sz="4" w:space="0" w:color="auto"/>
            </w:tcBorders>
            <w:shd w:val="clear" w:color="auto" w:fill="auto"/>
            <w:noWrap/>
            <w:vAlign w:val="bottom"/>
            <w:hideMark/>
          </w:tcPr>
          <w:p w:rsidR="00E425C1" w:rsidRPr="00414E1E" w:rsidRDefault="00E425C1" w:rsidP="00E425C1">
            <w:pPr>
              <w:jc w:val="right"/>
              <w:rPr>
                <w:sz w:val="22"/>
                <w:lang w:val="es-GT" w:eastAsia="es-GT"/>
              </w:rPr>
            </w:pPr>
            <w:r w:rsidRPr="00414E1E">
              <w:rPr>
                <w:sz w:val="22"/>
                <w:lang w:val="es-GT" w:eastAsia="es-GT"/>
              </w:rPr>
              <w:t>1,223.1</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(75.6)</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-5.8%</w:t>
            </w:r>
          </w:p>
        </w:tc>
      </w:tr>
      <w:tr w:rsidR="00E425C1" w:rsidRPr="00414E1E" w:rsidTr="00DD2E5D">
        <w:trPr>
          <w:trHeight w:val="439"/>
        </w:trPr>
        <w:tc>
          <w:tcPr>
            <w:tcW w:w="3276" w:type="dxa"/>
            <w:tcBorders>
              <w:top w:val="nil"/>
              <w:left w:val="single" w:sz="8" w:space="0" w:color="auto"/>
              <w:bottom w:val="nil"/>
              <w:right w:val="nil"/>
            </w:tcBorders>
            <w:shd w:val="clear" w:color="000000" w:fill="FFFFFF"/>
            <w:noWrap/>
            <w:vAlign w:val="bottom"/>
            <w:hideMark/>
          </w:tcPr>
          <w:p w:rsidR="00E425C1" w:rsidRPr="00414E1E" w:rsidRDefault="00E425C1" w:rsidP="00E425C1">
            <w:pPr>
              <w:rPr>
                <w:color w:val="000000"/>
                <w:sz w:val="22"/>
                <w:lang w:val="es-GT" w:eastAsia="es-GT"/>
              </w:rPr>
            </w:pPr>
            <w:r w:rsidRPr="00414E1E">
              <w:rPr>
                <w:color w:val="000000"/>
                <w:sz w:val="22"/>
                <w:lang w:val="es-GT" w:eastAsia="es-GT"/>
              </w:rPr>
              <w:t>Ministerio Público</w:t>
            </w:r>
          </w:p>
        </w:tc>
        <w:tc>
          <w:tcPr>
            <w:tcW w:w="1408" w:type="dxa"/>
            <w:tcBorders>
              <w:top w:val="nil"/>
              <w:left w:val="single" w:sz="4" w:space="0" w:color="auto"/>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841.8 </w:t>
            </w:r>
          </w:p>
        </w:tc>
        <w:tc>
          <w:tcPr>
            <w:tcW w:w="1289" w:type="dxa"/>
            <w:tcBorders>
              <w:top w:val="nil"/>
              <w:left w:val="nil"/>
              <w:bottom w:val="nil"/>
              <w:right w:val="single" w:sz="4" w:space="0" w:color="auto"/>
            </w:tcBorders>
            <w:shd w:val="clear" w:color="auto" w:fill="auto"/>
            <w:noWrap/>
            <w:vAlign w:val="bottom"/>
            <w:hideMark/>
          </w:tcPr>
          <w:p w:rsidR="00E425C1" w:rsidRPr="00414E1E" w:rsidRDefault="00E425C1" w:rsidP="00E425C1">
            <w:pPr>
              <w:jc w:val="right"/>
              <w:rPr>
                <w:sz w:val="22"/>
                <w:lang w:val="es-GT" w:eastAsia="es-GT"/>
              </w:rPr>
            </w:pPr>
            <w:r w:rsidRPr="00414E1E">
              <w:rPr>
                <w:sz w:val="22"/>
                <w:lang w:val="es-GT" w:eastAsia="es-GT"/>
              </w:rPr>
              <w:t>725.5</w:t>
            </w:r>
          </w:p>
        </w:tc>
        <w:tc>
          <w:tcPr>
            <w:tcW w:w="1394" w:type="dxa"/>
            <w:tcBorders>
              <w:top w:val="nil"/>
              <w:left w:val="nil"/>
              <w:bottom w:val="nil"/>
              <w:right w:val="single" w:sz="4"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 xml:space="preserve">       (116.3)</w:t>
            </w:r>
          </w:p>
        </w:tc>
        <w:tc>
          <w:tcPr>
            <w:tcW w:w="1295" w:type="dxa"/>
            <w:tcBorders>
              <w:top w:val="nil"/>
              <w:left w:val="nil"/>
              <w:bottom w:val="nil"/>
              <w:right w:val="single" w:sz="8" w:space="0" w:color="auto"/>
            </w:tcBorders>
            <w:shd w:val="clear" w:color="000000" w:fill="FFFFFF"/>
            <w:noWrap/>
            <w:vAlign w:val="bottom"/>
            <w:hideMark/>
          </w:tcPr>
          <w:p w:rsidR="00E425C1" w:rsidRPr="00414E1E" w:rsidRDefault="00E425C1" w:rsidP="00E425C1">
            <w:pPr>
              <w:jc w:val="right"/>
              <w:rPr>
                <w:color w:val="000000"/>
                <w:sz w:val="22"/>
                <w:lang w:val="es-GT" w:eastAsia="es-GT"/>
              </w:rPr>
            </w:pPr>
            <w:r w:rsidRPr="00414E1E">
              <w:rPr>
                <w:color w:val="000000"/>
                <w:sz w:val="22"/>
                <w:lang w:val="es-GT" w:eastAsia="es-GT"/>
              </w:rPr>
              <w:t>-13.8%</w:t>
            </w:r>
          </w:p>
        </w:tc>
      </w:tr>
      <w:tr w:rsidR="00E425C1" w:rsidRPr="00414E1E" w:rsidTr="00DD2E5D">
        <w:trPr>
          <w:trHeight w:val="356"/>
        </w:trPr>
        <w:tc>
          <w:tcPr>
            <w:tcW w:w="3276" w:type="dxa"/>
            <w:tcBorders>
              <w:top w:val="nil"/>
              <w:left w:val="single" w:sz="8" w:space="0" w:color="auto"/>
              <w:bottom w:val="single" w:sz="8" w:space="0" w:color="auto"/>
              <w:right w:val="single" w:sz="4" w:space="0" w:color="auto"/>
            </w:tcBorders>
            <w:shd w:val="clear" w:color="auto" w:fill="auto"/>
            <w:noWrap/>
            <w:vAlign w:val="bottom"/>
            <w:hideMark/>
          </w:tcPr>
          <w:p w:rsidR="00E425C1" w:rsidRPr="00414E1E" w:rsidRDefault="00E425C1" w:rsidP="00E425C1">
            <w:pPr>
              <w:jc w:val="center"/>
              <w:rPr>
                <w:b/>
                <w:bCs/>
                <w:color w:val="000000"/>
                <w:sz w:val="22"/>
                <w:lang w:val="es-GT" w:eastAsia="es-GT"/>
              </w:rPr>
            </w:pPr>
            <w:r w:rsidRPr="00414E1E">
              <w:rPr>
                <w:b/>
                <w:bCs/>
                <w:color w:val="000000"/>
                <w:sz w:val="22"/>
                <w:lang w:val="es-GT" w:eastAsia="es-GT"/>
              </w:rPr>
              <w:t>Sector Justicia</w:t>
            </w:r>
          </w:p>
        </w:tc>
        <w:tc>
          <w:tcPr>
            <w:tcW w:w="1408" w:type="dxa"/>
            <w:tcBorders>
              <w:top w:val="nil"/>
              <w:left w:val="single" w:sz="4" w:space="0" w:color="auto"/>
              <w:bottom w:val="single" w:sz="8" w:space="0" w:color="auto"/>
              <w:right w:val="single" w:sz="4" w:space="0" w:color="auto"/>
            </w:tcBorders>
            <w:shd w:val="clear" w:color="auto" w:fill="auto"/>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4,254.7 </w:t>
            </w:r>
          </w:p>
        </w:tc>
        <w:tc>
          <w:tcPr>
            <w:tcW w:w="1289" w:type="dxa"/>
            <w:tcBorders>
              <w:top w:val="nil"/>
              <w:left w:val="nil"/>
              <w:bottom w:val="single" w:sz="8" w:space="0" w:color="auto"/>
              <w:right w:val="single" w:sz="4" w:space="0" w:color="auto"/>
            </w:tcBorders>
            <w:shd w:val="clear" w:color="auto" w:fill="auto"/>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4,109.4 </w:t>
            </w:r>
          </w:p>
        </w:tc>
        <w:tc>
          <w:tcPr>
            <w:tcW w:w="1394" w:type="dxa"/>
            <w:tcBorders>
              <w:top w:val="nil"/>
              <w:left w:val="nil"/>
              <w:bottom w:val="single" w:sz="8" w:space="0" w:color="auto"/>
              <w:right w:val="single" w:sz="4" w:space="0" w:color="auto"/>
            </w:tcBorders>
            <w:shd w:val="clear" w:color="auto" w:fill="auto"/>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 xml:space="preserve">       (145.3)</w:t>
            </w:r>
          </w:p>
        </w:tc>
        <w:tc>
          <w:tcPr>
            <w:tcW w:w="1295" w:type="dxa"/>
            <w:tcBorders>
              <w:top w:val="nil"/>
              <w:left w:val="nil"/>
              <w:bottom w:val="single" w:sz="8" w:space="0" w:color="auto"/>
              <w:right w:val="single" w:sz="8" w:space="0" w:color="auto"/>
            </w:tcBorders>
            <w:shd w:val="clear" w:color="000000" w:fill="FFFFFF"/>
            <w:noWrap/>
            <w:vAlign w:val="bottom"/>
            <w:hideMark/>
          </w:tcPr>
          <w:p w:rsidR="00E425C1" w:rsidRPr="00414E1E" w:rsidRDefault="00E425C1" w:rsidP="00E425C1">
            <w:pPr>
              <w:jc w:val="right"/>
              <w:rPr>
                <w:b/>
                <w:bCs/>
                <w:color w:val="000000"/>
                <w:sz w:val="22"/>
                <w:lang w:val="es-GT" w:eastAsia="es-GT"/>
              </w:rPr>
            </w:pPr>
            <w:r w:rsidRPr="00414E1E">
              <w:rPr>
                <w:b/>
                <w:bCs/>
                <w:color w:val="000000"/>
                <w:sz w:val="22"/>
                <w:lang w:val="es-GT" w:eastAsia="es-GT"/>
              </w:rPr>
              <w:t>-3.4%</w:t>
            </w:r>
          </w:p>
        </w:tc>
      </w:tr>
    </w:tbl>
    <w:p w:rsidR="00E425C1" w:rsidRDefault="00E425C1" w:rsidP="00E425C1">
      <w:pPr>
        <w:jc w:val="both"/>
        <w:rPr>
          <w:sz w:val="18"/>
          <w:lang w:val="es-MX"/>
        </w:rPr>
      </w:pPr>
      <w:r w:rsidRPr="00240C29">
        <w:rPr>
          <w:sz w:val="18"/>
          <w:lang w:val="es-MX"/>
        </w:rPr>
        <w:t>* Cifras preliminares.</w:t>
      </w:r>
    </w:p>
    <w:p w:rsidR="00DD2E5D" w:rsidRPr="00240C29" w:rsidRDefault="00DD2E5D" w:rsidP="00DD2E5D">
      <w:pPr>
        <w:jc w:val="both"/>
        <w:rPr>
          <w:sz w:val="18"/>
          <w:lang w:val="es-MX"/>
        </w:rPr>
      </w:pPr>
      <w:r>
        <w:rPr>
          <w:sz w:val="18"/>
          <w:lang w:val="es-MX"/>
        </w:rPr>
        <w:t xml:space="preserve">   </w:t>
      </w:r>
      <w:r w:rsidRPr="00240C29">
        <w:rPr>
          <w:sz w:val="18"/>
          <w:lang w:val="es-MX"/>
        </w:rPr>
        <w:t>Fuente: Ministerio de Finanzas Públicas con base al SICOIN.</w:t>
      </w:r>
    </w:p>
    <w:p w:rsidR="00DD2E5D" w:rsidRPr="00240C29" w:rsidRDefault="00DD2E5D" w:rsidP="00E425C1">
      <w:pPr>
        <w:jc w:val="both"/>
        <w:rPr>
          <w:sz w:val="18"/>
          <w:lang w:val="es-MX"/>
        </w:rPr>
      </w:pPr>
    </w:p>
    <w:p w:rsidR="00E425C1" w:rsidRPr="009E05CC" w:rsidRDefault="00E425C1" w:rsidP="00E425C1">
      <w:pPr>
        <w:rPr>
          <w:lang w:val="es-MX"/>
        </w:rPr>
      </w:pPr>
    </w:p>
    <w:p w:rsidR="00E425C1" w:rsidRDefault="00E425C1" w:rsidP="00E425C1">
      <w:pPr>
        <w:jc w:val="both"/>
        <w:rPr>
          <w:lang w:val="es-MX"/>
        </w:rPr>
      </w:pPr>
      <w:r w:rsidRPr="009E05CC">
        <w:rPr>
          <w:lang w:val="es-MX"/>
        </w:rPr>
        <w:t>Dentro del porcentaje de ejecución presupuestaria total, de acuerdo a las cifras observadas</w:t>
      </w:r>
      <w:r w:rsidR="00240C29">
        <w:rPr>
          <w:lang w:val="es-MX"/>
        </w:rPr>
        <w:t xml:space="preserve"> en el período 2017-2019</w:t>
      </w:r>
      <w:r w:rsidRPr="009E05CC">
        <w:rPr>
          <w:lang w:val="es-MX"/>
        </w:rPr>
        <w:t>, el año de mayor ejecución</w:t>
      </w:r>
      <w:r>
        <w:rPr>
          <w:lang w:val="es-MX"/>
        </w:rPr>
        <w:t xml:space="preserve"> </w:t>
      </w:r>
      <w:r w:rsidRPr="009E05CC">
        <w:rPr>
          <w:lang w:val="es-MX"/>
        </w:rPr>
        <w:t>es 201</w:t>
      </w:r>
      <w:r>
        <w:rPr>
          <w:lang w:val="es-MX"/>
        </w:rPr>
        <w:t xml:space="preserve">8; en el cual, </w:t>
      </w:r>
      <w:r w:rsidRPr="009E05CC">
        <w:rPr>
          <w:lang w:val="es-MX"/>
        </w:rPr>
        <w:t xml:space="preserve">el gasto destinado a los sectores de los Acuerdos de Paz </w:t>
      </w:r>
      <w:r>
        <w:rPr>
          <w:lang w:val="es-MX"/>
        </w:rPr>
        <w:t>corresponde al</w:t>
      </w:r>
      <w:r w:rsidRPr="009E05CC">
        <w:rPr>
          <w:lang w:val="es-MX"/>
        </w:rPr>
        <w:t xml:space="preserve"> </w:t>
      </w:r>
      <w:r>
        <w:rPr>
          <w:lang w:val="es-MX"/>
        </w:rPr>
        <w:t>56.6% y al Sector Justicia el 13.1%.</w:t>
      </w:r>
    </w:p>
    <w:p w:rsidR="00E425C1" w:rsidRPr="009E05CC" w:rsidRDefault="00E425C1" w:rsidP="00E425C1">
      <w:pPr>
        <w:jc w:val="both"/>
        <w:rPr>
          <w:lang w:val="es-MX"/>
        </w:rPr>
      </w:pPr>
    </w:p>
    <w:p w:rsidR="00E425C1" w:rsidRPr="009E05CC" w:rsidRDefault="00E425C1" w:rsidP="00E425C1">
      <w:pPr>
        <w:jc w:val="both"/>
        <w:rPr>
          <w:lang w:val="es-MX"/>
        </w:rPr>
      </w:pPr>
      <w:r w:rsidRPr="009E05CC">
        <w:rPr>
          <w:lang w:val="es-MX"/>
        </w:rPr>
        <w:t xml:space="preserve">Al observar las cifras desagregadas, </w:t>
      </w:r>
      <w:r>
        <w:rPr>
          <w:lang w:val="es-MX"/>
        </w:rPr>
        <w:t>en 201</w:t>
      </w:r>
      <w:r w:rsidR="00240C29">
        <w:rPr>
          <w:lang w:val="es-MX"/>
        </w:rPr>
        <w:t>8</w:t>
      </w:r>
      <w:r>
        <w:rPr>
          <w:lang w:val="es-MX"/>
        </w:rPr>
        <w:t xml:space="preserve"> </w:t>
      </w:r>
      <w:r w:rsidRPr="009E05CC">
        <w:rPr>
          <w:lang w:val="es-MX"/>
        </w:rPr>
        <w:t xml:space="preserve">el </w:t>
      </w:r>
      <w:r>
        <w:rPr>
          <w:lang w:val="es-MX"/>
        </w:rPr>
        <w:t>G</w:t>
      </w:r>
      <w:r w:rsidRPr="009E05CC">
        <w:rPr>
          <w:lang w:val="es-MX"/>
        </w:rPr>
        <w:t xml:space="preserve">asto </w:t>
      </w:r>
      <w:r>
        <w:rPr>
          <w:lang w:val="es-MX"/>
        </w:rPr>
        <w:t>S</w:t>
      </w:r>
      <w:r w:rsidRPr="009E05CC">
        <w:rPr>
          <w:lang w:val="es-MX"/>
        </w:rPr>
        <w:t>ocial reporta la mayor ejecución</w:t>
      </w:r>
      <w:r>
        <w:rPr>
          <w:lang w:val="es-MX"/>
        </w:rPr>
        <w:t xml:space="preserve"> en </w:t>
      </w:r>
      <w:r w:rsidRPr="009E05CC">
        <w:rPr>
          <w:lang w:val="es-MX"/>
        </w:rPr>
        <w:t xml:space="preserve">el período </w:t>
      </w:r>
      <w:r>
        <w:rPr>
          <w:lang w:val="es-MX"/>
        </w:rPr>
        <w:t>con un porcentaje de</w:t>
      </w:r>
      <w:r w:rsidRPr="009E05CC">
        <w:rPr>
          <w:lang w:val="es-MX"/>
        </w:rPr>
        <w:t xml:space="preserve"> </w:t>
      </w:r>
      <w:r>
        <w:rPr>
          <w:lang w:val="es-MX"/>
        </w:rPr>
        <w:t>43.5</w:t>
      </w:r>
      <w:r w:rsidRPr="009E05CC">
        <w:rPr>
          <w:lang w:val="es-MX"/>
        </w:rPr>
        <w:t xml:space="preserve">% del gasto total, en tanto que </w:t>
      </w:r>
      <w:r>
        <w:rPr>
          <w:lang w:val="es-MX"/>
        </w:rPr>
        <w:t>e</w:t>
      </w:r>
      <w:r w:rsidRPr="009E05CC">
        <w:rPr>
          <w:lang w:val="es-MX"/>
        </w:rPr>
        <w:t>l gast</w:t>
      </w:r>
      <w:r>
        <w:rPr>
          <w:lang w:val="es-MX"/>
        </w:rPr>
        <w:t xml:space="preserve">o destinado al </w:t>
      </w:r>
      <w:r w:rsidR="00240C29">
        <w:rPr>
          <w:lang w:val="es-MX"/>
        </w:rPr>
        <w:t>S</w:t>
      </w:r>
      <w:r>
        <w:rPr>
          <w:lang w:val="es-MX"/>
        </w:rPr>
        <w:t xml:space="preserve">ector </w:t>
      </w:r>
      <w:r w:rsidR="00240C29">
        <w:rPr>
          <w:lang w:val="es-MX"/>
        </w:rPr>
        <w:t>J</w:t>
      </w:r>
      <w:r>
        <w:rPr>
          <w:lang w:val="es-MX"/>
        </w:rPr>
        <w:t>usticia demostró ser más alto con 13.1%, orientado especialment</w:t>
      </w:r>
      <w:r w:rsidR="00EA2FAC">
        <w:rPr>
          <w:lang w:val="es-MX"/>
        </w:rPr>
        <w:t>e a seguridad interna.</w:t>
      </w:r>
    </w:p>
    <w:p w:rsidR="00E425C1" w:rsidRDefault="00E425C1" w:rsidP="00E425C1">
      <w:pPr>
        <w:jc w:val="center"/>
        <w:rPr>
          <w:b/>
          <w:sz w:val="22"/>
          <w:szCs w:val="22"/>
          <w:lang w:val="es-MX"/>
        </w:rPr>
      </w:pPr>
    </w:p>
    <w:p w:rsidR="00E425C1" w:rsidRDefault="00E425C1" w:rsidP="00E425C1">
      <w:pPr>
        <w:rPr>
          <w:b/>
          <w:sz w:val="22"/>
          <w:szCs w:val="22"/>
          <w:lang w:val="es-MX"/>
        </w:rPr>
      </w:pPr>
      <w:r>
        <w:rPr>
          <w:b/>
          <w:sz w:val="22"/>
          <w:szCs w:val="22"/>
          <w:lang w:val="es-MX"/>
        </w:rPr>
        <w:br w:type="page"/>
      </w:r>
    </w:p>
    <w:p w:rsidR="00E425C1" w:rsidRDefault="00E425C1" w:rsidP="00E425C1">
      <w:pPr>
        <w:jc w:val="center"/>
        <w:rPr>
          <w:b/>
          <w:sz w:val="22"/>
          <w:szCs w:val="22"/>
          <w:lang w:val="es-MX"/>
        </w:rPr>
      </w:pPr>
    </w:p>
    <w:p w:rsidR="00E425C1" w:rsidRPr="0088577C" w:rsidRDefault="00E425C1" w:rsidP="00E425C1">
      <w:pPr>
        <w:jc w:val="center"/>
        <w:rPr>
          <w:b/>
          <w:sz w:val="22"/>
          <w:szCs w:val="22"/>
          <w:lang w:val="es-MX"/>
        </w:rPr>
      </w:pPr>
      <w:r w:rsidRPr="0088577C">
        <w:rPr>
          <w:b/>
          <w:sz w:val="22"/>
          <w:szCs w:val="22"/>
          <w:lang w:val="es-MX"/>
        </w:rPr>
        <w:t xml:space="preserve">Cuadro </w:t>
      </w:r>
      <w:r>
        <w:rPr>
          <w:b/>
          <w:sz w:val="22"/>
          <w:szCs w:val="22"/>
          <w:lang w:val="es-MX"/>
        </w:rPr>
        <w:t>9</w:t>
      </w:r>
    </w:p>
    <w:p w:rsidR="00E425C1" w:rsidRPr="0088577C" w:rsidRDefault="00E425C1" w:rsidP="00E425C1">
      <w:pPr>
        <w:jc w:val="center"/>
        <w:rPr>
          <w:b/>
          <w:sz w:val="22"/>
          <w:szCs w:val="22"/>
          <w:lang w:val="es-MX"/>
        </w:rPr>
      </w:pPr>
      <w:r w:rsidRPr="0088577C">
        <w:rPr>
          <w:b/>
          <w:sz w:val="22"/>
          <w:szCs w:val="22"/>
          <w:lang w:val="es-MX"/>
        </w:rPr>
        <w:t>Ejecución Presupuestaria del Gasto Social y Acuerdos de Paz</w:t>
      </w:r>
    </w:p>
    <w:p w:rsidR="00E425C1" w:rsidRDefault="00E425C1" w:rsidP="00E425C1">
      <w:pPr>
        <w:jc w:val="center"/>
        <w:rPr>
          <w:b/>
          <w:sz w:val="22"/>
          <w:szCs w:val="22"/>
          <w:lang w:val="es-MX"/>
        </w:rPr>
      </w:pPr>
      <w:r w:rsidRPr="0088577C">
        <w:rPr>
          <w:b/>
          <w:sz w:val="22"/>
          <w:szCs w:val="22"/>
          <w:lang w:val="es-MX"/>
        </w:rPr>
        <w:t>Al 30 de junio de cada año</w:t>
      </w:r>
    </w:p>
    <w:p w:rsidR="00E425C1" w:rsidRDefault="00E425C1" w:rsidP="00E425C1">
      <w:pPr>
        <w:jc w:val="center"/>
        <w:rPr>
          <w:b/>
          <w:sz w:val="22"/>
          <w:szCs w:val="22"/>
          <w:lang w:val="es-MX"/>
        </w:rPr>
      </w:pPr>
      <w:r>
        <w:rPr>
          <w:b/>
          <w:sz w:val="22"/>
          <w:szCs w:val="22"/>
          <w:lang w:val="es-MX"/>
        </w:rPr>
        <w:t>(En Porcentajes del Presupuesto Ejecutado)</w:t>
      </w:r>
    </w:p>
    <w:p w:rsidR="00E425C1" w:rsidRPr="00522477" w:rsidRDefault="00E425C1" w:rsidP="00E425C1">
      <w:pPr>
        <w:rPr>
          <w:sz w:val="10"/>
          <w:lang w:val="es-MX"/>
        </w:rPr>
      </w:pPr>
    </w:p>
    <w:tbl>
      <w:tblPr>
        <w:tblW w:w="8170" w:type="dxa"/>
        <w:jc w:val="center"/>
        <w:tblInd w:w="-331" w:type="dxa"/>
        <w:tblCellMar>
          <w:left w:w="70" w:type="dxa"/>
          <w:right w:w="70" w:type="dxa"/>
        </w:tblCellMar>
        <w:tblLook w:val="04A0" w:firstRow="1" w:lastRow="0" w:firstColumn="1" w:lastColumn="0" w:noHBand="0" w:noVBand="1"/>
      </w:tblPr>
      <w:tblGrid>
        <w:gridCol w:w="3868"/>
        <w:gridCol w:w="1493"/>
        <w:gridCol w:w="1418"/>
        <w:gridCol w:w="1391"/>
      </w:tblGrid>
      <w:tr w:rsidR="00E425C1" w:rsidRPr="008B7B41" w:rsidTr="00DD2E5D">
        <w:trPr>
          <w:trHeight w:val="325"/>
          <w:jc w:val="center"/>
        </w:trPr>
        <w:tc>
          <w:tcPr>
            <w:tcW w:w="3868" w:type="dxa"/>
            <w:tcBorders>
              <w:top w:val="single" w:sz="8" w:space="0" w:color="auto"/>
              <w:left w:val="single" w:sz="8" w:space="0" w:color="auto"/>
              <w:bottom w:val="single" w:sz="4" w:space="0" w:color="auto"/>
              <w:right w:val="nil"/>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Sector</w:t>
            </w:r>
          </w:p>
        </w:tc>
        <w:tc>
          <w:tcPr>
            <w:tcW w:w="1493" w:type="dxa"/>
            <w:tcBorders>
              <w:top w:val="single" w:sz="8" w:space="0" w:color="auto"/>
              <w:left w:val="single" w:sz="4" w:space="0" w:color="auto"/>
              <w:bottom w:val="single" w:sz="4" w:space="0" w:color="auto"/>
              <w:right w:val="single" w:sz="4" w:space="0" w:color="auto"/>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2017</w:t>
            </w:r>
          </w:p>
        </w:tc>
        <w:tc>
          <w:tcPr>
            <w:tcW w:w="1418" w:type="dxa"/>
            <w:tcBorders>
              <w:top w:val="single" w:sz="8" w:space="0" w:color="auto"/>
              <w:left w:val="nil"/>
              <w:bottom w:val="single" w:sz="4" w:space="0" w:color="auto"/>
              <w:right w:val="single" w:sz="4" w:space="0" w:color="auto"/>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2018</w:t>
            </w:r>
          </w:p>
        </w:tc>
        <w:tc>
          <w:tcPr>
            <w:tcW w:w="1391" w:type="dxa"/>
            <w:tcBorders>
              <w:top w:val="single" w:sz="8" w:space="0" w:color="auto"/>
              <w:left w:val="single" w:sz="4" w:space="0" w:color="auto"/>
              <w:bottom w:val="single" w:sz="4" w:space="0" w:color="auto"/>
              <w:right w:val="single" w:sz="8" w:space="0" w:color="auto"/>
            </w:tcBorders>
            <w:shd w:val="clear" w:color="000000" w:fill="8DB4E2"/>
            <w:noWrap/>
            <w:vAlign w:val="center"/>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2019*</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Total</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55.8%</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56.6%</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51.0%</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Salud y Asistencia Social</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18.1%</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19.0%</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14.8%</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Educación, Ciencia y Cultura</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24.4%</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24.4%</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25.2%</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Vivienda</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0.3%</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0.1%</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0.1%</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Gasto Social</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42.8%</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43.5%</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40.2%</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Seguridad Interna</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6.2%</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6.5%</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5.7%</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Organismo Judicial y C.C</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3.7%</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4.0%</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3.2%</w:t>
            </w:r>
          </w:p>
        </w:tc>
      </w:tr>
      <w:tr w:rsidR="00E425C1" w:rsidRPr="008B7B41" w:rsidTr="00DD2E5D">
        <w:trPr>
          <w:trHeight w:val="325"/>
          <w:jc w:val="center"/>
        </w:trPr>
        <w:tc>
          <w:tcPr>
            <w:tcW w:w="3868" w:type="dxa"/>
            <w:tcBorders>
              <w:top w:val="nil"/>
              <w:left w:val="single" w:sz="8" w:space="0" w:color="auto"/>
              <w:bottom w:val="nil"/>
              <w:right w:val="nil"/>
            </w:tcBorders>
            <w:shd w:val="clear" w:color="000000" w:fill="FFFFFF"/>
            <w:noWrap/>
            <w:vAlign w:val="bottom"/>
            <w:hideMark/>
          </w:tcPr>
          <w:p w:rsidR="00E425C1" w:rsidRPr="008B7B41" w:rsidRDefault="00E425C1" w:rsidP="00E425C1">
            <w:pPr>
              <w:rPr>
                <w:color w:val="000000"/>
                <w:sz w:val="22"/>
                <w:szCs w:val="22"/>
                <w:lang w:val="es-GT" w:eastAsia="es-GT"/>
              </w:rPr>
            </w:pPr>
            <w:r w:rsidRPr="008B7B41">
              <w:rPr>
                <w:color w:val="000000"/>
                <w:sz w:val="22"/>
                <w:szCs w:val="22"/>
                <w:lang w:val="es-GT" w:eastAsia="es-GT"/>
              </w:rPr>
              <w:t>Ministerio Público</w:t>
            </w:r>
          </w:p>
        </w:tc>
        <w:tc>
          <w:tcPr>
            <w:tcW w:w="1493" w:type="dxa"/>
            <w:tcBorders>
              <w:top w:val="nil"/>
              <w:left w:val="single" w:sz="4" w:space="0" w:color="auto"/>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3.1%</w:t>
            </w:r>
          </w:p>
        </w:tc>
        <w:tc>
          <w:tcPr>
            <w:tcW w:w="1418" w:type="dxa"/>
            <w:tcBorders>
              <w:top w:val="nil"/>
              <w:left w:val="nil"/>
              <w:bottom w:val="nil"/>
              <w:right w:val="single" w:sz="4"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2.6%</w:t>
            </w:r>
          </w:p>
        </w:tc>
        <w:tc>
          <w:tcPr>
            <w:tcW w:w="1391" w:type="dxa"/>
            <w:tcBorders>
              <w:top w:val="nil"/>
              <w:left w:val="nil"/>
              <w:bottom w:val="nil"/>
              <w:right w:val="single" w:sz="8" w:space="0" w:color="auto"/>
            </w:tcBorders>
            <w:shd w:val="clear" w:color="000000" w:fill="FFFFFF"/>
            <w:noWrap/>
            <w:vAlign w:val="bottom"/>
            <w:hideMark/>
          </w:tcPr>
          <w:p w:rsidR="00E425C1" w:rsidRPr="008B7B41" w:rsidRDefault="00E425C1" w:rsidP="00E425C1">
            <w:pPr>
              <w:jc w:val="right"/>
              <w:rPr>
                <w:color w:val="000000"/>
                <w:sz w:val="22"/>
                <w:szCs w:val="22"/>
                <w:lang w:val="es-GT" w:eastAsia="es-GT"/>
              </w:rPr>
            </w:pPr>
            <w:r w:rsidRPr="008B7B41">
              <w:rPr>
                <w:color w:val="000000"/>
                <w:sz w:val="22"/>
                <w:szCs w:val="22"/>
                <w:lang w:val="es-GT" w:eastAsia="es-GT"/>
              </w:rPr>
              <w:t>1.9%</w:t>
            </w:r>
          </w:p>
        </w:tc>
      </w:tr>
      <w:tr w:rsidR="00E425C1" w:rsidRPr="008B7B41" w:rsidTr="00DD2E5D">
        <w:trPr>
          <w:trHeight w:val="340"/>
          <w:jc w:val="center"/>
        </w:trPr>
        <w:tc>
          <w:tcPr>
            <w:tcW w:w="3868" w:type="dxa"/>
            <w:tcBorders>
              <w:top w:val="nil"/>
              <w:left w:val="single" w:sz="8" w:space="0" w:color="auto"/>
              <w:bottom w:val="single" w:sz="8" w:space="0" w:color="auto"/>
              <w:right w:val="nil"/>
            </w:tcBorders>
            <w:shd w:val="clear" w:color="000000" w:fill="FFFFFF"/>
            <w:noWrap/>
            <w:vAlign w:val="bottom"/>
            <w:hideMark/>
          </w:tcPr>
          <w:p w:rsidR="00E425C1" w:rsidRPr="008B7B41" w:rsidRDefault="00E425C1" w:rsidP="00E425C1">
            <w:pPr>
              <w:jc w:val="center"/>
              <w:rPr>
                <w:b/>
                <w:bCs/>
                <w:color w:val="000000"/>
                <w:sz w:val="22"/>
                <w:szCs w:val="22"/>
                <w:lang w:val="es-GT" w:eastAsia="es-GT"/>
              </w:rPr>
            </w:pPr>
            <w:r w:rsidRPr="008B7B41">
              <w:rPr>
                <w:b/>
                <w:bCs/>
                <w:color w:val="000000"/>
                <w:sz w:val="22"/>
                <w:szCs w:val="22"/>
                <w:lang w:val="es-GT" w:eastAsia="es-GT"/>
              </w:rPr>
              <w:t>Sector Justicia</w:t>
            </w:r>
          </w:p>
        </w:tc>
        <w:tc>
          <w:tcPr>
            <w:tcW w:w="1493" w:type="dxa"/>
            <w:tcBorders>
              <w:top w:val="nil"/>
              <w:left w:val="single" w:sz="4" w:space="0" w:color="auto"/>
              <w:bottom w:val="single" w:sz="8" w:space="0" w:color="auto"/>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12.9%</w:t>
            </w:r>
          </w:p>
        </w:tc>
        <w:tc>
          <w:tcPr>
            <w:tcW w:w="1418" w:type="dxa"/>
            <w:tcBorders>
              <w:top w:val="nil"/>
              <w:left w:val="nil"/>
              <w:bottom w:val="single" w:sz="8" w:space="0" w:color="auto"/>
              <w:right w:val="single" w:sz="4"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13.1%</w:t>
            </w:r>
          </w:p>
        </w:tc>
        <w:tc>
          <w:tcPr>
            <w:tcW w:w="1391" w:type="dxa"/>
            <w:tcBorders>
              <w:top w:val="nil"/>
              <w:left w:val="nil"/>
              <w:bottom w:val="single" w:sz="8" w:space="0" w:color="auto"/>
              <w:right w:val="single" w:sz="8" w:space="0" w:color="auto"/>
            </w:tcBorders>
            <w:shd w:val="clear" w:color="000000" w:fill="FFFFFF"/>
            <w:noWrap/>
            <w:vAlign w:val="bottom"/>
            <w:hideMark/>
          </w:tcPr>
          <w:p w:rsidR="00E425C1" w:rsidRPr="008B7B41" w:rsidRDefault="00E425C1" w:rsidP="00E425C1">
            <w:pPr>
              <w:jc w:val="right"/>
              <w:rPr>
                <w:b/>
                <w:bCs/>
                <w:color w:val="000000"/>
                <w:sz w:val="22"/>
                <w:szCs w:val="22"/>
                <w:lang w:val="es-GT" w:eastAsia="es-GT"/>
              </w:rPr>
            </w:pPr>
            <w:r w:rsidRPr="008B7B41">
              <w:rPr>
                <w:b/>
                <w:bCs/>
                <w:color w:val="000000"/>
                <w:sz w:val="22"/>
                <w:szCs w:val="22"/>
                <w:lang w:val="es-GT" w:eastAsia="es-GT"/>
              </w:rPr>
              <w:t>10.8%</w:t>
            </w:r>
          </w:p>
        </w:tc>
      </w:tr>
      <w:tr w:rsidR="00E425C1" w:rsidRPr="008B7B41" w:rsidTr="00DD2E5D">
        <w:trPr>
          <w:trHeight w:val="340"/>
          <w:jc w:val="center"/>
        </w:trPr>
        <w:tc>
          <w:tcPr>
            <w:tcW w:w="3868" w:type="dxa"/>
            <w:tcBorders>
              <w:top w:val="nil"/>
              <w:left w:val="nil"/>
              <w:bottom w:val="nil"/>
              <w:right w:val="nil"/>
            </w:tcBorders>
            <w:shd w:val="clear" w:color="000000" w:fill="FFFFFF"/>
            <w:noWrap/>
            <w:vAlign w:val="bottom"/>
            <w:hideMark/>
          </w:tcPr>
          <w:p w:rsidR="00E425C1" w:rsidRPr="00093265" w:rsidRDefault="00E425C1" w:rsidP="00E425C1">
            <w:pPr>
              <w:rPr>
                <w:b/>
                <w:color w:val="000000"/>
                <w:sz w:val="22"/>
                <w:szCs w:val="22"/>
                <w:lang w:val="es-GT" w:eastAsia="es-GT"/>
              </w:rPr>
            </w:pPr>
            <w:r w:rsidRPr="00093265">
              <w:rPr>
                <w:b/>
                <w:color w:val="000000"/>
                <w:sz w:val="22"/>
                <w:szCs w:val="22"/>
                <w:lang w:val="es-GT" w:eastAsia="es-GT"/>
              </w:rPr>
              <w:t>Ejecución Presupuestaria</w:t>
            </w:r>
          </w:p>
        </w:tc>
        <w:tc>
          <w:tcPr>
            <w:tcW w:w="1493" w:type="dxa"/>
            <w:tcBorders>
              <w:top w:val="nil"/>
              <w:left w:val="nil"/>
              <w:bottom w:val="nil"/>
              <w:right w:val="nil"/>
            </w:tcBorders>
            <w:shd w:val="clear" w:color="000000" w:fill="FFFFFF"/>
            <w:noWrap/>
            <w:vAlign w:val="bottom"/>
            <w:hideMark/>
          </w:tcPr>
          <w:p w:rsidR="00E425C1" w:rsidRPr="00093265" w:rsidRDefault="00E425C1" w:rsidP="00E4580C">
            <w:pPr>
              <w:jc w:val="right"/>
              <w:rPr>
                <w:b/>
                <w:color w:val="000000"/>
                <w:sz w:val="22"/>
                <w:szCs w:val="22"/>
                <w:lang w:val="es-GT" w:eastAsia="es-GT"/>
              </w:rPr>
            </w:pPr>
            <w:r w:rsidRPr="00093265">
              <w:rPr>
                <w:b/>
                <w:color w:val="000000"/>
                <w:sz w:val="22"/>
                <w:szCs w:val="22"/>
                <w:lang w:val="es-GT" w:eastAsia="es-GT"/>
              </w:rPr>
              <w:t xml:space="preserve">30,644.5 </w:t>
            </w:r>
          </w:p>
        </w:tc>
        <w:tc>
          <w:tcPr>
            <w:tcW w:w="1418" w:type="dxa"/>
            <w:tcBorders>
              <w:top w:val="nil"/>
              <w:left w:val="nil"/>
              <w:bottom w:val="nil"/>
              <w:right w:val="nil"/>
            </w:tcBorders>
            <w:shd w:val="clear" w:color="000000" w:fill="FFFFFF"/>
            <w:noWrap/>
            <w:vAlign w:val="bottom"/>
            <w:hideMark/>
          </w:tcPr>
          <w:p w:rsidR="00E425C1" w:rsidRPr="00093265" w:rsidRDefault="00E425C1" w:rsidP="00E4580C">
            <w:pPr>
              <w:jc w:val="right"/>
              <w:rPr>
                <w:b/>
                <w:color w:val="000000"/>
                <w:sz w:val="22"/>
                <w:szCs w:val="22"/>
                <w:lang w:val="es-GT" w:eastAsia="es-GT"/>
              </w:rPr>
            </w:pPr>
            <w:r w:rsidRPr="00093265">
              <w:rPr>
                <w:b/>
                <w:color w:val="000000"/>
                <w:sz w:val="22"/>
                <w:szCs w:val="22"/>
                <w:lang w:val="es-GT" w:eastAsia="es-GT"/>
              </w:rPr>
              <w:t xml:space="preserve">32,503.6 </w:t>
            </w:r>
          </w:p>
        </w:tc>
        <w:tc>
          <w:tcPr>
            <w:tcW w:w="1391" w:type="dxa"/>
            <w:tcBorders>
              <w:top w:val="nil"/>
              <w:left w:val="nil"/>
              <w:bottom w:val="nil"/>
              <w:right w:val="nil"/>
            </w:tcBorders>
            <w:shd w:val="clear" w:color="000000" w:fill="FFFFFF"/>
            <w:noWrap/>
            <w:vAlign w:val="bottom"/>
            <w:hideMark/>
          </w:tcPr>
          <w:p w:rsidR="00E425C1" w:rsidRPr="00093265" w:rsidRDefault="00E425C1" w:rsidP="00E4580C">
            <w:pPr>
              <w:jc w:val="right"/>
              <w:rPr>
                <w:b/>
                <w:color w:val="000000"/>
                <w:sz w:val="22"/>
                <w:szCs w:val="22"/>
                <w:lang w:val="es-GT" w:eastAsia="es-GT"/>
              </w:rPr>
            </w:pPr>
            <w:r w:rsidRPr="00093265">
              <w:rPr>
                <w:b/>
                <w:color w:val="000000"/>
                <w:sz w:val="22"/>
                <w:szCs w:val="22"/>
                <w:lang w:val="es-GT" w:eastAsia="es-GT"/>
              </w:rPr>
              <w:t xml:space="preserve">37,890.0 </w:t>
            </w:r>
          </w:p>
        </w:tc>
      </w:tr>
    </w:tbl>
    <w:p w:rsidR="00E425C1" w:rsidRDefault="00DD2E5D" w:rsidP="00E425C1">
      <w:pPr>
        <w:jc w:val="both"/>
        <w:rPr>
          <w:sz w:val="18"/>
          <w:lang w:val="es-MX"/>
        </w:rPr>
      </w:pPr>
      <w:r>
        <w:rPr>
          <w:sz w:val="18"/>
          <w:lang w:val="es-MX"/>
        </w:rPr>
        <w:t xml:space="preserve">           </w:t>
      </w:r>
      <w:r w:rsidR="00E425C1" w:rsidRPr="00240C29">
        <w:rPr>
          <w:sz w:val="18"/>
          <w:lang w:val="es-MX"/>
        </w:rPr>
        <w:t>* Cifras preliminares.</w:t>
      </w:r>
    </w:p>
    <w:p w:rsidR="00DD2E5D" w:rsidRPr="00240C29" w:rsidRDefault="00DD2E5D" w:rsidP="00DD2E5D">
      <w:pPr>
        <w:jc w:val="both"/>
        <w:rPr>
          <w:sz w:val="18"/>
          <w:lang w:val="es-MX"/>
        </w:rPr>
      </w:pPr>
      <w:r>
        <w:rPr>
          <w:sz w:val="18"/>
          <w:lang w:val="es-MX"/>
        </w:rPr>
        <w:t xml:space="preserve">              </w:t>
      </w:r>
      <w:r w:rsidRPr="00240C29">
        <w:rPr>
          <w:sz w:val="18"/>
          <w:lang w:val="es-MX"/>
        </w:rPr>
        <w:t>Fuente: Ministerio de Finanzas Públicas con base al SICOIN.</w:t>
      </w:r>
    </w:p>
    <w:p w:rsidR="00DD2E5D" w:rsidRPr="00240C29" w:rsidRDefault="00DD2E5D" w:rsidP="00E425C1">
      <w:pPr>
        <w:jc w:val="both"/>
        <w:rPr>
          <w:sz w:val="18"/>
          <w:lang w:val="es-MX"/>
        </w:rPr>
      </w:pPr>
    </w:p>
    <w:p w:rsidR="00E425C1" w:rsidRPr="00395AB6" w:rsidRDefault="00E425C1" w:rsidP="00E425C1">
      <w:pPr>
        <w:jc w:val="both"/>
        <w:rPr>
          <w:lang w:val="es-MX"/>
        </w:rPr>
      </w:pPr>
    </w:p>
    <w:p w:rsidR="00E425C1" w:rsidRPr="00395AB6" w:rsidRDefault="00E425C1" w:rsidP="00E425C1">
      <w:pPr>
        <w:jc w:val="both"/>
        <w:rPr>
          <w:lang w:val="es-MX"/>
        </w:rPr>
      </w:pPr>
    </w:p>
    <w:p w:rsidR="00E425C1" w:rsidRPr="00FB641E" w:rsidRDefault="00E425C1" w:rsidP="00E425C1">
      <w:pPr>
        <w:keepNext/>
        <w:keepLines/>
        <w:numPr>
          <w:ilvl w:val="2"/>
          <w:numId w:val="4"/>
        </w:numPr>
        <w:spacing w:before="200"/>
        <w:outlineLvl w:val="2"/>
        <w:rPr>
          <w:b/>
          <w:bCs/>
          <w:lang w:val="es-MX"/>
        </w:rPr>
      </w:pPr>
      <w:bookmarkStart w:id="16" w:name="_Toc20495569"/>
      <w:r w:rsidRPr="00FB641E">
        <w:rPr>
          <w:b/>
          <w:bCs/>
          <w:lang w:val="es-MX"/>
        </w:rPr>
        <w:t xml:space="preserve">Gasto </w:t>
      </w:r>
      <w:r>
        <w:rPr>
          <w:b/>
          <w:bCs/>
          <w:lang w:val="es-MX"/>
        </w:rPr>
        <w:t>E</w:t>
      </w:r>
      <w:r w:rsidRPr="00FB641E">
        <w:rPr>
          <w:b/>
          <w:bCs/>
          <w:lang w:val="es-MX"/>
        </w:rPr>
        <w:t xml:space="preserve">jecutado a través de </w:t>
      </w:r>
      <w:r>
        <w:rPr>
          <w:b/>
          <w:bCs/>
          <w:lang w:val="es-MX"/>
        </w:rPr>
        <w:t>F</w:t>
      </w:r>
      <w:r w:rsidRPr="00FB641E">
        <w:rPr>
          <w:b/>
          <w:bCs/>
          <w:lang w:val="es-MX"/>
        </w:rPr>
        <w:t>ideicomisos</w:t>
      </w:r>
      <w:bookmarkEnd w:id="16"/>
    </w:p>
    <w:p w:rsidR="00E425C1" w:rsidRDefault="00E425C1" w:rsidP="00E425C1">
      <w:pPr>
        <w:jc w:val="both"/>
        <w:rPr>
          <w:lang w:val="es-MX"/>
        </w:rPr>
      </w:pPr>
    </w:p>
    <w:p w:rsidR="00E4580C" w:rsidRDefault="00E4580C" w:rsidP="00E4580C">
      <w:pPr>
        <w:jc w:val="both"/>
        <w:rPr>
          <w:lang w:val="es-MX"/>
        </w:rPr>
      </w:pPr>
      <w:r w:rsidRPr="00FB641E">
        <w:rPr>
          <w:lang w:val="es-MX"/>
        </w:rPr>
        <w:t>Al 30 de junio de 201</w:t>
      </w:r>
      <w:r>
        <w:rPr>
          <w:lang w:val="es-MX"/>
        </w:rPr>
        <w:t>9</w:t>
      </w:r>
      <w:r w:rsidRPr="00FB641E">
        <w:rPr>
          <w:lang w:val="es-MX"/>
        </w:rPr>
        <w:t xml:space="preserve">, la ejecución </w:t>
      </w:r>
      <w:r>
        <w:rPr>
          <w:lang w:val="es-MX"/>
        </w:rPr>
        <w:t xml:space="preserve">a través de </w:t>
      </w:r>
      <w:r w:rsidRPr="00FB641E">
        <w:rPr>
          <w:lang w:val="es-MX"/>
        </w:rPr>
        <w:t>fideicomisos</w:t>
      </w:r>
      <w:r w:rsidRPr="004720E6">
        <w:rPr>
          <w:vertAlign w:val="superscript"/>
        </w:rPr>
        <w:footnoteReference w:id="2"/>
      </w:r>
      <w:r>
        <w:rPr>
          <w:lang w:val="es-MX"/>
        </w:rPr>
        <w:t xml:space="preserve"> aumentó en Q.63.3 millones respecto de lo observado en el mismo período de 2018, pasando de Q.277.7 millones (0.9%) a Q.341.0 millones en 2019, (0.9%) de la ejecución total.</w:t>
      </w:r>
    </w:p>
    <w:p w:rsidR="00E4580C" w:rsidRDefault="00E4580C" w:rsidP="00E4580C">
      <w:pPr>
        <w:jc w:val="both"/>
        <w:rPr>
          <w:lang w:val="es-MX"/>
        </w:rPr>
      </w:pPr>
    </w:p>
    <w:p w:rsidR="00E4580C" w:rsidRPr="00FB641E" w:rsidRDefault="00E4580C" w:rsidP="00E4580C">
      <w:pPr>
        <w:jc w:val="both"/>
        <w:rPr>
          <w:lang w:val="es-MX"/>
        </w:rPr>
      </w:pPr>
      <w:r>
        <w:rPr>
          <w:lang w:val="es-MX"/>
        </w:rPr>
        <w:t xml:space="preserve">Resalta el incremento en 2019 respecto de 2018, en los fideicomisos del Fondo de Protección Social Q.51.5 millones, el fideicomiso Inversión para la vivienda Q.16.2 millones, el </w:t>
      </w:r>
      <w:r w:rsidRPr="00443359">
        <w:rPr>
          <w:lang w:val="es-GT" w:eastAsia="es-GT"/>
        </w:rPr>
        <w:t>Fondo Nacional para la Reactivación y Modernización de la Actividad Agropecuaria</w:t>
      </w:r>
      <w:r>
        <w:rPr>
          <w:lang w:val="es-GT" w:eastAsia="es-GT"/>
        </w:rPr>
        <w:t xml:space="preserve"> con Q.9.4 millones y el </w:t>
      </w:r>
      <w:r w:rsidRPr="00443359">
        <w:rPr>
          <w:lang w:val="es-GT" w:eastAsia="es-GT"/>
        </w:rPr>
        <w:t>Fondo de Desarrollo Indígena Guatemalteco</w:t>
      </w:r>
      <w:r>
        <w:rPr>
          <w:lang w:val="es-GT" w:eastAsia="es-GT"/>
        </w:rPr>
        <w:t xml:space="preserve"> con Q.3.8 millones. </w:t>
      </w:r>
      <w:r>
        <w:rPr>
          <w:lang w:val="es-MX"/>
        </w:rPr>
        <w:t>Asimismo, es conveniente mencionar que el Fideicomiso del Fondo Social de Solidaridad disminuyó en Q.20.7 millones en relación a lo observado en 2018.</w:t>
      </w:r>
    </w:p>
    <w:p w:rsidR="00E4580C" w:rsidRDefault="00E4580C" w:rsidP="00E4580C">
      <w:pPr>
        <w:jc w:val="both"/>
        <w:rPr>
          <w:lang w:val="es-MX"/>
        </w:rPr>
      </w:pPr>
    </w:p>
    <w:p w:rsidR="00E4580C" w:rsidRPr="0088577C" w:rsidRDefault="00E4580C" w:rsidP="00E4580C">
      <w:pPr>
        <w:jc w:val="center"/>
        <w:rPr>
          <w:b/>
          <w:sz w:val="22"/>
          <w:szCs w:val="22"/>
          <w:lang w:val="es-MX"/>
        </w:rPr>
      </w:pPr>
      <w:r w:rsidRPr="0088577C">
        <w:rPr>
          <w:b/>
          <w:sz w:val="22"/>
          <w:szCs w:val="22"/>
          <w:lang w:val="es-MX"/>
        </w:rPr>
        <w:lastRenderedPageBreak/>
        <w:t xml:space="preserve">Cuadro </w:t>
      </w:r>
      <w:r w:rsidR="00254602">
        <w:rPr>
          <w:b/>
          <w:sz w:val="22"/>
          <w:szCs w:val="22"/>
          <w:lang w:val="es-MX"/>
        </w:rPr>
        <w:t>10</w:t>
      </w:r>
    </w:p>
    <w:p w:rsidR="00E4580C" w:rsidRPr="0088577C" w:rsidRDefault="00E4580C" w:rsidP="00E4580C">
      <w:pPr>
        <w:jc w:val="center"/>
        <w:rPr>
          <w:b/>
          <w:sz w:val="22"/>
          <w:szCs w:val="22"/>
          <w:lang w:val="es-MX"/>
        </w:rPr>
      </w:pPr>
      <w:r w:rsidRPr="0088577C">
        <w:rPr>
          <w:b/>
          <w:sz w:val="22"/>
          <w:szCs w:val="22"/>
          <w:lang w:val="es-MX"/>
        </w:rPr>
        <w:t>Ejecución Presupuestaria a través de Fideicomisos</w:t>
      </w:r>
    </w:p>
    <w:p w:rsidR="00E4580C" w:rsidRPr="0088577C" w:rsidRDefault="00E4580C" w:rsidP="00E4580C">
      <w:pPr>
        <w:jc w:val="center"/>
        <w:rPr>
          <w:b/>
          <w:sz w:val="22"/>
          <w:szCs w:val="22"/>
          <w:lang w:val="es-MX"/>
        </w:rPr>
      </w:pPr>
      <w:r w:rsidRPr="0088577C">
        <w:rPr>
          <w:b/>
          <w:sz w:val="22"/>
          <w:szCs w:val="22"/>
          <w:lang w:val="es-MX"/>
        </w:rPr>
        <w:t xml:space="preserve">Al 30 de junio </w:t>
      </w:r>
      <w:r>
        <w:rPr>
          <w:b/>
          <w:sz w:val="22"/>
          <w:szCs w:val="22"/>
          <w:lang w:val="es-MX"/>
        </w:rPr>
        <w:t>de cada año</w:t>
      </w:r>
    </w:p>
    <w:p w:rsidR="00E4580C" w:rsidRPr="0088577C" w:rsidRDefault="00E4580C" w:rsidP="00E4580C">
      <w:pPr>
        <w:jc w:val="center"/>
        <w:rPr>
          <w:b/>
          <w:sz w:val="22"/>
          <w:szCs w:val="22"/>
          <w:lang w:val="es-MX"/>
        </w:rPr>
      </w:pPr>
      <w:r w:rsidRPr="0088577C">
        <w:rPr>
          <w:b/>
          <w:sz w:val="22"/>
          <w:szCs w:val="22"/>
          <w:lang w:val="es-MX"/>
        </w:rPr>
        <w:t xml:space="preserve"> (Cifras en Millones de Quetzales)</w:t>
      </w:r>
    </w:p>
    <w:tbl>
      <w:tblPr>
        <w:tblW w:w="9073" w:type="dxa"/>
        <w:tblInd w:w="55" w:type="dxa"/>
        <w:tblCellMar>
          <w:left w:w="70" w:type="dxa"/>
          <w:right w:w="70" w:type="dxa"/>
        </w:tblCellMar>
        <w:tblLook w:val="04A0" w:firstRow="1" w:lastRow="0" w:firstColumn="1" w:lastColumn="0" w:noHBand="0" w:noVBand="1"/>
      </w:tblPr>
      <w:tblGrid>
        <w:gridCol w:w="4666"/>
        <w:gridCol w:w="1055"/>
        <w:gridCol w:w="1055"/>
        <w:gridCol w:w="1154"/>
        <w:gridCol w:w="1143"/>
      </w:tblGrid>
      <w:tr w:rsidR="00E4580C" w:rsidRPr="00A55468" w:rsidTr="007B4C10">
        <w:trPr>
          <w:trHeight w:val="300"/>
        </w:trPr>
        <w:tc>
          <w:tcPr>
            <w:tcW w:w="4666" w:type="dxa"/>
            <w:vMerge w:val="restart"/>
            <w:tcBorders>
              <w:top w:val="single" w:sz="8" w:space="0" w:color="auto"/>
              <w:left w:val="single" w:sz="8" w:space="0" w:color="auto"/>
              <w:bottom w:val="single" w:sz="4" w:space="0" w:color="000000"/>
              <w:right w:val="single" w:sz="4" w:space="0" w:color="auto"/>
            </w:tcBorders>
            <w:shd w:val="clear" w:color="000000" w:fill="8DB4E2"/>
            <w:vAlign w:val="center"/>
            <w:hideMark/>
          </w:tcPr>
          <w:p w:rsidR="00E4580C" w:rsidRPr="00A55468" w:rsidRDefault="00E4580C" w:rsidP="00774B0C">
            <w:pPr>
              <w:jc w:val="center"/>
              <w:rPr>
                <w:b/>
                <w:bCs/>
                <w:sz w:val="22"/>
                <w:szCs w:val="22"/>
                <w:lang w:val="es-GT" w:eastAsia="es-GT"/>
              </w:rPr>
            </w:pPr>
            <w:r w:rsidRPr="00A55468">
              <w:rPr>
                <w:b/>
                <w:bCs/>
                <w:sz w:val="22"/>
                <w:szCs w:val="22"/>
                <w:lang w:val="es-GT" w:eastAsia="es-GT"/>
              </w:rPr>
              <w:t>Descripción</w:t>
            </w:r>
          </w:p>
        </w:tc>
        <w:tc>
          <w:tcPr>
            <w:tcW w:w="105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A55468" w:rsidRDefault="00E4580C" w:rsidP="00774B0C">
            <w:pPr>
              <w:jc w:val="center"/>
              <w:rPr>
                <w:b/>
                <w:bCs/>
                <w:sz w:val="22"/>
                <w:szCs w:val="22"/>
                <w:lang w:val="es-GT" w:eastAsia="es-GT"/>
              </w:rPr>
            </w:pPr>
            <w:r w:rsidRPr="00A55468">
              <w:rPr>
                <w:b/>
                <w:bCs/>
                <w:sz w:val="22"/>
                <w:szCs w:val="22"/>
                <w:lang w:val="es-GT" w:eastAsia="es-GT"/>
              </w:rPr>
              <w:t>2018</w:t>
            </w:r>
          </w:p>
        </w:tc>
        <w:tc>
          <w:tcPr>
            <w:tcW w:w="105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A55468" w:rsidRDefault="00E4580C" w:rsidP="00774B0C">
            <w:pPr>
              <w:jc w:val="center"/>
              <w:rPr>
                <w:b/>
                <w:bCs/>
                <w:sz w:val="22"/>
                <w:szCs w:val="22"/>
                <w:lang w:val="es-GT" w:eastAsia="es-GT"/>
              </w:rPr>
            </w:pPr>
            <w:r w:rsidRPr="00A55468">
              <w:rPr>
                <w:b/>
                <w:bCs/>
                <w:sz w:val="22"/>
                <w:szCs w:val="22"/>
                <w:lang w:val="es-GT" w:eastAsia="es-GT"/>
              </w:rPr>
              <w:t>2019</w:t>
            </w:r>
          </w:p>
        </w:tc>
        <w:tc>
          <w:tcPr>
            <w:tcW w:w="2297" w:type="dxa"/>
            <w:gridSpan w:val="2"/>
            <w:tcBorders>
              <w:top w:val="single" w:sz="8" w:space="0" w:color="auto"/>
              <w:left w:val="single" w:sz="4" w:space="0" w:color="auto"/>
              <w:bottom w:val="single" w:sz="4" w:space="0" w:color="auto"/>
              <w:right w:val="single" w:sz="8" w:space="0" w:color="000000"/>
            </w:tcBorders>
            <w:shd w:val="clear" w:color="000000" w:fill="8DB4E2"/>
            <w:noWrap/>
            <w:vAlign w:val="center"/>
            <w:hideMark/>
          </w:tcPr>
          <w:p w:rsidR="00E4580C" w:rsidRPr="00A55468" w:rsidRDefault="00E4580C" w:rsidP="007B4C10">
            <w:pPr>
              <w:jc w:val="center"/>
              <w:rPr>
                <w:b/>
                <w:bCs/>
                <w:sz w:val="22"/>
                <w:szCs w:val="22"/>
                <w:lang w:val="es-GT" w:eastAsia="es-GT"/>
              </w:rPr>
            </w:pPr>
            <w:r w:rsidRPr="00A55468">
              <w:rPr>
                <w:b/>
                <w:bCs/>
                <w:sz w:val="22"/>
                <w:szCs w:val="22"/>
                <w:lang w:val="es-GT" w:eastAsia="es-GT"/>
              </w:rPr>
              <w:t>Diferencias</w:t>
            </w:r>
          </w:p>
        </w:tc>
      </w:tr>
      <w:tr w:rsidR="00E4580C" w:rsidRPr="00A55468" w:rsidTr="007B4C10">
        <w:trPr>
          <w:trHeight w:val="300"/>
        </w:trPr>
        <w:tc>
          <w:tcPr>
            <w:tcW w:w="4666" w:type="dxa"/>
            <w:vMerge/>
            <w:tcBorders>
              <w:top w:val="single" w:sz="8" w:space="0" w:color="auto"/>
              <w:left w:val="single" w:sz="8" w:space="0" w:color="auto"/>
              <w:bottom w:val="single" w:sz="4" w:space="0" w:color="000000"/>
              <w:right w:val="single" w:sz="4" w:space="0" w:color="auto"/>
            </w:tcBorders>
            <w:vAlign w:val="center"/>
            <w:hideMark/>
          </w:tcPr>
          <w:p w:rsidR="00E4580C" w:rsidRPr="00A55468" w:rsidRDefault="00E4580C" w:rsidP="00774B0C">
            <w:pPr>
              <w:rPr>
                <w:b/>
                <w:bCs/>
                <w:sz w:val="22"/>
                <w:szCs w:val="22"/>
                <w:lang w:val="es-GT" w:eastAsia="es-GT"/>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E4580C" w:rsidRPr="00A55468" w:rsidRDefault="00E4580C" w:rsidP="00774B0C">
            <w:pPr>
              <w:rPr>
                <w:b/>
                <w:bCs/>
                <w:sz w:val="22"/>
                <w:szCs w:val="22"/>
                <w:lang w:val="es-GT" w:eastAsia="es-GT"/>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E4580C" w:rsidRPr="00A55468" w:rsidRDefault="00E4580C" w:rsidP="00774B0C">
            <w:pPr>
              <w:rPr>
                <w:b/>
                <w:bCs/>
                <w:sz w:val="22"/>
                <w:szCs w:val="22"/>
                <w:lang w:val="es-GT" w:eastAsia="es-GT"/>
              </w:rPr>
            </w:pPr>
          </w:p>
        </w:tc>
        <w:tc>
          <w:tcPr>
            <w:tcW w:w="1154" w:type="dxa"/>
            <w:tcBorders>
              <w:top w:val="nil"/>
              <w:left w:val="nil"/>
              <w:bottom w:val="single" w:sz="4" w:space="0" w:color="auto"/>
              <w:right w:val="single" w:sz="4" w:space="0" w:color="auto"/>
            </w:tcBorders>
            <w:shd w:val="clear" w:color="000000" w:fill="8DB4E2"/>
            <w:noWrap/>
            <w:vAlign w:val="center"/>
            <w:hideMark/>
          </w:tcPr>
          <w:p w:rsidR="00E4580C" w:rsidRPr="00A55468" w:rsidRDefault="00E4580C" w:rsidP="007B4C10">
            <w:pPr>
              <w:jc w:val="center"/>
              <w:rPr>
                <w:b/>
                <w:bCs/>
                <w:sz w:val="22"/>
                <w:szCs w:val="22"/>
                <w:lang w:val="es-GT" w:eastAsia="es-GT"/>
              </w:rPr>
            </w:pPr>
            <w:r w:rsidRPr="00A55468">
              <w:rPr>
                <w:b/>
                <w:bCs/>
                <w:sz w:val="22"/>
                <w:szCs w:val="22"/>
                <w:lang w:val="es-GT" w:eastAsia="es-GT"/>
              </w:rPr>
              <w:t>Absolutas</w:t>
            </w:r>
          </w:p>
        </w:tc>
        <w:tc>
          <w:tcPr>
            <w:tcW w:w="1143" w:type="dxa"/>
            <w:tcBorders>
              <w:top w:val="nil"/>
              <w:left w:val="nil"/>
              <w:bottom w:val="single" w:sz="4" w:space="0" w:color="auto"/>
              <w:right w:val="single" w:sz="8" w:space="0" w:color="auto"/>
            </w:tcBorders>
            <w:shd w:val="clear" w:color="000000" w:fill="8DB4E2"/>
            <w:noWrap/>
            <w:vAlign w:val="center"/>
            <w:hideMark/>
          </w:tcPr>
          <w:p w:rsidR="00E4580C" w:rsidRPr="00A55468" w:rsidRDefault="00E4580C" w:rsidP="007B4C10">
            <w:pPr>
              <w:jc w:val="center"/>
              <w:rPr>
                <w:b/>
                <w:bCs/>
                <w:sz w:val="22"/>
                <w:szCs w:val="22"/>
                <w:lang w:val="es-GT" w:eastAsia="es-GT"/>
              </w:rPr>
            </w:pPr>
            <w:r w:rsidRPr="00A55468">
              <w:rPr>
                <w:b/>
                <w:bCs/>
                <w:sz w:val="22"/>
                <w:szCs w:val="22"/>
                <w:lang w:val="es-GT" w:eastAsia="es-GT"/>
              </w:rPr>
              <w:t>Relativas</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jc w:val="center"/>
              <w:rPr>
                <w:b/>
                <w:bCs/>
                <w:sz w:val="22"/>
                <w:szCs w:val="22"/>
                <w:lang w:val="es-GT" w:eastAsia="es-GT"/>
              </w:rPr>
            </w:pPr>
            <w:r w:rsidRPr="00A55468">
              <w:rPr>
                <w:b/>
                <w:bCs/>
                <w:sz w:val="22"/>
                <w:szCs w:val="22"/>
                <w:lang w:val="es-GT" w:eastAsia="es-GT"/>
              </w:rPr>
              <w:t>Total</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277.7</w:t>
            </w:r>
          </w:p>
        </w:tc>
        <w:tc>
          <w:tcPr>
            <w:tcW w:w="1055" w:type="dxa"/>
            <w:tcBorders>
              <w:top w:val="nil"/>
              <w:left w:val="nil"/>
              <w:bottom w:val="nil"/>
              <w:right w:val="single" w:sz="4" w:space="0" w:color="auto"/>
            </w:tcBorders>
            <w:shd w:val="clear" w:color="000000" w:fill="auto"/>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341.0</w:t>
            </w:r>
          </w:p>
        </w:tc>
        <w:tc>
          <w:tcPr>
            <w:tcW w:w="1154" w:type="dxa"/>
            <w:tcBorders>
              <w:top w:val="nil"/>
              <w:left w:val="nil"/>
              <w:bottom w:val="nil"/>
              <w:right w:val="single" w:sz="4" w:space="0" w:color="auto"/>
            </w:tcBorders>
            <w:shd w:val="clear" w:color="000000" w:fill="auto"/>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63.3</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b/>
                <w:bCs/>
                <w:sz w:val="22"/>
                <w:szCs w:val="22"/>
                <w:lang w:val="es-GT" w:eastAsia="es-GT"/>
              </w:rPr>
            </w:pPr>
            <w:r w:rsidRPr="00A55468">
              <w:rPr>
                <w:b/>
                <w:bCs/>
                <w:sz w:val="22"/>
                <w:szCs w:val="22"/>
                <w:lang w:val="es-GT" w:eastAsia="es-GT"/>
              </w:rPr>
              <w:t>22.8%</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hideMark/>
          </w:tcPr>
          <w:p w:rsidR="00E4580C" w:rsidRPr="00A55468" w:rsidRDefault="00E4580C" w:rsidP="00774B0C">
            <w:pPr>
              <w:rPr>
                <w:sz w:val="22"/>
                <w:szCs w:val="22"/>
                <w:lang w:val="es-GT" w:eastAsia="es-GT"/>
              </w:rPr>
            </w:pPr>
            <w:r w:rsidRPr="00A55468">
              <w:rPr>
                <w:sz w:val="22"/>
                <w:szCs w:val="22"/>
                <w:lang w:val="es-GT" w:eastAsia="es-GT"/>
              </w:rPr>
              <w:t xml:space="preserve">Fondo Nacional para la Conservación de la Naturaleza </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1.0</w:t>
            </w:r>
          </w:p>
        </w:tc>
        <w:tc>
          <w:tcPr>
            <w:tcW w:w="1055" w:type="dxa"/>
            <w:tcBorders>
              <w:top w:val="nil"/>
              <w:left w:val="nil"/>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0.6</w:t>
            </w:r>
          </w:p>
        </w:tc>
        <w:tc>
          <w:tcPr>
            <w:tcW w:w="1154" w:type="dxa"/>
            <w:tcBorders>
              <w:top w:val="nil"/>
              <w:left w:val="nil"/>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-0.4</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-41.7%</w:t>
            </w:r>
          </w:p>
        </w:tc>
      </w:tr>
      <w:tr w:rsidR="00E4580C" w:rsidRPr="00A55468" w:rsidTr="00A55468">
        <w:trPr>
          <w:trHeight w:val="480"/>
        </w:trPr>
        <w:tc>
          <w:tcPr>
            <w:tcW w:w="4666" w:type="dxa"/>
            <w:tcBorders>
              <w:top w:val="nil"/>
              <w:left w:val="single" w:sz="8" w:space="0" w:color="auto"/>
              <w:bottom w:val="nil"/>
              <w:right w:val="single" w:sz="4" w:space="0" w:color="auto"/>
            </w:tcBorders>
            <w:shd w:val="clear" w:color="000000" w:fill="auto"/>
            <w:hideMark/>
          </w:tcPr>
          <w:p w:rsidR="00E4580C" w:rsidRPr="00A55468" w:rsidRDefault="00E4580C" w:rsidP="00774B0C">
            <w:pPr>
              <w:rPr>
                <w:sz w:val="22"/>
                <w:szCs w:val="22"/>
                <w:lang w:val="es-GT" w:eastAsia="es-GT"/>
              </w:rPr>
            </w:pPr>
            <w:r w:rsidRPr="00A55468">
              <w:rPr>
                <w:sz w:val="22"/>
                <w:szCs w:val="22"/>
                <w:lang w:val="es-GT" w:eastAsia="es-GT"/>
              </w:rPr>
              <w:t>Fondo Nacional para la Reactivación y Modernización de la Actividad Agropecuaria</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22.9</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32.3</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9.4</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41.2%</w:t>
            </w:r>
          </w:p>
        </w:tc>
      </w:tr>
      <w:tr w:rsidR="00E4580C" w:rsidRPr="00A55468" w:rsidTr="00A55468">
        <w:trPr>
          <w:trHeight w:val="544"/>
        </w:trPr>
        <w:tc>
          <w:tcPr>
            <w:tcW w:w="4666" w:type="dxa"/>
            <w:tcBorders>
              <w:top w:val="nil"/>
              <w:left w:val="single" w:sz="8" w:space="0" w:color="auto"/>
              <w:bottom w:val="nil"/>
              <w:right w:val="single" w:sz="4" w:space="0" w:color="auto"/>
            </w:tcBorders>
            <w:shd w:val="clear" w:color="000000" w:fill="auto"/>
            <w:hideMark/>
          </w:tcPr>
          <w:p w:rsidR="00E4580C" w:rsidRPr="00A55468" w:rsidRDefault="00E4580C" w:rsidP="00774B0C">
            <w:pPr>
              <w:rPr>
                <w:sz w:val="22"/>
                <w:szCs w:val="22"/>
                <w:lang w:val="es-GT" w:eastAsia="es-GT"/>
              </w:rPr>
            </w:pPr>
            <w:r w:rsidRPr="00A55468">
              <w:rPr>
                <w:sz w:val="22"/>
                <w:szCs w:val="22"/>
                <w:lang w:val="es-GT" w:eastAsia="es-GT"/>
              </w:rPr>
              <w:t>Apoyo Financiero para los Productores del Sector Cafetalero</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 </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2.9</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2.9</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w:t>
            </w:r>
          </w:p>
        </w:tc>
      </w:tr>
      <w:tr w:rsidR="00E4580C" w:rsidRPr="00A55468" w:rsidTr="00A55468">
        <w:trPr>
          <w:trHeight w:val="14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Fondo de Protección Social</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117.4</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168.9</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51.5</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43.8%</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Fondo Social de Solidaridad</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105.6</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84.9</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-20.7</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-19.6%</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Fondo de Desarrollo Indígena Guatemalteco</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8.0</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11.8</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3.8</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46.7%</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Inversión para la Vivienda</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20.0</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36.2</w:t>
            </w: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16.2</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80.6%</w:t>
            </w:r>
          </w:p>
        </w:tc>
      </w:tr>
      <w:tr w:rsidR="00E4580C" w:rsidRPr="00A55468" w:rsidTr="00E4580C">
        <w:trPr>
          <w:trHeight w:val="300"/>
        </w:trPr>
        <w:tc>
          <w:tcPr>
            <w:tcW w:w="4666" w:type="dxa"/>
            <w:tcBorders>
              <w:top w:val="nil"/>
              <w:left w:val="single" w:sz="8" w:space="0" w:color="auto"/>
              <w:bottom w:val="nil"/>
              <w:right w:val="single" w:sz="4" w:space="0" w:color="auto"/>
            </w:tcBorders>
            <w:shd w:val="clear" w:color="000000" w:fill="auto"/>
            <w:vAlign w:val="bottom"/>
            <w:hideMark/>
          </w:tcPr>
          <w:p w:rsidR="00E4580C" w:rsidRPr="00A55468" w:rsidRDefault="009F45F3" w:rsidP="00774B0C">
            <w:pPr>
              <w:rPr>
                <w:sz w:val="22"/>
                <w:szCs w:val="22"/>
                <w:lang w:val="es-GT" w:eastAsia="es-GT"/>
              </w:rPr>
            </w:pPr>
            <w:r>
              <w:rPr>
                <w:sz w:val="22"/>
                <w:szCs w:val="22"/>
                <w:lang w:val="es-GT" w:eastAsia="es-GT"/>
              </w:rPr>
              <w:t xml:space="preserve">Fondo de </w:t>
            </w:r>
            <w:r w:rsidR="00E4580C" w:rsidRPr="00A55468">
              <w:rPr>
                <w:sz w:val="22"/>
                <w:szCs w:val="22"/>
                <w:lang w:val="es-GT" w:eastAsia="es-GT"/>
              </w:rPr>
              <w:t>Desarrollo Social</w:t>
            </w:r>
          </w:p>
        </w:tc>
        <w:tc>
          <w:tcPr>
            <w:tcW w:w="1055" w:type="dxa"/>
            <w:tcBorders>
              <w:top w:val="nil"/>
              <w:left w:val="single" w:sz="4" w:space="0" w:color="auto"/>
              <w:bottom w:val="nil"/>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0.1</w:t>
            </w:r>
          </w:p>
        </w:tc>
        <w:tc>
          <w:tcPr>
            <w:tcW w:w="1055" w:type="dxa"/>
            <w:tcBorders>
              <w:top w:val="nil"/>
              <w:left w:val="nil"/>
              <w:bottom w:val="nil"/>
              <w:right w:val="nil"/>
            </w:tcBorders>
            <w:shd w:val="clear" w:color="000000" w:fill="auto"/>
            <w:noWrap/>
            <w:vAlign w:val="center"/>
            <w:hideMark/>
          </w:tcPr>
          <w:p w:rsidR="00E4580C" w:rsidRPr="00A55468" w:rsidRDefault="00E4580C" w:rsidP="00774B0C">
            <w:pPr>
              <w:jc w:val="right"/>
              <w:rPr>
                <w:color w:val="000000"/>
                <w:sz w:val="22"/>
                <w:szCs w:val="22"/>
                <w:lang w:val="es-GT" w:eastAsia="es-GT"/>
              </w:rPr>
            </w:pPr>
          </w:p>
        </w:tc>
        <w:tc>
          <w:tcPr>
            <w:tcW w:w="1154" w:type="dxa"/>
            <w:tcBorders>
              <w:top w:val="nil"/>
              <w:left w:val="single" w:sz="4" w:space="0" w:color="auto"/>
              <w:bottom w:val="nil"/>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-0.1</w:t>
            </w:r>
          </w:p>
        </w:tc>
        <w:tc>
          <w:tcPr>
            <w:tcW w:w="1143" w:type="dxa"/>
            <w:tcBorders>
              <w:top w:val="nil"/>
              <w:left w:val="nil"/>
              <w:bottom w:val="nil"/>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-100.0%</w:t>
            </w:r>
          </w:p>
        </w:tc>
      </w:tr>
      <w:tr w:rsidR="00E4580C" w:rsidRPr="00A55468" w:rsidTr="00E4580C">
        <w:trPr>
          <w:trHeight w:val="315"/>
        </w:trPr>
        <w:tc>
          <w:tcPr>
            <w:tcW w:w="4666" w:type="dxa"/>
            <w:tcBorders>
              <w:top w:val="nil"/>
              <w:left w:val="single" w:sz="8" w:space="0" w:color="auto"/>
              <w:bottom w:val="single" w:sz="8" w:space="0" w:color="auto"/>
              <w:right w:val="single" w:sz="4" w:space="0" w:color="auto"/>
            </w:tcBorders>
            <w:shd w:val="clear" w:color="000000" w:fill="auto"/>
            <w:vAlign w:val="bottom"/>
            <w:hideMark/>
          </w:tcPr>
          <w:p w:rsidR="00E4580C" w:rsidRPr="00A55468" w:rsidRDefault="00E4580C" w:rsidP="00774B0C">
            <w:pPr>
              <w:rPr>
                <w:sz w:val="22"/>
                <w:szCs w:val="22"/>
                <w:lang w:val="es-GT" w:eastAsia="es-GT"/>
              </w:rPr>
            </w:pPr>
            <w:r w:rsidRPr="00A55468">
              <w:rPr>
                <w:sz w:val="22"/>
                <w:szCs w:val="22"/>
                <w:lang w:val="es-GT" w:eastAsia="es-GT"/>
              </w:rPr>
              <w:t xml:space="preserve">Fondo Nacional de Ciencia y Tecnología  </w:t>
            </w:r>
          </w:p>
        </w:tc>
        <w:tc>
          <w:tcPr>
            <w:tcW w:w="1055" w:type="dxa"/>
            <w:tcBorders>
              <w:top w:val="nil"/>
              <w:left w:val="single" w:sz="4" w:space="0" w:color="auto"/>
              <w:bottom w:val="single" w:sz="8" w:space="0" w:color="auto"/>
              <w:right w:val="single" w:sz="4" w:space="0" w:color="auto"/>
            </w:tcBorders>
            <w:shd w:val="clear" w:color="000000" w:fill="auto"/>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2.6</w:t>
            </w:r>
          </w:p>
        </w:tc>
        <w:tc>
          <w:tcPr>
            <w:tcW w:w="1055" w:type="dxa"/>
            <w:tcBorders>
              <w:top w:val="nil"/>
              <w:left w:val="nil"/>
              <w:bottom w:val="single" w:sz="8" w:space="0" w:color="auto"/>
              <w:right w:val="single" w:sz="4" w:space="0" w:color="auto"/>
            </w:tcBorders>
            <w:shd w:val="clear" w:color="000000" w:fill="auto"/>
            <w:noWrap/>
            <w:vAlign w:val="center"/>
            <w:hideMark/>
          </w:tcPr>
          <w:p w:rsidR="00E4580C" w:rsidRPr="00A55468" w:rsidRDefault="00E4580C" w:rsidP="00774B0C">
            <w:pPr>
              <w:jc w:val="right"/>
              <w:rPr>
                <w:color w:val="000000"/>
                <w:sz w:val="22"/>
                <w:szCs w:val="22"/>
                <w:lang w:val="es-GT" w:eastAsia="es-GT"/>
              </w:rPr>
            </w:pPr>
            <w:r w:rsidRPr="00A55468">
              <w:rPr>
                <w:color w:val="000000"/>
                <w:sz w:val="22"/>
                <w:szCs w:val="22"/>
                <w:lang w:val="es-GT" w:eastAsia="es-GT"/>
              </w:rPr>
              <w:t>3.4</w:t>
            </w:r>
          </w:p>
        </w:tc>
        <w:tc>
          <w:tcPr>
            <w:tcW w:w="1154" w:type="dxa"/>
            <w:tcBorders>
              <w:top w:val="nil"/>
              <w:left w:val="nil"/>
              <w:bottom w:val="single" w:sz="8" w:space="0" w:color="auto"/>
              <w:right w:val="single" w:sz="4"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0.8</w:t>
            </w:r>
          </w:p>
        </w:tc>
        <w:tc>
          <w:tcPr>
            <w:tcW w:w="1143" w:type="dxa"/>
            <w:tcBorders>
              <w:top w:val="nil"/>
              <w:left w:val="nil"/>
              <w:bottom w:val="single" w:sz="8" w:space="0" w:color="auto"/>
              <w:right w:val="single" w:sz="8" w:space="0" w:color="auto"/>
            </w:tcBorders>
            <w:shd w:val="clear" w:color="000000" w:fill="FFFFFF"/>
            <w:noWrap/>
            <w:vAlign w:val="center"/>
            <w:hideMark/>
          </w:tcPr>
          <w:p w:rsidR="00E4580C" w:rsidRPr="00A55468" w:rsidRDefault="00E4580C" w:rsidP="00774B0C">
            <w:pPr>
              <w:jc w:val="right"/>
              <w:rPr>
                <w:sz w:val="22"/>
                <w:szCs w:val="22"/>
                <w:lang w:val="es-GT" w:eastAsia="es-GT"/>
              </w:rPr>
            </w:pPr>
            <w:r w:rsidRPr="00A55468">
              <w:rPr>
                <w:sz w:val="22"/>
                <w:szCs w:val="22"/>
                <w:lang w:val="es-GT" w:eastAsia="es-GT"/>
              </w:rPr>
              <w:t>32.3%</w:t>
            </w:r>
          </w:p>
        </w:tc>
      </w:tr>
      <w:tr w:rsidR="00E4580C" w:rsidRPr="00A55468" w:rsidTr="00E4580C">
        <w:trPr>
          <w:trHeight w:val="300"/>
        </w:trPr>
        <w:tc>
          <w:tcPr>
            <w:tcW w:w="4666" w:type="dxa"/>
            <w:tcBorders>
              <w:top w:val="single" w:sz="8" w:space="0" w:color="auto"/>
              <w:left w:val="nil"/>
              <w:bottom w:val="nil"/>
              <w:right w:val="nil"/>
            </w:tcBorders>
            <w:shd w:val="clear" w:color="000000" w:fill="FFFFFF"/>
            <w:vAlign w:val="bottom"/>
            <w:hideMark/>
          </w:tcPr>
          <w:p w:rsidR="00E4580C" w:rsidRPr="00A55468" w:rsidRDefault="00E4580C" w:rsidP="007B4C10">
            <w:pPr>
              <w:rPr>
                <w:b/>
                <w:sz w:val="22"/>
                <w:szCs w:val="22"/>
                <w:lang w:val="es-GT" w:eastAsia="es-GT"/>
              </w:rPr>
            </w:pPr>
            <w:r w:rsidRPr="00A55468">
              <w:rPr>
                <w:b/>
                <w:sz w:val="22"/>
                <w:szCs w:val="22"/>
                <w:lang w:val="es-GT" w:eastAsia="es-GT"/>
              </w:rPr>
              <w:t xml:space="preserve">Porcentaje </w:t>
            </w:r>
            <w:r w:rsidR="007B4C10">
              <w:rPr>
                <w:b/>
                <w:sz w:val="22"/>
                <w:szCs w:val="22"/>
                <w:lang w:val="es-GT" w:eastAsia="es-GT"/>
              </w:rPr>
              <w:t>sobre la</w:t>
            </w:r>
            <w:r w:rsidRPr="00A55468">
              <w:rPr>
                <w:b/>
                <w:sz w:val="22"/>
                <w:szCs w:val="22"/>
                <w:lang w:val="es-GT" w:eastAsia="es-GT"/>
              </w:rPr>
              <w:t xml:space="preserve"> Ejecución Presupuestaria</w:t>
            </w:r>
          </w:p>
        </w:tc>
        <w:tc>
          <w:tcPr>
            <w:tcW w:w="1055"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0.9%</w:t>
            </w:r>
          </w:p>
        </w:tc>
        <w:tc>
          <w:tcPr>
            <w:tcW w:w="1055"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0.9%</w:t>
            </w:r>
          </w:p>
        </w:tc>
        <w:tc>
          <w:tcPr>
            <w:tcW w:w="1154"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 </w:t>
            </w:r>
          </w:p>
        </w:tc>
        <w:tc>
          <w:tcPr>
            <w:tcW w:w="1143" w:type="dxa"/>
            <w:tcBorders>
              <w:top w:val="nil"/>
              <w:left w:val="nil"/>
              <w:bottom w:val="nil"/>
              <w:right w:val="nil"/>
            </w:tcBorders>
            <w:shd w:val="clear" w:color="000000" w:fill="FFFFFF"/>
            <w:noWrap/>
            <w:vAlign w:val="bottom"/>
            <w:hideMark/>
          </w:tcPr>
          <w:p w:rsidR="00E4580C" w:rsidRPr="00A55468" w:rsidRDefault="00E4580C" w:rsidP="00774B0C">
            <w:pPr>
              <w:jc w:val="right"/>
              <w:rPr>
                <w:b/>
                <w:sz w:val="22"/>
                <w:szCs w:val="22"/>
                <w:lang w:val="es-GT" w:eastAsia="es-GT"/>
              </w:rPr>
            </w:pPr>
            <w:r w:rsidRPr="00A55468">
              <w:rPr>
                <w:b/>
                <w:sz w:val="22"/>
                <w:szCs w:val="22"/>
                <w:lang w:val="es-GT" w:eastAsia="es-GT"/>
              </w:rPr>
              <w:t> </w:t>
            </w:r>
          </w:p>
        </w:tc>
      </w:tr>
    </w:tbl>
    <w:p w:rsidR="00E4580C" w:rsidRDefault="00E4580C" w:rsidP="00E4580C">
      <w:pPr>
        <w:jc w:val="both"/>
        <w:rPr>
          <w:sz w:val="18"/>
          <w:lang w:val="es-MX"/>
        </w:rPr>
      </w:pPr>
      <w:r w:rsidRPr="00E4580C">
        <w:rPr>
          <w:sz w:val="18"/>
          <w:lang w:val="es-MX"/>
        </w:rPr>
        <w:t>* Cifras preliminares.</w:t>
      </w:r>
    </w:p>
    <w:p w:rsidR="009F45F3" w:rsidRPr="00E4580C" w:rsidRDefault="009F45F3" w:rsidP="009F45F3">
      <w:pPr>
        <w:jc w:val="both"/>
        <w:rPr>
          <w:sz w:val="18"/>
          <w:lang w:val="es-MX"/>
        </w:rPr>
      </w:pPr>
      <w:r>
        <w:rPr>
          <w:sz w:val="18"/>
          <w:lang w:val="es-MX"/>
        </w:rPr>
        <w:t xml:space="preserve">    </w:t>
      </w:r>
      <w:r w:rsidRPr="00E4580C">
        <w:rPr>
          <w:sz w:val="18"/>
          <w:lang w:val="es-MX"/>
        </w:rPr>
        <w:t>Fuente: Ministerio de Finanzas Públicas con base al SICOIN.</w:t>
      </w:r>
    </w:p>
    <w:p w:rsidR="009F45F3" w:rsidRPr="00E4580C" w:rsidRDefault="009F45F3" w:rsidP="00E4580C">
      <w:pPr>
        <w:jc w:val="both"/>
        <w:rPr>
          <w:sz w:val="18"/>
          <w:lang w:val="es-MX"/>
        </w:rPr>
      </w:pPr>
    </w:p>
    <w:p w:rsidR="00E4580C" w:rsidRDefault="00E4580C" w:rsidP="00E425C1">
      <w:pPr>
        <w:jc w:val="both"/>
        <w:rPr>
          <w:lang w:val="es-MX"/>
        </w:rPr>
      </w:pPr>
    </w:p>
    <w:p w:rsidR="00E4580C" w:rsidRPr="00FB641E" w:rsidRDefault="00E4580C" w:rsidP="00E425C1">
      <w:pPr>
        <w:jc w:val="both"/>
        <w:rPr>
          <w:lang w:val="es-MX"/>
        </w:rPr>
      </w:pPr>
    </w:p>
    <w:p w:rsidR="00E425C1" w:rsidRPr="00FB641E" w:rsidRDefault="00E425C1" w:rsidP="00E425C1">
      <w:pPr>
        <w:keepNext/>
        <w:keepLines/>
        <w:numPr>
          <w:ilvl w:val="2"/>
          <w:numId w:val="4"/>
        </w:numPr>
        <w:spacing w:before="200"/>
        <w:outlineLvl w:val="2"/>
        <w:rPr>
          <w:b/>
          <w:bCs/>
          <w:lang w:val="es-MX"/>
        </w:rPr>
      </w:pPr>
      <w:bookmarkStart w:id="17" w:name="_Toc20495570"/>
      <w:r>
        <w:rPr>
          <w:b/>
          <w:bCs/>
          <w:lang w:val="es-MX"/>
        </w:rPr>
        <w:t>G</w:t>
      </w:r>
      <w:r w:rsidRPr="00FB641E">
        <w:rPr>
          <w:b/>
          <w:bCs/>
          <w:lang w:val="es-MX"/>
        </w:rPr>
        <w:t xml:space="preserve">asto </w:t>
      </w:r>
      <w:r>
        <w:rPr>
          <w:b/>
          <w:bCs/>
          <w:lang w:val="es-MX"/>
        </w:rPr>
        <w:t>E</w:t>
      </w:r>
      <w:r w:rsidRPr="00FB641E">
        <w:rPr>
          <w:b/>
          <w:bCs/>
          <w:lang w:val="es-MX"/>
        </w:rPr>
        <w:t>jecutado a través de Organizaciones No Gubernamentales</w:t>
      </w:r>
      <w:r w:rsidRPr="00093265">
        <w:rPr>
          <w:b/>
          <w:vertAlign w:val="superscript"/>
        </w:rPr>
        <w:footnoteReference w:id="3"/>
      </w:r>
      <w:bookmarkEnd w:id="17"/>
    </w:p>
    <w:p w:rsidR="00E425C1" w:rsidRPr="00E4580C" w:rsidRDefault="00E425C1" w:rsidP="00E425C1">
      <w:pPr>
        <w:jc w:val="both"/>
        <w:rPr>
          <w:lang w:val="es-MX"/>
        </w:rPr>
      </w:pPr>
    </w:p>
    <w:p w:rsidR="00E4580C" w:rsidRPr="00FB641E" w:rsidRDefault="00E4580C" w:rsidP="00E4580C">
      <w:pPr>
        <w:jc w:val="both"/>
        <w:rPr>
          <w:lang w:val="es-MX"/>
        </w:rPr>
      </w:pPr>
      <w:r>
        <w:rPr>
          <w:lang w:val="es-MX"/>
        </w:rPr>
        <w:t>A</w:t>
      </w:r>
      <w:r w:rsidRPr="00FB641E">
        <w:rPr>
          <w:lang w:val="es-MX"/>
        </w:rPr>
        <w:t>l 30 de junio de 201</w:t>
      </w:r>
      <w:r>
        <w:rPr>
          <w:lang w:val="es-MX"/>
        </w:rPr>
        <w:t>9,</w:t>
      </w:r>
      <w:r w:rsidRPr="00FB641E">
        <w:rPr>
          <w:lang w:val="es-MX"/>
        </w:rPr>
        <w:t xml:space="preserve"> se ha ejecutado</w:t>
      </w:r>
      <w:r>
        <w:rPr>
          <w:lang w:val="es-MX"/>
        </w:rPr>
        <w:t xml:space="preserve"> a través de Organizaciones No Gubernamentales el monto de</w:t>
      </w:r>
      <w:r w:rsidRPr="00FB641E">
        <w:rPr>
          <w:lang w:val="es-MX"/>
        </w:rPr>
        <w:t xml:space="preserve"> Q</w:t>
      </w:r>
      <w:r>
        <w:rPr>
          <w:lang w:val="es-MX"/>
        </w:rPr>
        <w:t>.678.9 millones</w:t>
      </w:r>
      <w:r w:rsidRPr="00FB641E">
        <w:rPr>
          <w:lang w:val="es-MX"/>
        </w:rPr>
        <w:t>, equivalen</w:t>
      </w:r>
      <w:r>
        <w:rPr>
          <w:lang w:val="es-MX"/>
        </w:rPr>
        <w:t>tes</w:t>
      </w:r>
      <w:r w:rsidRPr="00FB641E">
        <w:rPr>
          <w:lang w:val="es-MX"/>
        </w:rPr>
        <w:t xml:space="preserve"> al 1.</w:t>
      </w:r>
      <w:r>
        <w:rPr>
          <w:lang w:val="es-MX"/>
        </w:rPr>
        <w:t>8</w:t>
      </w:r>
      <w:r w:rsidRPr="00FB641E">
        <w:rPr>
          <w:lang w:val="es-MX"/>
        </w:rPr>
        <w:t>% de la ejecución presupuestaria total</w:t>
      </w:r>
      <w:r>
        <w:rPr>
          <w:lang w:val="es-MX"/>
        </w:rPr>
        <w:t xml:space="preserve">; este monto es superior </w:t>
      </w:r>
      <w:r w:rsidRPr="00FB641E">
        <w:rPr>
          <w:lang w:val="es-MX"/>
        </w:rPr>
        <w:t>en Q</w:t>
      </w:r>
      <w:r>
        <w:rPr>
          <w:lang w:val="es-MX"/>
        </w:rPr>
        <w:t xml:space="preserve">.140.1 </w:t>
      </w:r>
      <w:r w:rsidRPr="00FB641E">
        <w:rPr>
          <w:lang w:val="es-MX"/>
        </w:rPr>
        <w:t xml:space="preserve">millones respecto </w:t>
      </w:r>
      <w:r>
        <w:rPr>
          <w:lang w:val="es-MX"/>
        </w:rPr>
        <w:t>del mismo período en</w:t>
      </w:r>
      <w:r w:rsidRPr="00FB641E">
        <w:rPr>
          <w:lang w:val="es-MX"/>
        </w:rPr>
        <w:t xml:space="preserve"> 201</w:t>
      </w:r>
      <w:r>
        <w:rPr>
          <w:lang w:val="es-MX"/>
        </w:rPr>
        <w:t>8. L</w:t>
      </w:r>
      <w:r w:rsidRPr="00FB641E">
        <w:rPr>
          <w:lang w:val="es-MX"/>
        </w:rPr>
        <w:t>os principales ejecutores</w:t>
      </w:r>
      <w:r>
        <w:rPr>
          <w:lang w:val="es-MX"/>
        </w:rPr>
        <w:t xml:space="preserve"> son el Ministerio de Salud </w:t>
      </w:r>
      <w:r w:rsidR="00CF5481">
        <w:rPr>
          <w:lang w:val="es-MX"/>
        </w:rPr>
        <w:t>P</w:t>
      </w:r>
      <w:r>
        <w:rPr>
          <w:lang w:val="es-MX"/>
        </w:rPr>
        <w:t>ública y Asistencia Social con Q.306.2 millones</w:t>
      </w:r>
      <w:r w:rsidRPr="00FB641E">
        <w:rPr>
          <w:lang w:val="es-MX"/>
        </w:rPr>
        <w:t xml:space="preserve">, </w:t>
      </w:r>
      <w:r>
        <w:rPr>
          <w:lang w:val="es-MX"/>
        </w:rPr>
        <w:t xml:space="preserve">Obligaciones del Estado a Cargo del Tesoro con Q.206.9 millones y </w:t>
      </w:r>
      <w:r w:rsidRPr="00FB641E">
        <w:rPr>
          <w:lang w:val="es-MX"/>
        </w:rPr>
        <w:t>e</w:t>
      </w:r>
      <w:r>
        <w:rPr>
          <w:lang w:val="es-MX"/>
        </w:rPr>
        <w:t>l Ministerio de Educación con Q.117.2 millones, entre otros.</w:t>
      </w:r>
    </w:p>
    <w:p w:rsidR="00E4580C" w:rsidRDefault="00E4580C"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B274F3" w:rsidRDefault="00B274F3" w:rsidP="00E4580C">
      <w:pPr>
        <w:rPr>
          <w:b/>
          <w:sz w:val="22"/>
          <w:lang w:val="es-MX"/>
        </w:rPr>
      </w:pPr>
    </w:p>
    <w:p w:rsidR="00E4580C" w:rsidRPr="0088577C" w:rsidRDefault="00E4580C" w:rsidP="00E4580C">
      <w:pPr>
        <w:jc w:val="center"/>
        <w:rPr>
          <w:b/>
          <w:sz w:val="22"/>
          <w:szCs w:val="22"/>
          <w:lang w:val="es-MX"/>
        </w:rPr>
      </w:pPr>
      <w:r w:rsidRPr="0088577C">
        <w:rPr>
          <w:b/>
          <w:sz w:val="22"/>
          <w:szCs w:val="22"/>
          <w:lang w:val="es-MX"/>
        </w:rPr>
        <w:lastRenderedPageBreak/>
        <w:t xml:space="preserve">Cuadro </w:t>
      </w:r>
      <w:r w:rsidR="00254602">
        <w:rPr>
          <w:b/>
          <w:sz w:val="22"/>
          <w:szCs w:val="22"/>
          <w:lang w:val="es-MX"/>
        </w:rPr>
        <w:t>11</w:t>
      </w:r>
    </w:p>
    <w:p w:rsidR="00E4580C" w:rsidRPr="0088577C" w:rsidRDefault="00E4580C" w:rsidP="00E4580C">
      <w:pPr>
        <w:jc w:val="center"/>
        <w:rPr>
          <w:b/>
          <w:sz w:val="22"/>
          <w:szCs w:val="22"/>
          <w:lang w:val="es-MX"/>
        </w:rPr>
      </w:pPr>
      <w:r w:rsidRPr="0088577C">
        <w:rPr>
          <w:b/>
          <w:sz w:val="22"/>
          <w:szCs w:val="22"/>
          <w:lang w:val="es-MX"/>
        </w:rPr>
        <w:t>Aportes Realizados a Organizaciones No Gubernamentales -ONG-</w:t>
      </w:r>
    </w:p>
    <w:p w:rsidR="00E4580C" w:rsidRPr="0088577C" w:rsidRDefault="00E4580C" w:rsidP="00E4580C">
      <w:pPr>
        <w:jc w:val="center"/>
        <w:rPr>
          <w:b/>
          <w:sz w:val="22"/>
          <w:szCs w:val="22"/>
          <w:lang w:val="es-MX"/>
        </w:rPr>
      </w:pPr>
      <w:r w:rsidRPr="0088577C">
        <w:rPr>
          <w:b/>
          <w:sz w:val="22"/>
          <w:szCs w:val="22"/>
          <w:lang w:val="es-MX"/>
        </w:rPr>
        <w:t>Al 30 de junio de cada año</w:t>
      </w:r>
    </w:p>
    <w:p w:rsidR="00E4580C" w:rsidRPr="0088577C" w:rsidRDefault="00E4580C" w:rsidP="00E4580C">
      <w:pPr>
        <w:jc w:val="center"/>
        <w:rPr>
          <w:b/>
          <w:sz w:val="22"/>
          <w:szCs w:val="22"/>
          <w:lang w:val="es-MX"/>
        </w:rPr>
      </w:pPr>
      <w:r w:rsidRPr="0088577C">
        <w:rPr>
          <w:b/>
          <w:sz w:val="22"/>
          <w:szCs w:val="22"/>
          <w:lang w:val="es-MX"/>
        </w:rPr>
        <w:t>(Cifras en Millone</w:t>
      </w:r>
      <w:r>
        <w:rPr>
          <w:b/>
          <w:sz w:val="22"/>
          <w:szCs w:val="22"/>
          <w:lang w:val="es-MX"/>
        </w:rPr>
        <w:t>s de Quetzales)</w:t>
      </w:r>
    </w:p>
    <w:tbl>
      <w:tblPr>
        <w:tblW w:w="8600" w:type="dxa"/>
        <w:tblInd w:w="55" w:type="dxa"/>
        <w:tblCellMar>
          <w:left w:w="70" w:type="dxa"/>
          <w:right w:w="70" w:type="dxa"/>
        </w:tblCellMar>
        <w:tblLook w:val="04A0" w:firstRow="1" w:lastRow="0" w:firstColumn="1" w:lastColumn="0" w:noHBand="0" w:noVBand="1"/>
      </w:tblPr>
      <w:tblGrid>
        <w:gridCol w:w="4604"/>
        <w:gridCol w:w="888"/>
        <w:gridCol w:w="888"/>
        <w:gridCol w:w="1150"/>
        <w:gridCol w:w="1070"/>
      </w:tblGrid>
      <w:tr w:rsidR="00E4580C" w:rsidRPr="00CF5481" w:rsidTr="00774B0C">
        <w:trPr>
          <w:trHeight w:val="315"/>
        </w:trPr>
        <w:tc>
          <w:tcPr>
            <w:tcW w:w="4604" w:type="dxa"/>
            <w:vMerge w:val="restart"/>
            <w:tcBorders>
              <w:top w:val="single" w:sz="8" w:space="0" w:color="auto"/>
              <w:left w:val="single" w:sz="8" w:space="0" w:color="auto"/>
              <w:bottom w:val="single" w:sz="4" w:space="0" w:color="000000"/>
              <w:right w:val="nil"/>
            </w:tcBorders>
            <w:shd w:val="clear" w:color="000000" w:fill="8DB4E2"/>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Entidad</w:t>
            </w:r>
          </w:p>
        </w:tc>
        <w:tc>
          <w:tcPr>
            <w:tcW w:w="888"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2018</w:t>
            </w:r>
          </w:p>
        </w:tc>
        <w:tc>
          <w:tcPr>
            <w:tcW w:w="888"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2019</w:t>
            </w:r>
          </w:p>
        </w:tc>
        <w:tc>
          <w:tcPr>
            <w:tcW w:w="2220" w:type="dxa"/>
            <w:gridSpan w:val="2"/>
            <w:tcBorders>
              <w:top w:val="single" w:sz="8" w:space="0" w:color="auto"/>
              <w:left w:val="nil"/>
              <w:bottom w:val="single" w:sz="4" w:space="0" w:color="auto"/>
              <w:right w:val="single" w:sz="8" w:space="0" w:color="000000"/>
            </w:tcBorders>
            <w:shd w:val="clear" w:color="000000" w:fill="8DB4E2"/>
            <w:noWrap/>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Diferencias</w:t>
            </w:r>
          </w:p>
        </w:tc>
      </w:tr>
      <w:tr w:rsidR="00E4580C" w:rsidRPr="00CF5481" w:rsidTr="00774B0C">
        <w:trPr>
          <w:trHeight w:val="315"/>
        </w:trPr>
        <w:tc>
          <w:tcPr>
            <w:tcW w:w="4604" w:type="dxa"/>
            <w:vMerge/>
            <w:tcBorders>
              <w:top w:val="single" w:sz="8" w:space="0" w:color="auto"/>
              <w:left w:val="single" w:sz="8" w:space="0" w:color="auto"/>
              <w:bottom w:val="single" w:sz="4" w:space="0" w:color="000000"/>
              <w:right w:val="nil"/>
            </w:tcBorders>
            <w:vAlign w:val="center"/>
            <w:hideMark/>
          </w:tcPr>
          <w:p w:rsidR="00E4580C" w:rsidRPr="00CF5481" w:rsidRDefault="00E4580C" w:rsidP="00774B0C">
            <w:pPr>
              <w:rPr>
                <w:b/>
                <w:bCs/>
                <w:sz w:val="22"/>
                <w:szCs w:val="22"/>
                <w:lang w:val="es-GT" w:eastAsia="es-GT"/>
              </w:rPr>
            </w:pPr>
          </w:p>
        </w:tc>
        <w:tc>
          <w:tcPr>
            <w:tcW w:w="888" w:type="dxa"/>
            <w:vMerge/>
            <w:tcBorders>
              <w:top w:val="single" w:sz="8" w:space="0" w:color="auto"/>
              <w:left w:val="single" w:sz="4" w:space="0" w:color="auto"/>
              <w:bottom w:val="single" w:sz="4" w:space="0" w:color="000000"/>
              <w:right w:val="single" w:sz="4" w:space="0" w:color="auto"/>
            </w:tcBorders>
            <w:vAlign w:val="center"/>
            <w:hideMark/>
          </w:tcPr>
          <w:p w:rsidR="00E4580C" w:rsidRPr="00CF5481" w:rsidRDefault="00E4580C" w:rsidP="00774B0C">
            <w:pPr>
              <w:rPr>
                <w:b/>
                <w:bCs/>
                <w:sz w:val="22"/>
                <w:szCs w:val="22"/>
                <w:lang w:val="es-GT" w:eastAsia="es-GT"/>
              </w:rPr>
            </w:pPr>
          </w:p>
        </w:tc>
        <w:tc>
          <w:tcPr>
            <w:tcW w:w="888" w:type="dxa"/>
            <w:vMerge/>
            <w:tcBorders>
              <w:top w:val="single" w:sz="8" w:space="0" w:color="auto"/>
              <w:left w:val="single" w:sz="4" w:space="0" w:color="auto"/>
              <w:bottom w:val="single" w:sz="4" w:space="0" w:color="000000"/>
              <w:right w:val="single" w:sz="4" w:space="0" w:color="auto"/>
            </w:tcBorders>
            <w:vAlign w:val="center"/>
            <w:hideMark/>
          </w:tcPr>
          <w:p w:rsidR="00E4580C" w:rsidRPr="00CF5481" w:rsidRDefault="00E4580C" w:rsidP="00774B0C">
            <w:pPr>
              <w:rPr>
                <w:b/>
                <w:bCs/>
                <w:sz w:val="22"/>
                <w:szCs w:val="22"/>
                <w:lang w:val="es-GT" w:eastAsia="es-GT"/>
              </w:rPr>
            </w:pPr>
          </w:p>
        </w:tc>
        <w:tc>
          <w:tcPr>
            <w:tcW w:w="1150" w:type="dxa"/>
            <w:tcBorders>
              <w:top w:val="single" w:sz="4" w:space="0" w:color="auto"/>
              <w:left w:val="nil"/>
              <w:bottom w:val="single" w:sz="4" w:space="0" w:color="auto"/>
              <w:right w:val="single" w:sz="4" w:space="0" w:color="auto"/>
            </w:tcBorders>
            <w:shd w:val="clear" w:color="000000" w:fill="8DB4E2"/>
            <w:noWrap/>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 xml:space="preserve">Absolutas </w:t>
            </w:r>
          </w:p>
        </w:tc>
        <w:tc>
          <w:tcPr>
            <w:tcW w:w="1070" w:type="dxa"/>
            <w:tcBorders>
              <w:top w:val="single" w:sz="4" w:space="0" w:color="auto"/>
              <w:left w:val="nil"/>
              <w:bottom w:val="single" w:sz="4" w:space="0" w:color="auto"/>
              <w:right w:val="single" w:sz="8" w:space="0" w:color="auto"/>
            </w:tcBorders>
            <w:shd w:val="clear" w:color="000000" w:fill="8DB4E2"/>
            <w:noWrap/>
            <w:vAlign w:val="center"/>
            <w:hideMark/>
          </w:tcPr>
          <w:p w:rsidR="00E4580C" w:rsidRPr="00CF5481" w:rsidRDefault="00E4580C" w:rsidP="00774B0C">
            <w:pPr>
              <w:jc w:val="center"/>
              <w:rPr>
                <w:b/>
                <w:bCs/>
                <w:sz w:val="22"/>
                <w:szCs w:val="22"/>
                <w:lang w:val="es-GT" w:eastAsia="es-GT"/>
              </w:rPr>
            </w:pPr>
            <w:r w:rsidRPr="00CF5481">
              <w:rPr>
                <w:b/>
                <w:bCs/>
                <w:sz w:val="22"/>
                <w:szCs w:val="22"/>
                <w:lang w:val="es-GT" w:eastAsia="es-GT"/>
              </w:rPr>
              <w:t>Relativas</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jc w:val="center"/>
              <w:rPr>
                <w:b/>
                <w:bCs/>
                <w:color w:val="000000"/>
                <w:sz w:val="22"/>
                <w:szCs w:val="22"/>
                <w:lang w:val="es-GT" w:eastAsia="es-GT"/>
              </w:rPr>
            </w:pPr>
            <w:r w:rsidRPr="00CF5481">
              <w:rPr>
                <w:b/>
                <w:bCs/>
                <w:color w:val="000000"/>
                <w:sz w:val="22"/>
                <w:szCs w:val="22"/>
                <w:lang w:val="es-GT" w:eastAsia="es-GT"/>
              </w:rPr>
              <w:t>Total</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 xml:space="preserve">    538.8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 xml:space="preserve">    678.9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 xml:space="preserve">        140.1 </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26.0%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Finanzas Públicas</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B4C10">
            <w:pPr>
              <w:jc w:val="right"/>
              <w:rPr>
                <w:color w:val="000000"/>
                <w:sz w:val="22"/>
                <w:szCs w:val="22"/>
                <w:lang w:val="es-GT" w:eastAsia="es-GT"/>
              </w:rPr>
            </w:pPr>
            <w:r w:rsidRPr="00CF5481">
              <w:rPr>
                <w:color w:val="000000"/>
                <w:sz w:val="22"/>
                <w:szCs w:val="22"/>
                <w:lang w:val="es-GT" w:eastAsia="es-GT"/>
              </w:rPr>
              <w:t xml:space="preserve">      0.1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B4C10">
            <w:pPr>
              <w:jc w:val="right"/>
              <w:rPr>
                <w:color w:val="000000"/>
                <w:sz w:val="22"/>
                <w:szCs w:val="22"/>
                <w:lang w:val="es-GT" w:eastAsia="es-GT"/>
              </w:rPr>
            </w:pPr>
            <w:r w:rsidRPr="00CF5481">
              <w:rPr>
                <w:color w:val="000000"/>
                <w:sz w:val="22"/>
                <w:szCs w:val="22"/>
                <w:lang w:val="es-GT" w:eastAsia="es-GT"/>
              </w:rPr>
              <w:t>0.</w:t>
            </w:r>
            <w:r w:rsidR="007B4C10">
              <w:rPr>
                <w:color w:val="000000"/>
                <w:sz w:val="22"/>
                <w:szCs w:val="22"/>
                <w:lang w:val="es-GT" w:eastAsia="es-GT"/>
              </w:rPr>
              <w:t>1</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Educación</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88.9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117.2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28.3</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31.8%</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Salud Pública y Asistencia Social</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241.0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306.2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65.2</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27.0%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Economía</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0.8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2.0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1.2</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149.0%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Agricultura</w:t>
            </w:r>
            <w:r w:rsidR="00CF5481">
              <w:rPr>
                <w:color w:val="000000"/>
                <w:sz w:val="22"/>
                <w:szCs w:val="22"/>
                <w:lang w:val="es-GT" w:eastAsia="es-GT"/>
              </w:rPr>
              <w:t>, Ganadería y Alimentación</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39.1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37.4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-1.7</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-4.3%</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Cultura y Deportes</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9.0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7.0</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350.0%</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9F45F3">
            <w:pPr>
              <w:rPr>
                <w:color w:val="000000"/>
                <w:sz w:val="22"/>
                <w:szCs w:val="22"/>
                <w:lang w:val="es-GT" w:eastAsia="es-GT"/>
              </w:rPr>
            </w:pPr>
            <w:r w:rsidRPr="00CF5481">
              <w:rPr>
                <w:color w:val="000000"/>
                <w:sz w:val="22"/>
                <w:szCs w:val="22"/>
                <w:lang w:val="es-GT" w:eastAsia="es-GT"/>
              </w:rPr>
              <w:t>Secretar</w:t>
            </w:r>
            <w:r w:rsidR="009F45F3">
              <w:rPr>
                <w:color w:val="000000"/>
                <w:sz w:val="22"/>
                <w:szCs w:val="22"/>
                <w:lang w:val="es-GT" w:eastAsia="es-GT"/>
              </w:rPr>
              <w:t>í</w:t>
            </w:r>
            <w:r w:rsidRPr="00CF5481">
              <w:rPr>
                <w:color w:val="000000"/>
                <w:sz w:val="22"/>
                <w:szCs w:val="22"/>
                <w:lang w:val="es-GT" w:eastAsia="es-GT"/>
              </w:rPr>
              <w:t>as y Otras Dependencias del Ejecutivo</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7B4C10" w:rsidP="007B4C10">
            <w:pPr>
              <w:jc w:val="right"/>
              <w:rPr>
                <w:color w:val="000000"/>
                <w:sz w:val="22"/>
                <w:szCs w:val="22"/>
                <w:lang w:val="es-GT" w:eastAsia="es-GT"/>
              </w:rPr>
            </w:pPr>
            <w:r>
              <w:rPr>
                <w:color w:val="000000"/>
                <w:sz w:val="22"/>
                <w:szCs w:val="22"/>
                <w:lang w:val="es-GT" w:eastAsia="es-GT"/>
              </w:rPr>
              <w:t xml:space="preserve">        0.0</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0.1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0.1</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w:t>
            </w:r>
          </w:p>
        </w:tc>
      </w:tr>
      <w:tr w:rsidR="00E4580C" w:rsidRPr="00CF5481" w:rsidTr="00774B0C">
        <w:trPr>
          <w:trHeight w:val="315"/>
        </w:trPr>
        <w:tc>
          <w:tcPr>
            <w:tcW w:w="4604" w:type="dxa"/>
            <w:tcBorders>
              <w:top w:val="nil"/>
              <w:left w:val="single" w:sz="8" w:space="0" w:color="auto"/>
              <w:bottom w:val="nil"/>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Ministerio de Ambiente y Recursos Naturales</w:t>
            </w:r>
          </w:p>
        </w:tc>
        <w:tc>
          <w:tcPr>
            <w:tcW w:w="888" w:type="dxa"/>
            <w:tcBorders>
              <w:top w:val="nil"/>
              <w:left w:val="single" w:sz="4" w:space="0" w:color="auto"/>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0.0 </w:t>
            </w:r>
          </w:p>
        </w:tc>
        <w:tc>
          <w:tcPr>
            <w:tcW w:w="888"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0.02 </w:t>
            </w:r>
          </w:p>
        </w:tc>
        <w:tc>
          <w:tcPr>
            <w:tcW w:w="1150" w:type="dxa"/>
            <w:tcBorders>
              <w:top w:val="nil"/>
              <w:left w:val="nil"/>
              <w:bottom w:val="nil"/>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0.0</w:t>
            </w:r>
          </w:p>
        </w:tc>
        <w:tc>
          <w:tcPr>
            <w:tcW w:w="1070" w:type="dxa"/>
            <w:tcBorders>
              <w:top w:val="nil"/>
              <w:left w:val="nil"/>
              <w:bottom w:val="nil"/>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w:t>
            </w:r>
          </w:p>
        </w:tc>
      </w:tr>
      <w:tr w:rsidR="00E4580C" w:rsidRPr="00CF5481" w:rsidTr="00774B0C">
        <w:trPr>
          <w:trHeight w:val="330"/>
        </w:trPr>
        <w:tc>
          <w:tcPr>
            <w:tcW w:w="4604" w:type="dxa"/>
            <w:tcBorders>
              <w:top w:val="nil"/>
              <w:left w:val="single" w:sz="8" w:space="0" w:color="auto"/>
              <w:bottom w:val="single" w:sz="8" w:space="0" w:color="auto"/>
              <w:right w:val="nil"/>
            </w:tcBorders>
            <w:shd w:val="clear" w:color="000000" w:fill="FFFFFF"/>
            <w:noWrap/>
            <w:vAlign w:val="bottom"/>
            <w:hideMark/>
          </w:tcPr>
          <w:p w:rsidR="00E4580C" w:rsidRPr="00CF5481" w:rsidRDefault="00E4580C" w:rsidP="00774B0C">
            <w:pPr>
              <w:rPr>
                <w:color w:val="000000"/>
                <w:sz w:val="22"/>
                <w:szCs w:val="22"/>
                <w:lang w:val="es-GT" w:eastAsia="es-GT"/>
              </w:rPr>
            </w:pPr>
            <w:r w:rsidRPr="00CF5481">
              <w:rPr>
                <w:color w:val="000000"/>
                <w:sz w:val="22"/>
                <w:szCs w:val="22"/>
                <w:lang w:val="es-GT" w:eastAsia="es-GT"/>
              </w:rPr>
              <w:t>Obligaciones del Estado a Cargo del Tesoro</w:t>
            </w:r>
          </w:p>
        </w:tc>
        <w:tc>
          <w:tcPr>
            <w:tcW w:w="888" w:type="dxa"/>
            <w:tcBorders>
              <w:top w:val="nil"/>
              <w:left w:val="single" w:sz="4" w:space="0" w:color="auto"/>
              <w:bottom w:val="single" w:sz="8" w:space="0" w:color="auto"/>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166.9 </w:t>
            </w:r>
          </w:p>
        </w:tc>
        <w:tc>
          <w:tcPr>
            <w:tcW w:w="888" w:type="dxa"/>
            <w:tcBorders>
              <w:top w:val="nil"/>
              <w:left w:val="nil"/>
              <w:bottom w:val="single" w:sz="8" w:space="0" w:color="auto"/>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xml:space="preserve">    206.9 </w:t>
            </w:r>
          </w:p>
        </w:tc>
        <w:tc>
          <w:tcPr>
            <w:tcW w:w="1150" w:type="dxa"/>
            <w:tcBorders>
              <w:top w:val="nil"/>
              <w:left w:val="nil"/>
              <w:bottom w:val="single" w:sz="8" w:space="0" w:color="auto"/>
              <w:right w:val="single" w:sz="4"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40.0</w:t>
            </w:r>
          </w:p>
        </w:tc>
        <w:tc>
          <w:tcPr>
            <w:tcW w:w="1070" w:type="dxa"/>
            <w:tcBorders>
              <w:top w:val="nil"/>
              <w:left w:val="nil"/>
              <w:bottom w:val="single" w:sz="8" w:space="0" w:color="auto"/>
              <w:right w:val="single" w:sz="8" w:space="0" w:color="auto"/>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24.0%</w:t>
            </w:r>
          </w:p>
        </w:tc>
      </w:tr>
      <w:tr w:rsidR="00E4580C" w:rsidRPr="00CF5481" w:rsidTr="00774B0C">
        <w:trPr>
          <w:trHeight w:val="315"/>
        </w:trPr>
        <w:tc>
          <w:tcPr>
            <w:tcW w:w="4604" w:type="dxa"/>
            <w:tcBorders>
              <w:top w:val="nil"/>
              <w:left w:val="nil"/>
              <w:bottom w:val="nil"/>
              <w:right w:val="nil"/>
            </w:tcBorders>
            <w:shd w:val="clear" w:color="000000" w:fill="FFFFFF"/>
            <w:noWrap/>
            <w:vAlign w:val="bottom"/>
            <w:hideMark/>
          </w:tcPr>
          <w:p w:rsidR="00E4580C" w:rsidRPr="00CF5481" w:rsidRDefault="00E4580C" w:rsidP="007B4C10">
            <w:pPr>
              <w:rPr>
                <w:b/>
                <w:bCs/>
                <w:color w:val="000000"/>
                <w:sz w:val="22"/>
                <w:szCs w:val="22"/>
                <w:lang w:val="es-GT" w:eastAsia="es-GT"/>
              </w:rPr>
            </w:pPr>
            <w:r w:rsidRPr="00CF5481">
              <w:rPr>
                <w:b/>
                <w:bCs/>
                <w:color w:val="000000"/>
                <w:sz w:val="22"/>
                <w:szCs w:val="22"/>
                <w:lang w:val="es-GT" w:eastAsia="es-GT"/>
              </w:rPr>
              <w:t xml:space="preserve">Porcentaje </w:t>
            </w:r>
            <w:r w:rsidR="007B4C10">
              <w:rPr>
                <w:b/>
                <w:bCs/>
                <w:color w:val="000000"/>
                <w:sz w:val="22"/>
                <w:szCs w:val="22"/>
                <w:lang w:val="es-GT" w:eastAsia="es-GT"/>
              </w:rPr>
              <w:t>sobre la</w:t>
            </w:r>
            <w:r w:rsidRPr="00CF5481">
              <w:rPr>
                <w:b/>
                <w:bCs/>
                <w:color w:val="000000"/>
                <w:sz w:val="22"/>
                <w:szCs w:val="22"/>
                <w:lang w:val="es-GT" w:eastAsia="es-GT"/>
              </w:rPr>
              <w:t xml:space="preserve"> </w:t>
            </w:r>
            <w:r w:rsidR="00CF5481">
              <w:rPr>
                <w:b/>
                <w:bCs/>
                <w:color w:val="000000"/>
                <w:sz w:val="22"/>
                <w:szCs w:val="22"/>
                <w:lang w:val="es-GT" w:eastAsia="es-GT"/>
              </w:rPr>
              <w:t>E</w:t>
            </w:r>
            <w:r w:rsidRPr="00CF5481">
              <w:rPr>
                <w:b/>
                <w:bCs/>
                <w:color w:val="000000"/>
                <w:sz w:val="22"/>
                <w:szCs w:val="22"/>
                <w:lang w:val="es-GT" w:eastAsia="es-GT"/>
              </w:rPr>
              <w:t xml:space="preserve">jecución </w:t>
            </w:r>
            <w:r w:rsidR="00CF5481">
              <w:rPr>
                <w:b/>
                <w:bCs/>
                <w:color w:val="000000"/>
                <w:sz w:val="22"/>
                <w:szCs w:val="22"/>
                <w:lang w:val="es-GT" w:eastAsia="es-GT"/>
              </w:rPr>
              <w:t>P</w:t>
            </w:r>
            <w:r w:rsidRPr="00CF5481">
              <w:rPr>
                <w:b/>
                <w:bCs/>
                <w:color w:val="000000"/>
                <w:sz w:val="22"/>
                <w:szCs w:val="22"/>
                <w:lang w:val="es-GT" w:eastAsia="es-GT"/>
              </w:rPr>
              <w:t>resupuestaria</w:t>
            </w:r>
          </w:p>
        </w:tc>
        <w:tc>
          <w:tcPr>
            <w:tcW w:w="888" w:type="dxa"/>
            <w:tcBorders>
              <w:top w:val="nil"/>
              <w:left w:val="nil"/>
              <w:bottom w:val="nil"/>
              <w:right w:val="nil"/>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1.7%</w:t>
            </w:r>
          </w:p>
        </w:tc>
        <w:tc>
          <w:tcPr>
            <w:tcW w:w="888" w:type="dxa"/>
            <w:tcBorders>
              <w:top w:val="nil"/>
              <w:left w:val="nil"/>
              <w:bottom w:val="nil"/>
              <w:right w:val="nil"/>
            </w:tcBorders>
            <w:shd w:val="clear" w:color="000000" w:fill="FFFFFF"/>
            <w:noWrap/>
            <w:vAlign w:val="bottom"/>
            <w:hideMark/>
          </w:tcPr>
          <w:p w:rsidR="00E4580C" w:rsidRPr="00CF5481" w:rsidRDefault="00E4580C" w:rsidP="00774B0C">
            <w:pPr>
              <w:jc w:val="right"/>
              <w:rPr>
                <w:b/>
                <w:bCs/>
                <w:color w:val="000000"/>
                <w:sz w:val="22"/>
                <w:szCs w:val="22"/>
                <w:lang w:val="es-GT" w:eastAsia="es-GT"/>
              </w:rPr>
            </w:pPr>
            <w:r w:rsidRPr="00CF5481">
              <w:rPr>
                <w:b/>
                <w:bCs/>
                <w:color w:val="000000"/>
                <w:sz w:val="22"/>
                <w:szCs w:val="22"/>
                <w:lang w:val="es-GT" w:eastAsia="es-GT"/>
              </w:rPr>
              <w:t>1.8%</w:t>
            </w:r>
          </w:p>
        </w:tc>
        <w:tc>
          <w:tcPr>
            <w:tcW w:w="1150" w:type="dxa"/>
            <w:tcBorders>
              <w:top w:val="nil"/>
              <w:left w:val="nil"/>
              <w:bottom w:val="nil"/>
              <w:right w:val="nil"/>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w:t>
            </w:r>
          </w:p>
        </w:tc>
        <w:tc>
          <w:tcPr>
            <w:tcW w:w="1070" w:type="dxa"/>
            <w:tcBorders>
              <w:top w:val="nil"/>
              <w:left w:val="nil"/>
              <w:bottom w:val="nil"/>
              <w:right w:val="nil"/>
            </w:tcBorders>
            <w:shd w:val="clear" w:color="000000" w:fill="FFFFFF"/>
            <w:noWrap/>
            <w:vAlign w:val="bottom"/>
            <w:hideMark/>
          </w:tcPr>
          <w:p w:rsidR="00E4580C" w:rsidRPr="00CF5481" w:rsidRDefault="00E4580C" w:rsidP="00774B0C">
            <w:pPr>
              <w:jc w:val="right"/>
              <w:rPr>
                <w:color w:val="000000"/>
                <w:sz w:val="22"/>
                <w:szCs w:val="22"/>
                <w:lang w:val="es-GT" w:eastAsia="es-GT"/>
              </w:rPr>
            </w:pPr>
            <w:r w:rsidRPr="00CF5481">
              <w:rPr>
                <w:color w:val="000000"/>
                <w:sz w:val="22"/>
                <w:szCs w:val="22"/>
                <w:lang w:val="es-GT" w:eastAsia="es-GT"/>
              </w:rPr>
              <w:t> </w:t>
            </w:r>
          </w:p>
        </w:tc>
      </w:tr>
    </w:tbl>
    <w:p w:rsidR="00E4580C" w:rsidRDefault="00E4580C" w:rsidP="00E4580C">
      <w:pPr>
        <w:jc w:val="both"/>
        <w:rPr>
          <w:sz w:val="18"/>
          <w:lang w:val="es-MX"/>
        </w:rPr>
      </w:pPr>
      <w:r w:rsidRPr="00CF5481">
        <w:rPr>
          <w:sz w:val="18"/>
          <w:lang w:val="es-MX"/>
        </w:rPr>
        <w:t>* Cifras preliminares.</w:t>
      </w:r>
    </w:p>
    <w:p w:rsidR="009F45F3" w:rsidRPr="00CF5481" w:rsidRDefault="009F45F3" w:rsidP="009F45F3">
      <w:pPr>
        <w:jc w:val="both"/>
        <w:rPr>
          <w:sz w:val="18"/>
          <w:lang w:val="es-MX"/>
        </w:rPr>
      </w:pPr>
      <w:r>
        <w:rPr>
          <w:sz w:val="18"/>
          <w:lang w:val="es-MX"/>
        </w:rPr>
        <w:t xml:space="preserve">    </w:t>
      </w:r>
      <w:r w:rsidRPr="00CF5481">
        <w:rPr>
          <w:sz w:val="18"/>
          <w:lang w:val="es-MX"/>
        </w:rPr>
        <w:t>Fuente: Ministerio de Finanzas Públicas con base al SICOIN.</w:t>
      </w:r>
    </w:p>
    <w:p w:rsidR="009F45F3" w:rsidRPr="00CF5481" w:rsidRDefault="009F45F3" w:rsidP="00E4580C">
      <w:pPr>
        <w:jc w:val="both"/>
        <w:rPr>
          <w:sz w:val="18"/>
          <w:lang w:val="es-MX"/>
        </w:rPr>
      </w:pPr>
    </w:p>
    <w:p w:rsidR="00E4580C" w:rsidRPr="00E4580C" w:rsidRDefault="00E4580C" w:rsidP="00E425C1">
      <w:pPr>
        <w:jc w:val="both"/>
        <w:rPr>
          <w:lang w:val="es-MX"/>
        </w:rPr>
      </w:pPr>
    </w:p>
    <w:p w:rsidR="00E4580C" w:rsidRPr="00E4580C" w:rsidRDefault="00E4580C" w:rsidP="00E425C1">
      <w:pPr>
        <w:jc w:val="both"/>
        <w:rPr>
          <w:lang w:val="es-MX"/>
        </w:rPr>
      </w:pPr>
    </w:p>
    <w:p w:rsidR="00E425C1" w:rsidRPr="00FB641E" w:rsidRDefault="00E425C1" w:rsidP="00E425C1">
      <w:pPr>
        <w:keepNext/>
        <w:keepLines/>
        <w:numPr>
          <w:ilvl w:val="2"/>
          <w:numId w:val="4"/>
        </w:numPr>
        <w:spacing w:before="200"/>
        <w:outlineLvl w:val="2"/>
        <w:rPr>
          <w:b/>
          <w:bCs/>
          <w:lang w:val="es-MX"/>
        </w:rPr>
      </w:pPr>
      <w:bookmarkStart w:id="18" w:name="_Toc20495571"/>
      <w:r w:rsidRPr="00FB641E">
        <w:rPr>
          <w:b/>
          <w:bCs/>
          <w:lang w:val="es-MX"/>
        </w:rPr>
        <w:t>Déficit Fiscal</w:t>
      </w:r>
      <w:bookmarkEnd w:id="18"/>
    </w:p>
    <w:p w:rsidR="00E425C1" w:rsidRPr="00FB641E" w:rsidRDefault="00E425C1" w:rsidP="00E425C1">
      <w:pPr>
        <w:jc w:val="both"/>
        <w:rPr>
          <w:lang w:val="es-MX"/>
        </w:rPr>
      </w:pPr>
    </w:p>
    <w:p w:rsidR="00E425C1" w:rsidRPr="00FB641E" w:rsidRDefault="00E425C1" w:rsidP="00E425C1">
      <w:pPr>
        <w:jc w:val="both"/>
        <w:rPr>
          <w:lang w:val="es-MX"/>
        </w:rPr>
      </w:pPr>
      <w:r>
        <w:rPr>
          <w:lang w:val="es-MX"/>
        </w:rPr>
        <w:t xml:space="preserve">La Política General de Gobierno 2016-2020 </w:t>
      </w:r>
      <w:r w:rsidRPr="00CD2CCE">
        <w:rPr>
          <w:lang w:val="es-MX"/>
        </w:rPr>
        <w:t>parte del análisis de la situación</w:t>
      </w:r>
      <w:r>
        <w:rPr>
          <w:lang w:val="es-MX"/>
        </w:rPr>
        <w:t xml:space="preserve"> </w:t>
      </w:r>
      <w:r w:rsidRPr="00CD2CCE">
        <w:rPr>
          <w:lang w:val="es-MX"/>
        </w:rPr>
        <w:t>sociopolítica y económica actual</w:t>
      </w:r>
      <w:r>
        <w:rPr>
          <w:lang w:val="es-MX"/>
        </w:rPr>
        <w:t xml:space="preserve">, proponiendo </w:t>
      </w:r>
      <w:r w:rsidRPr="00CD2CCE">
        <w:rPr>
          <w:lang w:val="es-MX"/>
        </w:rPr>
        <w:t>enfrentar</w:t>
      </w:r>
      <w:r>
        <w:rPr>
          <w:lang w:val="es-MX"/>
        </w:rPr>
        <w:t xml:space="preserve"> </w:t>
      </w:r>
      <w:r w:rsidRPr="00CD2CCE">
        <w:rPr>
          <w:lang w:val="es-MX"/>
        </w:rPr>
        <w:t>y solucionar problemas como la corrupción, la</w:t>
      </w:r>
      <w:r>
        <w:rPr>
          <w:lang w:val="es-MX"/>
        </w:rPr>
        <w:t xml:space="preserve"> </w:t>
      </w:r>
      <w:r w:rsidRPr="00CD2CCE">
        <w:rPr>
          <w:lang w:val="es-MX"/>
        </w:rPr>
        <w:t>violencia, la agudización de la pobreza, la debilidad</w:t>
      </w:r>
      <w:r>
        <w:rPr>
          <w:lang w:val="es-MX"/>
        </w:rPr>
        <w:t xml:space="preserve"> </w:t>
      </w:r>
      <w:r w:rsidRPr="00CD2CCE">
        <w:rPr>
          <w:lang w:val="es-MX"/>
        </w:rPr>
        <w:t>institucional</w:t>
      </w:r>
      <w:r>
        <w:rPr>
          <w:lang w:val="es-MX"/>
        </w:rPr>
        <w:t xml:space="preserve"> y</w:t>
      </w:r>
      <w:r w:rsidRPr="00CD2CCE">
        <w:rPr>
          <w:lang w:val="es-MX"/>
        </w:rPr>
        <w:t xml:space="preserve"> la ineficacia del Estado</w:t>
      </w:r>
      <w:r>
        <w:rPr>
          <w:lang w:val="es-MX"/>
        </w:rPr>
        <w:t>, todo esto</w:t>
      </w:r>
      <w:r w:rsidRPr="00CD2CCE">
        <w:rPr>
          <w:lang w:val="es-MX"/>
        </w:rPr>
        <w:t xml:space="preserve"> para garantizar el</w:t>
      </w:r>
      <w:r>
        <w:rPr>
          <w:lang w:val="es-MX"/>
        </w:rPr>
        <w:t xml:space="preserve"> </w:t>
      </w:r>
      <w:r w:rsidRPr="00CD2CCE">
        <w:rPr>
          <w:lang w:val="es-MX"/>
        </w:rPr>
        <w:t>ejercicio de los derechos humanos</w:t>
      </w:r>
      <w:r>
        <w:rPr>
          <w:lang w:val="es-MX"/>
        </w:rPr>
        <w:t xml:space="preserve">. Congruente con dichos objetivos, </w:t>
      </w:r>
      <w:r w:rsidRPr="001F2900">
        <w:rPr>
          <w:lang w:val="es-MX"/>
        </w:rPr>
        <w:t>la política fiscal</w:t>
      </w:r>
      <w:r>
        <w:rPr>
          <w:lang w:val="es-MX"/>
        </w:rPr>
        <w:t xml:space="preserve"> persigue</w:t>
      </w:r>
      <w:r w:rsidRPr="001F2900">
        <w:rPr>
          <w:lang w:val="es-MX"/>
        </w:rPr>
        <w:t xml:space="preserve"> elevar </w:t>
      </w:r>
      <w:r>
        <w:rPr>
          <w:lang w:val="es-MX"/>
        </w:rPr>
        <w:t>el nivel de</w:t>
      </w:r>
      <w:r w:rsidRPr="001F2900">
        <w:rPr>
          <w:lang w:val="es-MX"/>
        </w:rPr>
        <w:t xml:space="preserve"> recaudación de los ingresos tributarios</w:t>
      </w:r>
      <w:r w:rsidR="001F107D">
        <w:rPr>
          <w:lang w:val="es-MX"/>
        </w:rPr>
        <w:t>;</w:t>
      </w:r>
      <w:r w:rsidRPr="001F2900">
        <w:rPr>
          <w:lang w:val="es-MX"/>
        </w:rPr>
        <w:t xml:space="preserve"> combatir la evasión</w:t>
      </w:r>
      <w:r w:rsidR="001F107D">
        <w:rPr>
          <w:lang w:val="es-MX"/>
        </w:rPr>
        <w:t>, la elusión</w:t>
      </w:r>
      <w:r w:rsidRPr="001F2900">
        <w:rPr>
          <w:lang w:val="es-MX"/>
        </w:rPr>
        <w:t xml:space="preserve"> y el contrabando aduanero</w:t>
      </w:r>
      <w:r w:rsidR="001F107D">
        <w:rPr>
          <w:lang w:val="es-MX"/>
        </w:rPr>
        <w:t>;</w:t>
      </w:r>
      <w:r w:rsidRPr="001F2900">
        <w:rPr>
          <w:lang w:val="es-MX"/>
        </w:rPr>
        <w:t xml:space="preserve"> lograr la sostenibilidad de los niveles de endeudamiento</w:t>
      </w:r>
      <w:r w:rsidR="001F107D">
        <w:rPr>
          <w:lang w:val="es-MX"/>
        </w:rPr>
        <w:t>;</w:t>
      </w:r>
      <w:r w:rsidRPr="001F2900">
        <w:rPr>
          <w:lang w:val="es-MX"/>
        </w:rPr>
        <w:t xml:space="preserve"> así como alcanzar la transparencia y calidad del gasto público, </w:t>
      </w:r>
      <w:r>
        <w:rPr>
          <w:lang w:val="es-MX"/>
        </w:rPr>
        <w:t xml:space="preserve">asignando los recursos presupuestarios en sectores prioritarios como educación, salud, seguridad y vivienda, </w:t>
      </w:r>
      <w:r w:rsidRPr="001F2900">
        <w:rPr>
          <w:lang w:val="es-MX"/>
        </w:rPr>
        <w:t xml:space="preserve">enfocados en el logro de </w:t>
      </w:r>
      <w:r>
        <w:rPr>
          <w:lang w:val="es-MX"/>
        </w:rPr>
        <w:t xml:space="preserve">metas y </w:t>
      </w:r>
      <w:r w:rsidRPr="001F2900">
        <w:rPr>
          <w:lang w:val="es-MX"/>
        </w:rPr>
        <w:t xml:space="preserve">resultados </w:t>
      </w:r>
      <w:r>
        <w:rPr>
          <w:lang w:val="es-MX"/>
        </w:rPr>
        <w:t xml:space="preserve">que impacten en </w:t>
      </w:r>
      <w:r w:rsidR="001F107D">
        <w:rPr>
          <w:lang w:val="es-MX"/>
        </w:rPr>
        <w:t xml:space="preserve">un mayor número de personas de </w:t>
      </w:r>
      <w:r>
        <w:rPr>
          <w:lang w:val="es-MX"/>
        </w:rPr>
        <w:t>la sociedad guatemalteca.</w:t>
      </w:r>
    </w:p>
    <w:p w:rsidR="00E425C1" w:rsidRDefault="00E425C1" w:rsidP="00E425C1">
      <w:pPr>
        <w:jc w:val="both"/>
        <w:rPr>
          <w:lang w:val="es-MX"/>
        </w:rPr>
      </w:pPr>
    </w:p>
    <w:p w:rsidR="00E425C1" w:rsidRDefault="00E425C1" w:rsidP="00E425C1">
      <w:pPr>
        <w:jc w:val="both"/>
        <w:rPr>
          <w:lang w:val="es-MX"/>
        </w:rPr>
      </w:pPr>
      <w:r>
        <w:rPr>
          <w:lang w:val="es-MX"/>
        </w:rPr>
        <w:t>Se puede observar que en el cuarto año del actual gobierno el resultado presupuestario muestra el mayor déficit de 0.</w:t>
      </w:r>
      <w:r w:rsidR="001F107D">
        <w:rPr>
          <w:lang w:val="es-MX"/>
        </w:rPr>
        <w:t>8</w:t>
      </w:r>
      <w:r>
        <w:rPr>
          <w:lang w:val="es-MX"/>
        </w:rPr>
        <w:t>% equivalente a Q.4,497.8 millones.</w:t>
      </w:r>
    </w:p>
    <w:p w:rsidR="00E425C1" w:rsidRDefault="00E425C1" w:rsidP="00E425C1">
      <w:pPr>
        <w:jc w:val="both"/>
        <w:rPr>
          <w:lang w:val="es-MX"/>
        </w:rPr>
      </w:pPr>
    </w:p>
    <w:p w:rsidR="00E425C1" w:rsidRDefault="00E425C1" w:rsidP="00E425C1">
      <w:pPr>
        <w:jc w:val="both"/>
        <w:rPr>
          <w:lang w:val="es-MX"/>
        </w:rPr>
      </w:pPr>
    </w:p>
    <w:p w:rsidR="00E425C1" w:rsidRDefault="00E425C1" w:rsidP="00E425C1">
      <w:pPr>
        <w:rPr>
          <w:b/>
          <w:sz w:val="22"/>
          <w:lang w:val="es-MX"/>
        </w:rPr>
      </w:pPr>
      <w:r>
        <w:rPr>
          <w:b/>
          <w:sz w:val="22"/>
          <w:lang w:val="es-MX"/>
        </w:rPr>
        <w:br w:type="page"/>
      </w:r>
    </w:p>
    <w:p w:rsidR="00E425C1" w:rsidRPr="00FB641E" w:rsidRDefault="00E425C1" w:rsidP="00E425C1">
      <w:pPr>
        <w:jc w:val="center"/>
        <w:rPr>
          <w:b/>
          <w:sz w:val="22"/>
          <w:lang w:val="es-MX"/>
        </w:rPr>
      </w:pPr>
      <w:r w:rsidRPr="00FB641E">
        <w:rPr>
          <w:b/>
          <w:sz w:val="22"/>
          <w:lang w:val="es-MX"/>
        </w:rPr>
        <w:lastRenderedPageBreak/>
        <w:t xml:space="preserve">Gráfica </w:t>
      </w:r>
      <w:r>
        <w:rPr>
          <w:b/>
          <w:sz w:val="22"/>
          <w:lang w:val="es-MX"/>
        </w:rPr>
        <w:t>12</w:t>
      </w:r>
    </w:p>
    <w:p w:rsidR="00E425C1" w:rsidRPr="0088577C" w:rsidRDefault="00E425C1" w:rsidP="00E425C1">
      <w:pPr>
        <w:jc w:val="center"/>
        <w:rPr>
          <w:b/>
          <w:sz w:val="22"/>
          <w:szCs w:val="22"/>
          <w:lang w:val="es-MX"/>
        </w:rPr>
      </w:pPr>
      <w:r w:rsidRPr="0088577C">
        <w:rPr>
          <w:b/>
          <w:sz w:val="22"/>
          <w:szCs w:val="22"/>
          <w:lang w:val="es-MX"/>
        </w:rPr>
        <w:t xml:space="preserve">Resultado Presupuestario </w:t>
      </w:r>
    </w:p>
    <w:p w:rsidR="00E425C1" w:rsidRPr="0088577C" w:rsidRDefault="00E425C1" w:rsidP="00E425C1">
      <w:pPr>
        <w:jc w:val="center"/>
        <w:rPr>
          <w:b/>
          <w:sz w:val="22"/>
          <w:szCs w:val="22"/>
          <w:lang w:val="es-MX"/>
        </w:rPr>
      </w:pPr>
      <w:r w:rsidRPr="0088577C">
        <w:rPr>
          <w:b/>
          <w:sz w:val="22"/>
          <w:szCs w:val="22"/>
          <w:lang w:val="es-MX"/>
        </w:rPr>
        <w:t xml:space="preserve">Al 30 de junio </w:t>
      </w:r>
      <w:r>
        <w:rPr>
          <w:b/>
          <w:sz w:val="22"/>
          <w:szCs w:val="22"/>
          <w:lang w:val="es-MX"/>
        </w:rPr>
        <w:t>de cada año</w:t>
      </w:r>
    </w:p>
    <w:p w:rsidR="00E425C1" w:rsidRPr="0088577C" w:rsidRDefault="00E425C1" w:rsidP="00E425C1">
      <w:pPr>
        <w:jc w:val="center"/>
        <w:rPr>
          <w:b/>
          <w:sz w:val="22"/>
          <w:szCs w:val="22"/>
          <w:lang w:val="es-MX"/>
        </w:rPr>
      </w:pPr>
      <w:r w:rsidRPr="0088577C">
        <w:rPr>
          <w:b/>
          <w:sz w:val="22"/>
          <w:szCs w:val="22"/>
          <w:lang w:val="es-MX"/>
        </w:rPr>
        <w:t>(Cifras en Millones de Quetzales y Porcentajes del PIB)</w:t>
      </w:r>
    </w:p>
    <w:p w:rsidR="00E425C1" w:rsidRPr="009469D4" w:rsidRDefault="00E425C1" w:rsidP="00E425C1">
      <w:pPr>
        <w:jc w:val="center"/>
        <w:rPr>
          <w:lang w:val="es-MX"/>
        </w:rPr>
      </w:pPr>
      <w:r>
        <w:rPr>
          <w:noProof/>
          <w:lang w:val="es-GT" w:eastAsia="es-GT"/>
        </w:rPr>
        <w:drawing>
          <wp:inline distT="0" distB="0" distL="0" distR="0" wp14:anchorId="427CFBDF" wp14:editId="4FD76A8F">
            <wp:extent cx="5612130" cy="3472180"/>
            <wp:effectExtent l="0" t="0" r="26670" b="13970"/>
            <wp:docPr id="40" name="Gráfico 4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CEBD403-5276-4FE2-A2BE-E30AC9C14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25C1" w:rsidRDefault="00E425C1" w:rsidP="00E425C1">
      <w:pPr>
        <w:jc w:val="both"/>
        <w:rPr>
          <w:sz w:val="18"/>
          <w:lang w:val="es-MX"/>
        </w:rPr>
      </w:pPr>
      <w:r w:rsidRPr="001F107D">
        <w:rPr>
          <w:sz w:val="18"/>
          <w:lang w:val="es-MX"/>
        </w:rPr>
        <w:t xml:space="preserve">       * En 2019, cifras preliminares.</w:t>
      </w:r>
    </w:p>
    <w:p w:rsidR="00BA61A3" w:rsidRPr="001F107D" w:rsidRDefault="00BA61A3" w:rsidP="00BA61A3">
      <w:pPr>
        <w:jc w:val="both"/>
        <w:rPr>
          <w:sz w:val="18"/>
          <w:lang w:val="es-MX"/>
        </w:rPr>
      </w:pPr>
      <w:r>
        <w:rPr>
          <w:sz w:val="18"/>
          <w:lang w:val="es-MX"/>
        </w:rPr>
        <w:t xml:space="preserve">   </w:t>
      </w:r>
      <w:r w:rsidRPr="001F107D">
        <w:rPr>
          <w:sz w:val="18"/>
          <w:lang w:val="es-MX"/>
        </w:rPr>
        <w:t xml:space="preserve">       Fuente: Ministerio de Finanzas Públicas con base al SICOIN.</w:t>
      </w:r>
    </w:p>
    <w:p w:rsidR="00BA61A3" w:rsidRPr="001F107D" w:rsidRDefault="00BA61A3" w:rsidP="00E425C1">
      <w:pPr>
        <w:jc w:val="both"/>
        <w:rPr>
          <w:sz w:val="18"/>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jc w:val="both"/>
        <w:rPr>
          <w:lang w:val="es-MX"/>
        </w:rPr>
      </w:pPr>
    </w:p>
    <w:p w:rsidR="00E425C1" w:rsidRDefault="00E425C1" w:rsidP="00E425C1">
      <w:pPr>
        <w:rPr>
          <w:b/>
          <w:sz w:val="22"/>
          <w:lang w:val="es-MX"/>
        </w:rPr>
      </w:pPr>
      <w:r>
        <w:rPr>
          <w:b/>
          <w:sz w:val="22"/>
          <w:lang w:val="es-MX"/>
        </w:rPr>
        <w:br w:type="page"/>
      </w:r>
    </w:p>
    <w:p w:rsidR="00E425C1" w:rsidRPr="0088577C" w:rsidRDefault="00E425C1" w:rsidP="00E425C1">
      <w:pPr>
        <w:jc w:val="center"/>
        <w:rPr>
          <w:b/>
          <w:sz w:val="22"/>
          <w:lang w:val="es-MX"/>
        </w:rPr>
      </w:pPr>
      <w:r w:rsidRPr="0088577C">
        <w:rPr>
          <w:b/>
          <w:sz w:val="22"/>
          <w:lang w:val="es-MX"/>
        </w:rPr>
        <w:lastRenderedPageBreak/>
        <w:t xml:space="preserve">Cuadro </w:t>
      </w:r>
      <w:r>
        <w:rPr>
          <w:b/>
          <w:sz w:val="22"/>
          <w:lang w:val="es-MX"/>
        </w:rPr>
        <w:t>12</w:t>
      </w:r>
    </w:p>
    <w:p w:rsidR="00E425C1" w:rsidRPr="0088577C" w:rsidRDefault="00E425C1" w:rsidP="00E425C1">
      <w:pPr>
        <w:jc w:val="center"/>
        <w:rPr>
          <w:b/>
          <w:sz w:val="22"/>
          <w:lang w:val="es-MX"/>
        </w:rPr>
      </w:pPr>
      <w:r w:rsidRPr="0088577C">
        <w:rPr>
          <w:b/>
          <w:sz w:val="22"/>
          <w:lang w:val="es-MX"/>
        </w:rPr>
        <w:t>Situación Financiera de la Administración Central</w:t>
      </w:r>
    </w:p>
    <w:p w:rsidR="00E425C1" w:rsidRPr="0088577C" w:rsidRDefault="00E425C1" w:rsidP="00E425C1">
      <w:pPr>
        <w:jc w:val="center"/>
        <w:rPr>
          <w:b/>
          <w:sz w:val="22"/>
          <w:lang w:val="es-MX"/>
        </w:rPr>
      </w:pPr>
      <w:r w:rsidRPr="0088577C">
        <w:rPr>
          <w:b/>
          <w:sz w:val="22"/>
          <w:lang w:val="es-MX"/>
        </w:rPr>
        <w:t>Al 30 de junio de cada año</w:t>
      </w:r>
    </w:p>
    <w:p w:rsidR="00E425C1" w:rsidRDefault="00E425C1" w:rsidP="00E425C1">
      <w:pPr>
        <w:jc w:val="center"/>
        <w:rPr>
          <w:rFonts w:ascii="Calibri" w:eastAsia="Calibri" w:hAnsi="Calibri"/>
          <w:sz w:val="20"/>
          <w:szCs w:val="20"/>
          <w:lang w:val="es-MX" w:eastAsia="es-MX"/>
        </w:rPr>
      </w:pPr>
      <w:r w:rsidRPr="0088577C">
        <w:rPr>
          <w:b/>
          <w:sz w:val="22"/>
          <w:lang w:val="es-MX"/>
        </w:rPr>
        <w:t>(Cifras en Millones de Quetzales)</w:t>
      </w:r>
      <w:r>
        <w:rPr>
          <w:lang w:val="es-MX"/>
        </w:rPr>
        <w:fldChar w:fldCharType="begin"/>
      </w:r>
      <w:r>
        <w:rPr>
          <w:lang w:val="es-MX"/>
        </w:rPr>
        <w:instrText xml:space="preserve"> LINK Excel.Sheet.8 "C:\\Users\\deefoper12\\Documents\\2019\\DEF\\Informe de Medio año\\a junio serie.xls" "Hoja1!F7C3:F38C7" \a \f 4 \h  \* MERGEFORMAT </w:instrText>
      </w:r>
      <w:r>
        <w:rPr>
          <w:lang w:val="es-MX"/>
        </w:rPr>
        <w:fldChar w:fldCharType="separate"/>
      </w:r>
    </w:p>
    <w:tbl>
      <w:tblPr>
        <w:tblW w:w="8470" w:type="dxa"/>
        <w:tblInd w:w="70" w:type="dxa"/>
        <w:tblCellMar>
          <w:left w:w="70" w:type="dxa"/>
          <w:right w:w="70" w:type="dxa"/>
        </w:tblCellMar>
        <w:tblLook w:val="04A0" w:firstRow="1" w:lastRow="0" w:firstColumn="1" w:lastColumn="0" w:noHBand="0" w:noVBand="1"/>
      </w:tblPr>
      <w:tblGrid>
        <w:gridCol w:w="3969"/>
        <w:gridCol w:w="1134"/>
        <w:gridCol w:w="1107"/>
        <w:gridCol w:w="1180"/>
        <w:gridCol w:w="1080"/>
      </w:tblGrid>
      <w:tr w:rsidR="00E425C1" w:rsidRPr="0003499E" w:rsidTr="00BA61A3">
        <w:trPr>
          <w:trHeight w:val="555"/>
        </w:trPr>
        <w:tc>
          <w:tcPr>
            <w:tcW w:w="3969" w:type="dxa"/>
            <w:vMerge w:val="restart"/>
            <w:tcBorders>
              <w:left w:val="single" w:sz="8" w:space="0" w:color="auto"/>
              <w:bottom w:val="single" w:sz="4" w:space="0" w:color="000000"/>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Concepto</w:t>
            </w:r>
          </w:p>
        </w:tc>
        <w:tc>
          <w:tcPr>
            <w:tcW w:w="2241" w:type="dxa"/>
            <w:gridSpan w:val="2"/>
            <w:tcBorders>
              <w:left w:val="single" w:sz="8" w:space="0" w:color="auto"/>
              <w:bottom w:val="single" w:sz="4" w:space="0" w:color="auto"/>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Ejecutado</w:t>
            </w:r>
          </w:p>
        </w:tc>
        <w:tc>
          <w:tcPr>
            <w:tcW w:w="2260" w:type="dxa"/>
            <w:gridSpan w:val="2"/>
            <w:tcBorders>
              <w:left w:val="single" w:sz="8" w:space="0" w:color="auto"/>
              <w:bottom w:val="single" w:sz="4" w:space="0" w:color="auto"/>
              <w:right w:val="single" w:sz="8" w:space="0" w:color="000000"/>
            </w:tcBorders>
            <w:shd w:val="clear" w:color="000000" w:fill="8DB4E2"/>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Diferencias</w:t>
            </w:r>
          </w:p>
        </w:tc>
      </w:tr>
      <w:tr w:rsidR="00E425C1" w:rsidRPr="0003499E" w:rsidTr="00BA61A3">
        <w:trPr>
          <w:trHeight w:val="420"/>
        </w:trPr>
        <w:tc>
          <w:tcPr>
            <w:tcW w:w="3969" w:type="dxa"/>
            <w:vMerge/>
            <w:tcBorders>
              <w:top w:val="single" w:sz="8" w:space="0" w:color="auto"/>
              <w:left w:val="single" w:sz="8" w:space="0" w:color="auto"/>
              <w:bottom w:val="single" w:sz="4" w:space="0" w:color="000000"/>
              <w:right w:val="single" w:sz="8" w:space="0" w:color="auto"/>
            </w:tcBorders>
            <w:vAlign w:val="center"/>
            <w:hideMark/>
          </w:tcPr>
          <w:p w:rsidR="00E425C1" w:rsidRPr="0003499E" w:rsidRDefault="00E425C1" w:rsidP="00E425C1">
            <w:pPr>
              <w:rPr>
                <w:b/>
                <w:bCs/>
                <w:color w:val="000000"/>
                <w:sz w:val="20"/>
                <w:szCs w:val="22"/>
                <w:lang w:val="es-GT" w:eastAsia="es-GT"/>
              </w:rPr>
            </w:pPr>
          </w:p>
        </w:tc>
        <w:tc>
          <w:tcPr>
            <w:tcW w:w="1134" w:type="dxa"/>
            <w:tcBorders>
              <w:top w:val="nil"/>
              <w:left w:val="single" w:sz="8" w:space="0" w:color="auto"/>
              <w:bottom w:val="single" w:sz="4" w:space="0" w:color="auto"/>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2018</w:t>
            </w:r>
          </w:p>
        </w:tc>
        <w:tc>
          <w:tcPr>
            <w:tcW w:w="1107" w:type="dxa"/>
            <w:tcBorders>
              <w:top w:val="nil"/>
              <w:left w:val="single" w:sz="8" w:space="0" w:color="auto"/>
              <w:bottom w:val="single" w:sz="4" w:space="0" w:color="auto"/>
              <w:right w:val="single" w:sz="8" w:space="0" w:color="auto"/>
            </w:tcBorders>
            <w:shd w:val="clear" w:color="000000" w:fill="8DB4E2"/>
            <w:noWrap/>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2019</w:t>
            </w:r>
          </w:p>
        </w:tc>
        <w:tc>
          <w:tcPr>
            <w:tcW w:w="1180" w:type="dxa"/>
            <w:tcBorders>
              <w:top w:val="nil"/>
              <w:left w:val="single" w:sz="8" w:space="0" w:color="auto"/>
              <w:bottom w:val="single" w:sz="4" w:space="0" w:color="auto"/>
              <w:right w:val="single" w:sz="8" w:space="0" w:color="auto"/>
            </w:tcBorders>
            <w:shd w:val="clear" w:color="000000" w:fill="8DB4E2"/>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Absolutas</w:t>
            </w:r>
          </w:p>
        </w:tc>
        <w:tc>
          <w:tcPr>
            <w:tcW w:w="1080" w:type="dxa"/>
            <w:tcBorders>
              <w:top w:val="nil"/>
              <w:left w:val="single" w:sz="8" w:space="0" w:color="auto"/>
              <w:bottom w:val="single" w:sz="4" w:space="0" w:color="auto"/>
              <w:right w:val="single" w:sz="8" w:space="0" w:color="auto"/>
            </w:tcBorders>
            <w:shd w:val="clear" w:color="000000" w:fill="8DB4E2"/>
            <w:vAlign w:val="center"/>
            <w:hideMark/>
          </w:tcPr>
          <w:p w:rsidR="00E425C1" w:rsidRPr="0003499E" w:rsidRDefault="00E425C1" w:rsidP="00E425C1">
            <w:pPr>
              <w:jc w:val="center"/>
              <w:rPr>
                <w:b/>
                <w:bCs/>
                <w:color w:val="000000"/>
                <w:sz w:val="20"/>
                <w:szCs w:val="22"/>
                <w:lang w:val="es-GT" w:eastAsia="es-GT"/>
              </w:rPr>
            </w:pPr>
            <w:r w:rsidRPr="0003499E">
              <w:rPr>
                <w:b/>
                <w:bCs/>
                <w:color w:val="000000"/>
                <w:sz w:val="20"/>
                <w:szCs w:val="22"/>
                <w:lang w:val="es-GT" w:eastAsia="es-GT"/>
              </w:rPr>
              <w:t>Relativas</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 xml:space="preserve">Ingresos Totales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30,668.0</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31,943.4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1,275.5</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Ingresos Corrientes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30,666.8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31,941.4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1,274.6</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Ingresos Tributarios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28,909.4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30,061.2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1,151.8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4.0%</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Impuestos Directos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10,586.6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10,705.8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119.2</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Impuestos Indirectos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18,322.7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19,355.4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1,032.7</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5.6%</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 xml:space="preserve">No Tributarios y Transferencias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1,757.5</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1,880.3</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122.8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7.0%</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400" w:firstLine="800"/>
              <w:rPr>
                <w:sz w:val="20"/>
                <w:szCs w:val="22"/>
                <w:lang w:val="es-GT" w:eastAsia="es-GT"/>
              </w:rPr>
            </w:pPr>
            <w:r w:rsidRPr="0003499E">
              <w:rPr>
                <w:sz w:val="20"/>
                <w:szCs w:val="22"/>
                <w:lang w:val="es-GT" w:eastAsia="es-GT"/>
              </w:rPr>
              <w:t>Contribuciones a la Seguridad Social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952.5</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1,097.1</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144.7</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15.2%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400" w:firstLine="800"/>
              <w:rPr>
                <w:sz w:val="20"/>
                <w:szCs w:val="22"/>
                <w:lang w:val="es-GT" w:eastAsia="es-GT"/>
              </w:rPr>
            </w:pPr>
            <w:r w:rsidRPr="0003499E">
              <w:rPr>
                <w:sz w:val="20"/>
                <w:szCs w:val="22"/>
                <w:lang w:val="es-GT" w:eastAsia="es-GT"/>
              </w:rPr>
              <w:t>Donaciones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77.2</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-66.1</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-85.5%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400" w:firstLine="800"/>
              <w:rPr>
                <w:sz w:val="20"/>
                <w:szCs w:val="22"/>
                <w:lang w:val="es-GT" w:eastAsia="es-GT"/>
              </w:rPr>
            </w:pPr>
            <w:r w:rsidRPr="0003499E">
              <w:rPr>
                <w:sz w:val="20"/>
                <w:szCs w:val="22"/>
                <w:lang w:val="es-GT" w:eastAsia="es-GT"/>
              </w:rPr>
              <w:t>Otros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727.7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771.9</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44.2</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6.1%</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Ingresos de Capital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2.0</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0.8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70.2%</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Gastos Totales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31,277.8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36,441.2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5,163.4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16.5%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Gastos Corrientes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26,349.7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29,655.7</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3,306.0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 xml:space="preserve">Intereses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4,087.6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4,611.4</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523.8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12.8%</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0"/>
              <w:rPr>
                <w:sz w:val="20"/>
                <w:szCs w:val="22"/>
                <w:lang w:val="es-GT" w:eastAsia="es-GT"/>
              </w:rPr>
            </w:pPr>
            <w:r w:rsidRPr="0003499E">
              <w:rPr>
                <w:sz w:val="20"/>
                <w:szCs w:val="22"/>
                <w:lang w:val="es-GT" w:eastAsia="es-GT"/>
              </w:rPr>
              <w:t>Gastos de Capital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4,928.1</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6,785.5</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1,857.4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37.7%</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Resultado en Cuenta Corriente</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4,317.1</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2,285.7</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-2,031.4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-47.1%</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Resultado Primario</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3,477.7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113.6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-3,364.1</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-96.7%</w:t>
            </w:r>
          </w:p>
        </w:tc>
      </w:tr>
      <w:tr w:rsidR="00E425C1" w:rsidRPr="0003499E" w:rsidTr="00BA61A3">
        <w:trPr>
          <w:trHeight w:val="319"/>
        </w:trPr>
        <w:tc>
          <w:tcPr>
            <w:tcW w:w="3969"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BA61A3">
            <w:pPr>
              <w:rPr>
                <w:b/>
                <w:bCs/>
                <w:sz w:val="20"/>
                <w:szCs w:val="22"/>
                <w:lang w:val="es-GT" w:eastAsia="es-GT"/>
              </w:rPr>
            </w:pPr>
            <w:r w:rsidRPr="0003499E">
              <w:rPr>
                <w:b/>
                <w:bCs/>
                <w:sz w:val="20"/>
                <w:szCs w:val="22"/>
                <w:lang w:val="es-GT" w:eastAsia="es-GT"/>
              </w:rPr>
              <w:t>Resultado Presupuesta</w:t>
            </w:r>
            <w:r w:rsidR="00BA61A3">
              <w:rPr>
                <w:b/>
                <w:bCs/>
                <w:sz w:val="20"/>
                <w:szCs w:val="22"/>
                <w:lang w:val="es-GT" w:eastAsia="es-GT"/>
              </w:rPr>
              <w:t>rio</w:t>
            </w:r>
          </w:p>
        </w:tc>
        <w:tc>
          <w:tcPr>
            <w:tcW w:w="1134"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-609.8</w:t>
            </w:r>
          </w:p>
        </w:tc>
        <w:tc>
          <w:tcPr>
            <w:tcW w:w="1107"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-4,497.8</w:t>
            </w:r>
          </w:p>
        </w:tc>
        <w:tc>
          <w:tcPr>
            <w:tcW w:w="11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-3,887.9</w:t>
            </w:r>
          </w:p>
        </w:tc>
        <w:tc>
          <w:tcPr>
            <w:tcW w:w="10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637.5%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b/>
                <w:bCs/>
                <w:sz w:val="20"/>
                <w:szCs w:val="22"/>
                <w:lang w:val="es-GT" w:eastAsia="es-GT"/>
              </w:rPr>
            </w:pPr>
            <w:r w:rsidRPr="0003499E">
              <w:rPr>
                <w:b/>
                <w:bCs/>
                <w:sz w:val="20"/>
                <w:szCs w:val="22"/>
                <w:lang w:val="es-GT" w:eastAsia="es-GT"/>
              </w:rPr>
              <w:t>Financiamiento Total</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609.8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4,497.8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3,887.9</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637.5%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1"/>
              <w:rPr>
                <w:b/>
                <w:bCs/>
                <w:sz w:val="20"/>
                <w:szCs w:val="22"/>
                <w:lang w:val="es-GT" w:eastAsia="es-GT"/>
              </w:rPr>
            </w:pPr>
            <w:r w:rsidRPr="0003499E">
              <w:rPr>
                <w:b/>
                <w:bCs/>
                <w:sz w:val="20"/>
                <w:szCs w:val="22"/>
                <w:lang w:val="es-GT" w:eastAsia="es-GT"/>
              </w:rPr>
              <w:t>Financiamiento Externo Neto</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-687.6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7,955.3</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8,642.9</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-1257.0%</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Préstamos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-687.6</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-1,311.9</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-624.3</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90.8%</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 xml:space="preserve">Desembolsos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519.8</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135.8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-384.0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-73.9%</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Amo</w:t>
            </w:r>
            <w:r>
              <w:rPr>
                <w:sz w:val="20"/>
                <w:szCs w:val="22"/>
                <w:lang w:val="es-GT" w:eastAsia="es-GT"/>
              </w:rPr>
              <w:t>r</w:t>
            </w:r>
            <w:r w:rsidRPr="0003499E">
              <w:rPr>
                <w:sz w:val="20"/>
                <w:szCs w:val="22"/>
                <w:lang w:val="es-GT" w:eastAsia="es-GT"/>
              </w:rPr>
              <w:t>tizaciones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1,207.4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1,447.8</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240.3</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19.9%</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Negociación Neta de Eurobonos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0.0</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9,267.2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9,267.2</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rPr>
                <w:sz w:val="20"/>
                <w:szCs w:val="22"/>
                <w:lang w:val="es-GT" w:eastAsia="es-GT"/>
              </w:rPr>
            </w:pPr>
            <w:r w:rsidRPr="0003499E">
              <w:rPr>
                <w:sz w:val="20"/>
                <w:szCs w:val="22"/>
                <w:lang w:val="es-GT" w:eastAsia="es-GT"/>
              </w:rPr>
              <w:t> </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100" w:firstLine="201"/>
              <w:rPr>
                <w:b/>
                <w:bCs/>
                <w:sz w:val="20"/>
                <w:szCs w:val="22"/>
                <w:lang w:val="es-GT" w:eastAsia="es-GT"/>
              </w:rPr>
            </w:pPr>
            <w:r w:rsidRPr="0003499E">
              <w:rPr>
                <w:b/>
                <w:bCs/>
                <w:sz w:val="20"/>
                <w:szCs w:val="22"/>
                <w:lang w:val="es-GT" w:eastAsia="es-GT"/>
              </w:rPr>
              <w:t>Financiamiento Interno Neto</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1,297.4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-3,457.6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-4,755.0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b/>
                <w:bCs/>
                <w:sz w:val="20"/>
                <w:szCs w:val="22"/>
                <w:lang w:val="es-GT" w:eastAsia="es-GT"/>
              </w:rPr>
            </w:pPr>
            <w:r w:rsidRPr="0003499E">
              <w:rPr>
                <w:b/>
                <w:bCs/>
                <w:sz w:val="20"/>
                <w:szCs w:val="22"/>
                <w:lang w:val="es-GT" w:eastAsia="es-GT"/>
              </w:rPr>
              <w:t>-366.5%</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 xml:space="preserve">Negociación Neta </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4,451.5</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5,147.2</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695.8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15.6%</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Negociación de Bonos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5,379.1</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8,160.9</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2,781.8</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51.7%</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300" w:firstLine="600"/>
              <w:rPr>
                <w:sz w:val="20"/>
                <w:szCs w:val="22"/>
                <w:lang w:val="es-GT" w:eastAsia="es-GT"/>
              </w:rPr>
            </w:pPr>
            <w:r w:rsidRPr="0003499E">
              <w:rPr>
                <w:sz w:val="20"/>
                <w:szCs w:val="22"/>
                <w:lang w:val="es-GT" w:eastAsia="es-GT"/>
              </w:rPr>
              <w:t>Amortizaciones</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927.7</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3,013.6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2,086.0</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224.9%</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Colocación de Primas de Deuda Interna</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294.2</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402.6</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108.4</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36.8%</w:t>
            </w:r>
          </w:p>
        </w:tc>
      </w:tr>
      <w:tr w:rsidR="00E425C1" w:rsidRPr="0003499E" w:rsidTr="00BA61A3">
        <w:trPr>
          <w:trHeight w:val="319"/>
        </w:trPr>
        <w:tc>
          <w:tcPr>
            <w:tcW w:w="3969"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ind w:firstLineChars="200" w:firstLine="400"/>
              <w:rPr>
                <w:sz w:val="20"/>
                <w:szCs w:val="22"/>
                <w:lang w:val="es-GT" w:eastAsia="es-GT"/>
              </w:rPr>
            </w:pPr>
            <w:r w:rsidRPr="0003499E">
              <w:rPr>
                <w:sz w:val="20"/>
                <w:szCs w:val="22"/>
                <w:lang w:val="es-GT" w:eastAsia="es-GT"/>
              </w:rPr>
              <w:t>Amortización Primas de Deuda Interna</w:t>
            </w:r>
          </w:p>
        </w:tc>
        <w:tc>
          <w:tcPr>
            <w:tcW w:w="1134"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18.4</w:t>
            </w:r>
          </w:p>
        </w:tc>
        <w:tc>
          <w:tcPr>
            <w:tcW w:w="1107"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1.1</w:t>
            </w:r>
          </w:p>
        </w:tc>
        <w:tc>
          <w:tcPr>
            <w:tcW w:w="11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-17.3</w:t>
            </w:r>
          </w:p>
        </w:tc>
        <w:tc>
          <w:tcPr>
            <w:tcW w:w="1080" w:type="dxa"/>
            <w:tcBorders>
              <w:top w:val="nil"/>
              <w:left w:val="single" w:sz="8" w:space="0" w:color="auto"/>
              <w:bottom w:val="nil"/>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-94.3%</w:t>
            </w:r>
          </w:p>
        </w:tc>
      </w:tr>
      <w:tr w:rsidR="00E425C1" w:rsidRPr="0003499E" w:rsidTr="00BA61A3">
        <w:trPr>
          <w:trHeight w:val="360"/>
        </w:trPr>
        <w:tc>
          <w:tcPr>
            <w:tcW w:w="3969"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rPr>
                <w:sz w:val="20"/>
                <w:szCs w:val="22"/>
                <w:lang w:val="es-GT" w:eastAsia="es-GT"/>
              </w:rPr>
            </w:pPr>
            <w:r w:rsidRPr="0003499E">
              <w:rPr>
                <w:sz w:val="20"/>
                <w:szCs w:val="22"/>
                <w:lang w:val="es-GT" w:eastAsia="es-GT"/>
              </w:rPr>
              <w:t>Variación de Caja (+) disminución (-) aumento</w:t>
            </w:r>
          </w:p>
        </w:tc>
        <w:tc>
          <w:tcPr>
            <w:tcW w:w="1134"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-3,429.9</w:t>
            </w:r>
          </w:p>
        </w:tc>
        <w:tc>
          <w:tcPr>
            <w:tcW w:w="1107"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-9,006.4</w:t>
            </w:r>
          </w:p>
        </w:tc>
        <w:tc>
          <w:tcPr>
            <w:tcW w:w="11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-5,576.5</w:t>
            </w:r>
          </w:p>
        </w:tc>
        <w:tc>
          <w:tcPr>
            <w:tcW w:w="1080" w:type="dxa"/>
            <w:tcBorders>
              <w:top w:val="nil"/>
              <w:left w:val="single" w:sz="8" w:space="0" w:color="auto"/>
              <w:bottom w:val="single" w:sz="8" w:space="0" w:color="auto"/>
              <w:right w:val="single" w:sz="8" w:space="0" w:color="auto"/>
            </w:tcBorders>
            <w:shd w:val="clear" w:color="000000" w:fill="FFFFFF"/>
            <w:noWrap/>
            <w:vAlign w:val="bottom"/>
            <w:hideMark/>
          </w:tcPr>
          <w:p w:rsidR="00E425C1" w:rsidRPr="0003499E" w:rsidRDefault="00E425C1" w:rsidP="00E425C1">
            <w:pPr>
              <w:jc w:val="right"/>
              <w:rPr>
                <w:sz w:val="20"/>
                <w:szCs w:val="22"/>
                <w:lang w:val="es-GT" w:eastAsia="es-GT"/>
              </w:rPr>
            </w:pPr>
            <w:r w:rsidRPr="0003499E">
              <w:rPr>
                <w:sz w:val="20"/>
                <w:szCs w:val="22"/>
                <w:lang w:val="es-GT" w:eastAsia="es-GT"/>
              </w:rPr>
              <w:t>162.6%</w:t>
            </w:r>
          </w:p>
        </w:tc>
      </w:tr>
    </w:tbl>
    <w:p w:rsidR="00E425C1" w:rsidRDefault="00E425C1" w:rsidP="00E425C1">
      <w:pPr>
        <w:jc w:val="both"/>
        <w:rPr>
          <w:sz w:val="16"/>
          <w:lang w:val="es-MX"/>
        </w:rPr>
      </w:pPr>
      <w:r>
        <w:rPr>
          <w:sz w:val="16"/>
          <w:lang w:val="es-MX"/>
        </w:rPr>
        <w:fldChar w:fldCharType="end"/>
      </w:r>
      <w:r w:rsidRPr="003024D7">
        <w:rPr>
          <w:sz w:val="18"/>
          <w:lang w:val="es-MX"/>
        </w:rPr>
        <w:t>* Cifras preliminares</w:t>
      </w:r>
      <w:r>
        <w:rPr>
          <w:sz w:val="16"/>
          <w:lang w:val="es-MX"/>
        </w:rPr>
        <w:t>.</w:t>
      </w:r>
    </w:p>
    <w:p w:rsidR="00BA61A3" w:rsidRPr="003024D7" w:rsidRDefault="00BA61A3" w:rsidP="00BA61A3">
      <w:pPr>
        <w:jc w:val="both"/>
        <w:rPr>
          <w:sz w:val="18"/>
          <w:lang w:val="es-MX"/>
        </w:rPr>
      </w:pPr>
      <w:r>
        <w:rPr>
          <w:sz w:val="18"/>
          <w:lang w:val="es-MX"/>
        </w:rPr>
        <w:t xml:space="preserve">   </w:t>
      </w:r>
      <w:r w:rsidRPr="003024D7">
        <w:rPr>
          <w:sz w:val="18"/>
          <w:lang w:val="es-MX"/>
        </w:rPr>
        <w:t>Fuente: Ministerio de Finanzas Públicas con base al SICOIN.</w:t>
      </w:r>
    </w:p>
    <w:p w:rsidR="00BA61A3" w:rsidRPr="000C3FEC" w:rsidRDefault="00BA61A3" w:rsidP="00E425C1">
      <w:pPr>
        <w:jc w:val="both"/>
        <w:rPr>
          <w:sz w:val="16"/>
          <w:lang w:val="es-MX"/>
        </w:rPr>
      </w:pPr>
    </w:p>
    <w:p w:rsidR="00E425C1" w:rsidRPr="00FB641E" w:rsidRDefault="00E425C1" w:rsidP="00E425C1">
      <w:pPr>
        <w:jc w:val="both"/>
        <w:rPr>
          <w:sz w:val="12"/>
          <w:lang w:val="es-MX"/>
        </w:rPr>
      </w:pPr>
    </w:p>
    <w:p w:rsidR="00E425C1" w:rsidRPr="00FB641E" w:rsidRDefault="00E425C1" w:rsidP="00E425C1">
      <w:pPr>
        <w:jc w:val="both"/>
        <w:rPr>
          <w:lang w:val="es-MX"/>
        </w:rPr>
      </w:pPr>
    </w:p>
    <w:p w:rsidR="00E425C1" w:rsidRDefault="00E425C1" w:rsidP="00E425C1">
      <w:pPr>
        <w:rPr>
          <w:b/>
          <w:bCs/>
          <w:szCs w:val="26"/>
          <w:highlight w:val="yellow"/>
        </w:rPr>
      </w:pPr>
      <w:r>
        <w:rPr>
          <w:highlight w:val="yellow"/>
        </w:rPr>
        <w:br w:type="page"/>
      </w:r>
    </w:p>
    <w:p w:rsidR="00E425C1" w:rsidRPr="00AB0496" w:rsidRDefault="00E425C1" w:rsidP="00E425C1">
      <w:pPr>
        <w:keepNext/>
        <w:keepLines/>
        <w:numPr>
          <w:ilvl w:val="2"/>
          <w:numId w:val="4"/>
        </w:numPr>
        <w:spacing w:before="200"/>
        <w:outlineLvl w:val="2"/>
        <w:rPr>
          <w:b/>
          <w:bCs/>
          <w:lang w:val="es-MX"/>
        </w:rPr>
      </w:pPr>
      <w:bookmarkStart w:id="19" w:name="_Toc20495572"/>
      <w:r w:rsidRPr="00AB0496">
        <w:rPr>
          <w:b/>
          <w:bCs/>
          <w:lang w:val="es-MX"/>
        </w:rPr>
        <w:lastRenderedPageBreak/>
        <w:t>Servicio</w:t>
      </w:r>
      <w:r>
        <w:rPr>
          <w:b/>
          <w:bCs/>
          <w:lang w:val="es-MX"/>
        </w:rPr>
        <w:t>s</w:t>
      </w:r>
      <w:r w:rsidRPr="00AB0496">
        <w:rPr>
          <w:b/>
          <w:bCs/>
          <w:lang w:val="es-MX"/>
        </w:rPr>
        <w:t xml:space="preserve"> de la </w:t>
      </w:r>
      <w:r>
        <w:rPr>
          <w:b/>
          <w:bCs/>
          <w:lang w:val="es-MX"/>
        </w:rPr>
        <w:t>D</w:t>
      </w:r>
      <w:r w:rsidRPr="00AB0496">
        <w:rPr>
          <w:b/>
          <w:bCs/>
          <w:lang w:val="es-MX"/>
        </w:rPr>
        <w:t xml:space="preserve">euda </w:t>
      </w:r>
      <w:r>
        <w:rPr>
          <w:b/>
          <w:bCs/>
          <w:lang w:val="es-MX"/>
        </w:rPr>
        <w:t>P</w:t>
      </w:r>
      <w:r w:rsidRPr="00AB0496">
        <w:rPr>
          <w:b/>
          <w:bCs/>
          <w:lang w:val="es-MX"/>
        </w:rPr>
        <w:t>ública</w:t>
      </w:r>
      <w:bookmarkEnd w:id="19"/>
    </w:p>
    <w:p w:rsidR="00E425C1" w:rsidRPr="00615FD2" w:rsidRDefault="00E425C1" w:rsidP="00E425C1">
      <w:pPr>
        <w:jc w:val="both"/>
      </w:pPr>
    </w:p>
    <w:p w:rsidR="00E425C1" w:rsidRPr="00615FD2" w:rsidRDefault="00E425C1" w:rsidP="00E425C1">
      <w:pPr>
        <w:jc w:val="both"/>
        <w:rPr>
          <w:lang w:val="es-MX"/>
        </w:rPr>
      </w:pPr>
      <w:r w:rsidRPr="00615FD2">
        <w:rPr>
          <w:lang w:val="es-MX"/>
        </w:rPr>
        <w:t>El Ministerio de Finanzas Públicas</w:t>
      </w:r>
      <w:r>
        <w:rPr>
          <w:lang w:val="es-MX"/>
        </w:rPr>
        <w:t>, a través de la Dirección de Crédito Público,</w:t>
      </w:r>
      <w:r w:rsidRPr="00615FD2">
        <w:rPr>
          <w:lang w:val="es-MX"/>
        </w:rPr>
        <w:t xml:space="preserve"> ha efectuado el pago de las obligaciones programadas de</w:t>
      </w:r>
      <w:r>
        <w:rPr>
          <w:lang w:val="es-MX"/>
        </w:rPr>
        <w:t xml:space="preserve"> los</w:t>
      </w:r>
      <w:r w:rsidRPr="00615FD2">
        <w:rPr>
          <w:lang w:val="es-MX"/>
        </w:rPr>
        <w:t xml:space="preserve"> </w:t>
      </w:r>
      <w:r>
        <w:rPr>
          <w:lang w:val="es-MX"/>
        </w:rPr>
        <w:t>S</w:t>
      </w:r>
      <w:r w:rsidRPr="00615FD2">
        <w:rPr>
          <w:lang w:val="es-MX"/>
        </w:rPr>
        <w:t>ervicio</w:t>
      </w:r>
      <w:r>
        <w:rPr>
          <w:lang w:val="es-MX"/>
        </w:rPr>
        <w:t>s</w:t>
      </w:r>
      <w:r w:rsidRPr="00615FD2">
        <w:rPr>
          <w:lang w:val="es-MX"/>
        </w:rPr>
        <w:t xml:space="preserve"> de la </w:t>
      </w:r>
      <w:r>
        <w:rPr>
          <w:lang w:val="es-MX"/>
        </w:rPr>
        <w:t>D</w:t>
      </w:r>
      <w:r w:rsidRPr="00615FD2">
        <w:rPr>
          <w:lang w:val="es-MX"/>
        </w:rPr>
        <w:t xml:space="preserve">euda </w:t>
      </w:r>
      <w:r>
        <w:rPr>
          <w:lang w:val="es-MX"/>
        </w:rPr>
        <w:t>P</w:t>
      </w:r>
      <w:r w:rsidRPr="00615FD2">
        <w:rPr>
          <w:lang w:val="es-MX"/>
        </w:rPr>
        <w:t>ública, alcanzando una ejecución al 30 de junio de 201</w:t>
      </w:r>
      <w:r w:rsidR="00046E3F">
        <w:rPr>
          <w:lang w:val="es-MX"/>
        </w:rPr>
        <w:t>9</w:t>
      </w:r>
      <w:r w:rsidRPr="00615FD2">
        <w:rPr>
          <w:lang w:val="es-MX"/>
        </w:rPr>
        <w:t xml:space="preserve"> de Q</w:t>
      </w:r>
      <w:r>
        <w:rPr>
          <w:lang w:val="es-MX"/>
        </w:rPr>
        <w:t>.6</w:t>
      </w:r>
      <w:r w:rsidRPr="00615FD2">
        <w:rPr>
          <w:lang w:val="es-MX"/>
        </w:rPr>
        <w:t>,</w:t>
      </w:r>
      <w:r>
        <w:rPr>
          <w:lang w:val="es-MX"/>
        </w:rPr>
        <w:t>060.2 millones, equivalentes</w:t>
      </w:r>
      <w:r w:rsidRPr="00615FD2">
        <w:rPr>
          <w:lang w:val="es-MX"/>
        </w:rPr>
        <w:t xml:space="preserve"> al </w:t>
      </w:r>
      <w:r>
        <w:rPr>
          <w:lang w:val="es-MX"/>
        </w:rPr>
        <w:t>45.4</w:t>
      </w:r>
      <w:r w:rsidRPr="00615FD2">
        <w:rPr>
          <w:lang w:val="es-MX"/>
        </w:rPr>
        <w:t xml:space="preserve">% </w:t>
      </w:r>
      <w:r>
        <w:rPr>
          <w:lang w:val="es-MX"/>
        </w:rPr>
        <w:t>de su asignación presupuestaria programada</w:t>
      </w:r>
      <w:r w:rsidRPr="00615FD2">
        <w:rPr>
          <w:lang w:val="es-MX"/>
        </w:rPr>
        <w:t xml:space="preserve">. Dicho monto </w:t>
      </w:r>
      <w:r>
        <w:rPr>
          <w:lang w:val="es-MX"/>
        </w:rPr>
        <w:t xml:space="preserve">está conformado por deuda </w:t>
      </w:r>
      <w:r w:rsidRPr="00615FD2">
        <w:rPr>
          <w:lang w:val="es-MX"/>
        </w:rPr>
        <w:t>interna</w:t>
      </w:r>
      <w:r>
        <w:rPr>
          <w:lang w:val="es-MX"/>
        </w:rPr>
        <w:t xml:space="preserve"> (bonificada)</w:t>
      </w:r>
      <w:r w:rsidRPr="00615FD2">
        <w:rPr>
          <w:lang w:val="es-MX"/>
        </w:rPr>
        <w:t xml:space="preserve"> por Q</w:t>
      </w:r>
      <w:r>
        <w:rPr>
          <w:lang w:val="es-MX"/>
        </w:rPr>
        <w:t>.3</w:t>
      </w:r>
      <w:r w:rsidRPr="00615FD2">
        <w:rPr>
          <w:lang w:val="es-MX"/>
        </w:rPr>
        <w:t>,</w:t>
      </w:r>
      <w:r>
        <w:rPr>
          <w:lang w:val="es-MX"/>
        </w:rPr>
        <w:t>144.6</w:t>
      </w:r>
      <w:r w:rsidRPr="00615FD2">
        <w:rPr>
          <w:lang w:val="es-MX"/>
        </w:rPr>
        <w:t xml:space="preserve"> millones, equivalentes al </w:t>
      </w:r>
      <w:r>
        <w:rPr>
          <w:lang w:val="es-MX"/>
        </w:rPr>
        <w:t>51.9</w:t>
      </w:r>
      <w:r w:rsidRPr="00615FD2">
        <w:rPr>
          <w:lang w:val="es-MX"/>
        </w:rPr>
        <w:t>%; y deuda externa</w:t>
      </w:r>
      <w:r>
        <w:rPr>
          <w:lang w:val="es-MX"/>
        </w:rPr>
        <w:t xml:space="preserve"> (eurobonos y préstamos externos)</w:t>
      </w:r>
      <w:r w:rsidRPr="00615FD2">
        <w:rPr>
          <w:lang w:val="es-MX"/>
        </w:rPr>
        <w:t>, con una ejecución de Q</w:t>
      </w:r>
      <w:r>
        <w:rPr>
          <w:lang w:val="es-MX"/>
        </w:rPr>
        <w:t>.</w:t>
      </w:r>
      <w:r w:rsidRPr="00615FD2">
        <w:rPr>
          <w:lang w:val="es-MX"/>
        </w:rPr>
        <w:t>2,</w:t>
      </w:r>
      <w:r>
        <w:rPr>
          <w:lang w:val="es-MX"/>
        </w:rPr>
        <w:t>915.6</w:t>
      </w:r>
      <w:r w:rsidRPr="00615FD2">
        <w:rPr>
          <w:lang w:val="es-MX"/>
        </w:rPr>
        <w:t xml:space="preserve"> millones, correspondientes al </w:t>
      </w:r>
      <w:r>
        <w:rPr>
          <w:lang w:val="es-MX"/>
        </w:rPr>
        <w:t>48.1</w:t>
      </w:r>
      <w:r w:rsidRPr="00615FD2">
        <w:rPr>
          <w:lang w:val="es-MX"/>
        </w:rPr>
        <w:t>%.</w:t>
      </w:r>
    </w:p>
    <w:p w:rsidR="00E425C1" w:rsidRDefault="00E425C1" w:rsidP="00E425C1">
      <w:pPr>
        <w:jc w:val="center"/>
        <w:rPr>
          <w:b/>
          <w:sz w:val="22"/>
          <w:lang w:val="es-MX"/>
        </w:rPr>
      </w:pPr>
    </w:p>
    <w:p w:rsidR="00E425C1" w:rsidRDefault="00E425C1" w:rsidP="00E425C1">
      <w:pPr>
        <w:jc w:val="center"/>
        <w:rPr>
          <w:b/>
          <w:sz w:val="22"/>
          <w:lang w:val="es-MX"/>
        </w:rPr>
      </w:pPr>
    </w:p>
    <w:p w:rsidR="00E425C1" w:rsidRPr="00FB641E" w:rsidRDefault="00E425C1" w:rsidP="00E425C1">
      <w:pPr>
        <w:jc w:val="center"/>
        <w:rPr>
          <w:b/>
          <w:sz w:val="22"/>
          <w:lang w:val="es-MX"/>
        </w:rPr>
      </w:pPr>
      <w:r w:rsidRPr="00FB641E">
        <w:rPr>
          <w:b/>
          <w:sz w:val="22"/>
          <w:lang w:val="es-MX"/>
        </w:rPr>
        <w:t xml:space="preserve">Gráfica </w:t>
      </w:r>
      <w:r>
        <w:rPr>
          <w:b/>
          <w:sz w:val="22"/>
          <w:lang w:val="es-MX"/>
        </w:rPr>
        <w:t>13</w:t>
      </w:r>
    </w:p>
    <w:p w:rsidR="00E425C1" w:rsidRPr="0088577C" w:rsidRDefault="00E425C1" w:rsidP="00E425C1">
      <w:pPr>
        <w:jc w:val="center"/>
        <w:rPr>
          <w:b/>
          <w:sz w:val="22"/>
          <w:szCs w:val="22"/>
          <w:lang w:val="es-MX"/>
        </w:rPr>
      </w:pPr>
      <w:r>
        <w:rPr>
          <w:b/>
          <w:sz w:val="22"/>
          <w:szCs w:val="22"/>
          <w:lang w:val="es-MX"/>
        </w:rPr>
        <w:t>Comportamiento del Saldo de la Deuda Pública*</w:t>
      </w:r>
    </w:p>
    <w:p w:rsidR="00E425C1" w:rsidRPr="0088577C" w:rsidRDefault="00E425C1" w:rsidP="00E425C1">
      <w:pPr>
        <w:jc w:val="center"/>
        <w:rPr>
          <w:b/>
          <w:sz w:val="22"/>
          <w:szCs w:val="22"/>
          <w:lang w:val="es-MX"/>
        </w:rPr>
      </w:pPr>
      <w:r>
        <w:rPr>
          <w:b/>
          <w:sz w:val="22"/>
          <w:szCs w:val="22"/>
          <w:lang w:val="es-MX"/>
        </w:rPr>
        <w:t xml:space="preserve">Período </w:t>
      </w:r>
      <w:r w:rsidRPr="0088577C">
        <w:rPr>
          <w:b/>
          <w:sz w:val="22"/>
          <w:szCs w:val="22"/>
          <w:lang w:val="es-MX"/>
        </w:rPr>
        <w:t>200</w:t>
      </w:r>
      <w:r>
        <w:rPr>
          <w:b/>
          <w:sz w:val="22"/>
          <w:szCs w:val="22"/>
          <w:lang w:val="es-MX"/>
        </w:rPr>
        <w:t>9</w:t>
      </w:r>
      <w:r w:rsidR="00046E3F">
        <w:rPr>
          <w:b/>
          <w:sz w:val="22"/>
          <w:szCs w:val="22"/>
          <w:lang w:val="es-MX"/>
        </w:rPr>
        <w:t xml:space="preserve"> </w:t>
      </w:r>
      <w:r>
        <w:rPr>
          <w:b/>
          <w:sz w:val="22"/>
          <w:szCs w:val="22"/>
          <w:lang w:val="es-MX"/>
        </w:rPr>
        <w:t>-</w:t>
      </w:r>
      <w:r w:rsidR="00046E3F">
        <w:rPr>
          <w:b/>
          <w:sz w:val="22"/>
          <w:szCs w:val="22"/>
          <w:lang w:val="es-MX"/>
        </w:rPr>
        <w:t xml:space="preserve"> </w:t>
      </w:r>
      <w:r w:rsidRPr="0088577C">
        <w:rPr>
          <w:b/>
          <w:sz w:val="22"/>
          <w:szCs w:val="22"/>
          <w:lang w:val="es-MX"/>
        </w:rPr>
        <w:t>201</w:t>
      </w:r>
      <w:r>
        <w:rPr>
          <w:b/>
          <w:sz w:val="22"/>
          <w:szCs w:val="22"/>
          <w:lang w:val="es-MX"/>
        </w:rPr>
        <w:t>9</w:t>
      </w:r>
    </w:p>
    <w:p w:rsidR="00E425C1" w:rsidRPr="0088577C" w:rsidRDefault="00E425C1" w:rsidP="00E425C1">
      <w:pPr>
        <w:jc w:val="center"/>
        <w:rPr>
          <w:b/>
          <w:sz w:val="22"/>
          <w:szCs w:val="22"/>
          <w:lang w:val="es-MX"/>
        </w:rPr>
      </w:pPr>
      <w:r w:rsidRPr="0088577C">
        <w:rPr>
          <w:b/>
          <w:sz w:val="22"/>
          <w:szCs w:val="22"/>
          <w:lang w:val="es-MX"/>
        </w:rPr>
        <w:t>(Cifras en Millones de Quetzales y Porcentajes del PIB)</w:t>
      </w:r>
    </w:p>
    <w:p w:rsidR="00E425C1" w:rsidRDefault="00E425C1" w:rsidP="00E425C1">
      <w:pPr>
        <w:jc w:val="both"/>
        <w:rPr>
          <w:lang w:val="es-MX"/>
        </w:rPr>
      </w:pPr>
      <w:r>
        <w:rPr>
          <w:noProof/>
          <w:lang w:val="es-GT" w:eastAsia="es-GT"/>
        </w:rPr>
        <w:drawing>
          <wp:inline distT="0" distB="0" distL="0" distR="0" wp14:anchorId="161FD3E8" wp14:editId="5E112A98">
            <wp:extent cx="5609230" cy="3179928"/>
            <wp:effectExtent l="0" t="0" r="10795"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425C1" w:rsidRDefault="00E425C1" w:rsidP="00E425C1">
      <w:pPr>
        <w:jc w:val="both"/>
        <w:rPr>
          <w:sz w:val="18"/>
          <w:lang w:val="es-MX"/>
        </w:rPr>
      </w:pPr>
      <w:r w:rsidRPr="00046E3F">
        <w:rPr>
          <w:sz w:val="18"/>
          <w:lang w:val="es-MX"/>
        </w:rPr>
        <w:t>* De 2009 a 2018 corresponde al saldo de la Deuda Pública al final del año; y en 2019 corresponde al saldo a junio.</w:t>
      </w:r>
    </w:p>
    <w:p w:rsidR="00BA61A3" w:rsidRPr="00046E3F" w:rsidRDefault="00BA61A3" w:rsidP="00BA61A3">
      <w:pPr>
        <w:jc w:val="both"/>
        <w:rPr>
          <w:sz w:val="18"/>
          <w:lang w:val="es-MX"/>
        </w:rPr>
      </w:pPr>
      <w:r w:rsidRPr="00046E3F">
        <w:rPr>
          <w:sz w:val="18"/>
          <w:lang w:val="es-MX"/>
        </w:rPr>
        <w:t xml:space="preserve">   Fuente: Ministerio de Finanzas Públicas.</w:t>
      </w:r>
    </w:p>
    <w:p w:rsidR="00BA61A3" w:rsidRPr="00046E3F" w:rsidRDefault="00BA61A3" w:rsidP="00E425C1">
      <w:pPr>
        <w:jc w:val="both"/>
        <w:rPr>
          <w:sz w:val="18"/>
          <w:lang w:val="es-MX"/>
        </w:rPr>
      </w:pPr>
    </w:p>
    <w:p w:rsidR="00E425C1" w:rsidRPr="00806DD8" w:rsidRDefault="00E425C1" w:rsidP="00E425C1">
      <w:pPr>
        <w:jc w:val="both"/>
        <w:rPr>
          <w:sz w:val="32"/>
          <w:lang w:val="es-MX"/>
        </w:rPr>
      </w:pPr>
    </w:p>
    <w:p w:rsidR="00E425C1" w:rsidRPr="00615FD2" w:rsidRDefault="00E425C1" w:rsidP="00E425C1">
      <w:pPr>
        <w:jc w:val="both"/>
        <w:rPr>
          <w:lang w:val="es-MX"/>
        </w:rPr>
      </w:pPr>
      <w:r>
        <w:rPr>
          <w:lang w:val="es-MX"/>
        </w:rPr>
        <w:t>Durante el per</w:t>
      </w:r>
      <w:r w:rsidR="00046E3F">
        <w:rPr>
          <w:lang w:val="es-MX"/>
        </w:rPr>
        <w:t>í</w:t>
      </w:r>
      <w:r>
        <w:rPr>
          <w:lang w:val="es-MX"/>
        </w:rPr>
        <w:t>odo de 2009 a 2019, el saldo de la deuda publica mantiene en términos absolutos un comportamiento creciente con una tasa promedio anual de 7.6%; sin embargo, al observar la situación de la deuda pública con relación al PIB, la misma manifiesta una tendencia decreciente, ubicándose en 23.7%</w:t>
      </w:r>
      <w:r w:rsidR="00046E3F">
        <w:rPr>
          <w:lang w:val="es-MX"/>
        </w:rPr>
        <w:t xml:space="preserve"> en 2019</w:t>
      </w:r>
      <w:r>
        <w:rPr>
          <w:lang w:val="es-MX"/>
        </w:rPr>
        <w:t xml:space="preserve">, monto </w:t>
      </w:r>
      <w:r w:rsidRPr="00E5644C">
        <w:rPr>
          <w:lang w:val="es-MX"/>
        </w:rPr>
        <w:t>por debajo del riesgo global de sobreendeudamiento para economías de d</w:t>
      </w:r>
      <w:r>
        <w:rPr>
          <w:lang w:val="es-MX"/>
        </w:rPr>
        <w:t>esempeño mediano, del 40</w:t>
      </w:r>
      <w:r w:rsidR="00046E3F">
        <w:rPr>
          <w:lang w:val="es-MX"/>
        </w:rPr>
        <w:t>.0</w:t>
      </w:r>
      <w:r>
        <w:rPr>
          <w:lang w:val="es-MX"/>
        </w:rPr>
        <w:t xml:space="preserve">% establecido en </w:t>
      </w:r>
      <w:r w:rsidRPr="00E5644C">
        <w:rPr>
          <w:lang w:val="es-MX"/>
        </w:rPr>
        <w:t>el marco de sostenibilidad de la deuda</w:t>
      </w:r>
      <w:r>
        <w:rPr>
          <w:lang w:val="es-MX"/>
        </w:rPr>
        <w:t>, por parte</w:t>
      </w:r>
      <w:r w:rsidRPr="00E5644C">
        <w:rPr>
          <w:lang w:val="es-MX"/>
        </w:rPr>
        <w:t xml:space="preserve"> del Fondo Monetario Internacional (FMI) y el Banco Mundial (BM)</w:t>
      </w:r>
      <w:r>
        <w:rPr>
          <w:lang w:val="es-MX"/>
        </w:rPr>
        <w:t>.</w:t>
      </w:r>
    </w:p>
    <w:p w:rsidR="00E425C1" w:rsidRDefault="00E425C1" w:rsidP="00E425C1">
      <w:pPr>
        <w:jc w:val="both"/>
        <w:rPr>
          <w:lang w:val="es-MX"/>
        </w:rPr>
      </w:pPr>
    </w:p>
    <w:p w:rsidR="00E425C1" w:rsidRDefault="00E425C1" w:rsidP="00E425C1">
      <w:pPr>
        <w:rPr>
          <w:sz w:val="16"/>
          <w:lang w:val="es-MX"/>
        </w:rPr>
      </w:pPr>
    </w:p>
    <w:p w:rsidR="00E425C1" w:rsidRDefault="00E425C1">
      <w:pPr>
        <w:rPr>
          <w:highlight w:val="yellow"/>
          <w:lang w:val="es-MX"/>
        </w:rPr>
      </w:pPr>
    </w:p>
    <w:p w:rsidR="00E425C1" w:rsidRDefault="00E425C1">
      <w:pPr>
        <w:rPr>
          <w:highlight w:val="yellow"/>
          <w:lang w:val="es-MX"/>
        </w:rPr>
      </w:pPr>
    </w:p>
    <w:p w:rsidR="00E425C1" w:rsidRDefault="00E425C1">
      <w:pPr>
        <w:rPr>
          <w:highlight w:val="yellow"/>
          <w:lang w:val="es-MX"/>
        </w:rPr>
      </w:pPr>
    </w:p>
    <w:p w:rsidR="001B713E" w:rsidRDefault="001B713E">
      <w:pPr>
        <w:rPr>
          <w:highlight w:val="yellow"/>
          <w:lang w:val="es-MX"/>
        </w:rPr>
      </w:pPr>
    </w:p>
    <w:p w:rsidR="001B713E" w:rsidRDefault="001B713E">
      <w:pPr>
        <w:rPr>
          <w:highlight w:val="yellow"/>
          <w:lang w:val="es-MX"/>
        </w:rPr>
      </w:pPr>
    </w:p>
    <w:p w:rsidR="00171991" w:rsidRPr="0045333F" w:rsidRDefault="00C33C42" w:rsidP="0059599D">
      <w:pPr>
        <w:pStyle w:val="Ttulo1"/>
        <w:numPr>
          <w:ilvl w:val="0"/>
          <w:numId w:val="2"/>
        </w:numPr>
        <w:tabs>
          <w:tab w:val="num" w:pos="0"/>
        </w:tabs>
        <w:suppressAutoHyphens/>
        <w:ind w:left="709"/>
      </w:pPr>
      <w:bookmarkStart w:id="20" w:name="_Toc20495573"/>
      <w:r w:rsidRPr="0045333F">
        <w:t xml:space="preserve">Perspectivas de Cierre </w:t>
      </w:r>
      <w:r w:rsidR="00B20C2F" w:rsidRPr="0045333F">
        <w:t xml:space="preserve">del Ejercicio Fiscal </w:t>
      </w:r>
      <w:r w:rsidRPr="0045333F">
        <w:t>201</w:t>
      </w:r>
      <w:r w:rsidR="000D2458" w:rsidRPr="0045333F">
        <w:t>9</w:t>
      </w:r>
      <w:bookmarkEnd w:id="20"/>
    </w:p>
    <w:p w:rsidR="00171991" w:rsidRDefault="00171991" w:rsidP="00171991">
      <w:pPr>
        <w:autoSpaceDE w:val="0"/>
        <w:autoSpaceDN w:val="0"/>
        <w:adjustRightInd w:val="0"/>
        <w:jc w:val="both"/>
        <w:rPr>
          <w:b/>
          <w:highlight w:val="yellow"/>
        </w:rPr>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1" w:name="_Toc20495574"/>
      <w:r w:rsidRPr="00EF23D0">
        <w:rPr>
          <w:rFonts w:ascii="Times New Roman" w:hAnsi="Times New Roman"/>
          <w:color w:val="000000" w:themeColor="text1"/>
          <w:sz w:val="24"/>
          <w:szCs w:val="24"/>
        </w:rPr>
        <w:t>A.</w:t>
      </w:r>
      <w:r w:rsidRPr="00EF23D0">
        <w:rPr>
          <w:rFonts w:ascii="Times New Roman" w:hAnsi="Times New Roman"/>
          <w:color w:val="000000" w:themeColor="text1"/>
          <w:sz w:val="24"/>
          <w:szCs w:val="24"/>
        </w:rPr>
        <w:tab/>
        <w:t>Escenario Macroeconómico</w:t>
      </w:r>
      <w:bookmarkEnd w:id="21"/>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desempeño económico guatemalteco continúa estable, ya que </w:t>
      </w:r>
      <w:r w:rsidR="0045333F">
        <w:t>durante</w:t>
      </w:r>
      <w:r>
        <w:t xml:space="preserve"> el ejercicio fiscal 2019 </w:t>
      </w:r>
      <w:r w:rsidR="0045333F">
        <w:t xml:space="preserve">ha </w:t>
      </w:r>
      <w:r>
        <w:t>refleja</w:t>
      </w:r>
      <w:r w:rsidR="0045333F">
        <w:t>do</w:t>
      </w:r>
      <w:r>
        <w:t xml:space="preserve"> la prioridad de facilitar el cumplimiento de las </w:t>
      </w:r>
      <w:r w:rsidR="00A13519">
        <w:t>actividades que ejecutan</w:t>
      </w:r>
      <w:r>
        <w:t xml:space="preserve"> los 14 </w:t>
      </w:r>
      <w:r w:rsidR="0045333F">
        <w:t>M</w:t>
      </w:r>
      <w:r>
        <w:t xml:space="preserve">inisterios de Estado, </w:t>
      </w:r>
      <w:r w:rsidR="0045333F">
        <w:t>S</w:t>
      </w:r>
      <w:r>
        <w:t>ecretarías</w:t>
      </w:r>
      <w:r w:rsidR="0045333F">
        <w:t xml:space="preserve"> y otras Dependencias del Ejecutivo</w:t>
      </w:r>
      <w:r w:rsidR="00A13519">
        <w:t xml:space="preserve"> y las</w:t>
      </w:r>
      <w:r>
        <w:t xml:space="preserve"> </w:t>
      </w:r>
      <w:r w:rsidR="0045333F">
        <w:t>E</w:t>
      </w:r>
      <w:r>
        <w:t xml:space="preserve">ntidades </w:t>
      </w:r>
      <w:r w:rsidR="0045333F">
        <w:t>D</w:t>
      </w:r>
      <w:r>
        <w:t xml:space="preserve">escentralizadas y </w:t>
      </w:r>
      <w:r w:rsidR="0045333F">
        <w:t>A</w:t>
      </w:r>
      <w:r>
        <w:t>utónomas. Con respecto a</w:t>
      </w:r>
      <w:r w:rsidR="00A13519">
        <w:t>l año</w:t>
      </w:r>
      <w:r>
        <w:t xml:space="preserve"> 2018, el plan de gastos </w:t>
      </w:r>
      <w:r w:rsidR="00A13519">
        <w:t>del</w:t>
      </w:r>
      <w:r>
        <w:t xml:space="preserve"> ejercicio fiscal 2019 es superior en Q</w:t>
      </w:r>
      <w:r w:rsidR="00A13519">
        <w:t>.</w:t>
      </w:r>
      <w:r>
        <w:t>9,323,571</w:t>
      </w:r>
      <w:r w:rsidR="00A13519">
        <w:t>.0</w:t>
      </w:r>
      <w:r>
        <w:t xml:space="preserve"> millones, financiado por Q</w:t>
      </w:r>
      <w:r w:rsidR="00A13519">
        <w:t>.</w:t>
      </w:r>
      <w:r>
        <w:t>64,027</w:t>
      </w:r>
      <w:r w:rsidR="00A13519">
        <w:t>.</w:t>
      </w:r>
      <w:r>
        <w:t>7</w:t>
      </w:r>
      <w:r w:rsidR="00A13519">
        <w:t xml:space="preserve"> millones</w:t>
      </w:r>
      <w:r>
        <w:t xml:space="preserve"> </w:t>
      </w:r>
      <w:r w:rsidR="00A13519">
        <w:t>de</w:t>
      </w:r>
      <w:r>
        <w:t xml:space="preserve"> ingresos tributarios, Q</w:t>
      </w:r>
      <w:r w:rsidR="00A13519">
        <w:t>.</w:t>
      </w:r>
      <w:r>
        <w:t>14,207</w:t>
      </w:r>
      <w:r w:rsidR="00A13519">
        <w:t>.</w:t>
      </w:r>
      <w:r>
        <w:t xml:space="preserve">6 </w:t>
      </w:r>
      <w:r w:rsidR="00A13519">
        <w:t>millones de</w:t>
      </w:r>
      <w:r>
        <w:t xml:space="preserve"> endeudamiento público interno y Q</w:t>
      </w:r>
      <w:r w:rsidR="00A13519">
        <w:t>.</w:t>
      </w:r>
      <w:r>
        <w:t>1,592</w:t>
      </w:r>
      <w:r w:rsidR="00A13519">
        <w:t>.6</w:t>
      </w:r>
      <w:r>
        <w:t xml:space="preserve"> </w:t>
      </w:r>
      <w:r w:rsidR="00A13519">
        <w:t>millones de</w:t>
      </w:r>
      <w:r>
        <w:t xml:space="preserve"> préstamos externos a largo plazo</w:t>
      </w:r>
      <w:r w:rsidR="00A13519">
        <w:t>,</w:t>
      </w:r>
      <w:r>
        <w:t xml:space="preserve"> entre otros rubros.</w:t>
      </w:r>
    </w:p>
    <w:p w:rsidR="00EF23D0" w:rsidRPr="001B713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 criterio del Fondo Monetario Internacional (FMI), Guatemala respalda mediante su política fiscal y monetaria</w:t>
      </w:r>
      <w:r w:rsidR="00A13519">
        <w:t>,</w:t>
      </w:r>
      <w:r>
        <w:t xml:space="preserve"> un escenario macroeconómico robusto, manteniendo los fundamentos sólidos que generan perspectivas de crecimiento favorables, de acuerdo a sus impresiones recopiladas en su visita oficial en mayo </w:t>
      </w:r>
      <w:r w:rsidR="00A13519">
        <w:t xml:space="preserve">del presente año, </w:t>
      </w:r>
      <w:r>
        <w:t xml:space="preserve">en el marco del </w:t>
      </w:r>
      <w:r w:rsidR="00A13519">
        <w:t>a</w:t>
      </w:r>
      <w:r>
        <w:t xml:space="preserve">rtículo IV del Convenio Constitutivo de </w:t>
      </w:r>
      <w:r w:rsidR="00A13519">
        <w:t>esa</w:t>
      </w:r>
      <w:r>
        <w:t xml:space="preserve"> entidad.</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Según el </w:t>
      </w:r>
      <w:r w:rsidR="00A13519">
        <w:t>citado organismo internacional</w:t>
      </w:r>
      <w:r>
        <w:t>, Guatemala podría crecer un 3.4% en 2019, respaldado por un impulso fiscal positivo</w:t>
      </w:r>
      <w:r w:rsidR="00A13519">
        <w:t>;</w:t>
      </w:r>
      <w:r>
        <w:t xml:space="preserve"> la recuperación de las exportaciones tras el retroceso del último año</w:t>
      </w:r>
      <w:r w:rsidR="00A13519">
        <w:t>,</w:t>
      </w:r>
      <w:r>
        <w:t xml:space="preserve"> resultado de un deterioro de los términos de intercambio</w:t>
      </w:r>
      <w:r w:rsidR="00A13519">
        <w:t>;</w:t>
      </w:r>
      <w:r>
        <w:t xml:space="preserve"> y el dinamismo de la inversión privada. As</w:t>
      </w:r>
      <w:r w:rsidR="00A13519">
        <w:t>imismo</w:t>
      </w:r>
      <w:r>
        <w:t>, los riesgos de las perspectivas económicas se inclinan a la baja, asociado a los riesgos externos provenientes principalmente de una desaceleración del crecimiento de los Estados Unidos</w:t>
      </w:r>
      <w:r w:rsidR="00A13519">
        <w:t xml:space="preserve"> de América</w:t>
      </w:r>
      <w:r>
        <w:t xml:space="preserve"> y otros socios comerciales de la región. En el entorno interno, el F</w:t>
      </w:r>
      <w:r w:rsidR="00A13519">
        <w:t>ondo Monetario Internacional</w:t>
      </w:r>
      <w:r>
        <w:t xml:space="preserve"> indicó que el principal riesgo de las perspectivas de inversión es la demora en la adopción de las reformas del clima de negocios y el debilitamiento en la lucha contra la corrupción.</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La Comisión Económica para América Latina </w:t>
      </w:r>
      <w:r w:rsidR="009B0C70">
        <w:t xml:space="preserve">y El Caribe </w:t>
      </w:r>
      <w:r>
        <w:t>(CEPAL)</w:t>
      </w:r>
      <w:r w:rsidR="009B0C70">
        <w:t>,</w:t>
      </w:r>
      <w:r>
        <w:t xml:space="preserve"> en el </w:t>
      </w:r>
      <w:r w:rsidR="009B0C70">
        <w:t>b</w:t>
      </w:r>
      <w:r>
        <w:t xml:space="preserve">alance de las </w:t>
      </w:r>
      <w:r w:rsidR="009B0C70">
        <w:t>e</w:t>
      </w:r>
      <w:r>
        <w:t xml:space="preserve">conomías de la </w:t>
      </w:r>
      <w:r w:rsidR="009B0C70">
        <w:t>r</w:t>
      </w:r>
      <w:r>
        <w:t xml:space="preserve">egión, prevé que Guatemala crecerá </w:t>
      </w:r>
      <w:r w:rsidR="009B0C70">
        <w:t xml:space="preserve">un </w:t>
      </w:r>
      <w:r>
        <w:t xml:space="preserve">3.0% en 2019 y el Banco Mundial estimó que Guatemala crecerá </w:t>
      </w:r>
      <w:r w:rsidR="009B0C70">
        <w:t xml:space="preserve">en </w:t>
      </w:r>
      <w:r>
        <w:t>3.3% para este año. Ambos organismos internacionales coinciden en enfatizar los riesgos que ensombrecen las perspectivas globales y se refieren al creciente proteccionismo en materia comercial, la debilidad de las inversiones y la desigualdad. La CEPAL agregó que la desaceleración de la economía china y el proceso incierto de</w:t>
      </w:r>
      <w:r w:rsidR="009B0C70">
        <w:t>l</w:t>
      </w:r>
      <w:r>
        <w:t xml:space="preserve"> Brexit le agregan mayores riesgos al entorno </w:t>
      </w:r>
      <w:r w:rsidR="009B0C70">
        <w:t xml:space="preserve">económico </w:t>
      </w:r>
      <w:r>
        <w:t>mundial.</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En cuanto a la previsión de crecimiento económico anual del Banco de Guatemala para el 2019, </w:t>
      </w:r>
      <w:r w:rsidR="00093ABA">
        <w:t>é</w:t>
      </w:r>
      <w:r>
        <w:t xml:space="preserve">sta se ubicaba en un rango de 3.0% </w:t>
      </w:r>
      <w:r w:rsidR="00093ABA">
        <w:t xml:space="preserve"> </w:t>
      </w:r>
      <w:r>
        <w:t>y</w:t>
      </w:r>
      <w:r w:rsidR="00093ABA">
        <w:t xml:space="preserve"> </w:t>
      </w:r>
      <w:r>
        <w:t xml:space="preserve"> 3.8%, para lo cual se toma en consideración la evolución económica de los principales socios comerciales de Guatemala</w:t>
      </w:r>
      <w:r w:rsidR="00093ABA">
        <w:t>, así</w:t>
      </w:r>
      <w:r>
        <w:t xml:space="preserve"> como las condiciones económicas internas. La estimación del Producto Interno Bruto (PIB) real para el primer trimestre de 2019 indica un crecimiento de 3.0%.</w:t>
      </w:r>
    </w:p>
    <w:p w:rsidR="00EF23D0" w:rsidRDefault="00EF23D0" w:rsidP="00EF23D0">
      <w:pPr>
        <w:autoSpaceDE w:val="0"/>
        <w:autoSpaceDN w:val="0"/>
        <w:adjustRightInd w:val="0"/>
        <w:jc w:val="both"/>
      </w:pPr>
    </w:p>
    <w:p w:rsidR="00EF23D0" w:rsidRDefault="00093ABA" w:rsidP="00EF23D0">
      <w:pPr>
        <w:autoSpaceDE w:val="0"/>
        <w:autoSpaceDN w:val="0"/>
        <w:adjustRightInd w:val="0"/>
        <w:jc w:val="both"/>
      </w:pPr>
      <w:r>
        <w:lastRenderedPageBreak/>
        <w:t xml:space="preserve">Con </w:t>
      </w:r>
      <w:r w:rsidR="00EF23D0">
        <w:t xml:space="preserve">relación al sector externo, las exportaciones muestran una disminución en </w:t>
      </w:r>
      <w:r>
        <w:t>su</w:t>
      </w:r>
      <w:r w:rsidR="00EF23D0">
        <w:t xml:space="preserve"> crecimiento</w:t>
      </w:r>
      <w:r w:rsidR="00892AE0">
        <w:t>, ya que</w:t>
      </w:r>
      <w:r w:rsidR="00EF23D0">
        <w:t xml:space="preserve"> durante el primer semestre</w:t>
      </w:r>
      <w:r>
        <w:t xml:space="preserve"> de 2019</w:t>
      </w:r>
      <w:r w:rsidR="00EF23D0">
        <w:t xml:space="preserve"> se registra una diferencia negativa de US$10.9 millones con respecto al año anterior, como resultado de las oscilaciones de los precios en el mercado internacional de los productos como azúcar, banano, café, aceite de palma y artículos de vestuario. Por su parte, el monto total de las importaciones realizadas muestra un aumento de 1.0% con respecto al año anterior, influenciado principalmente por la variación positiva observada en </w:t>
      </w:r>
      <w:r w:rsidR="00892AE0">
        <w:t>b</w:t>
      </w:r>
      <w:r w:rsidR="00EF23D0">
        <w:t xml:space="preserve">ienes de </w:t>
      </w:r>
      <w:r w:rsidR="00892AE0">
        <w:t>c</w:t>
      </w:r>
      <w:r w:rsidR="00EF23D0">
        <w:t xml:space="preserve">onsumo </w:t>
      </w:r>
      <w:r w:rsidR="00892AE0">
        <w:t>n</w:t>
      </w:r>
      <w:r w:rsidR="00EF23D0">
        <w:t xml:space="preserve">o </w:t>
      </w:r>
      <w:r w:rsidR="00892AE0">
        <w:t>d</w:t>
      </w:r>
      <w:r w:rsidR="00EF23D0">
        <w:t>uraderos con un alza de 4.6%</w:t>
      </w:r>
      <w:r w:rsidR="00892AE0">
        <w:t>,</w:t>
      </w:r>
      <w:r w:rsidR="00EF23D0">
        <w:t xml:space="preserve"> así como en </w:t>
      </w:r>
      <w:r w:rsidR="00892AE0">
        <w:t>c</w:t>
      </w:r>
      <w:r w:rsidR="00EF23D0">
        <w:t xml:space="preserve">ombustibles y </w:t>
      </w:r>
      <w:r w:rsidR="00892AE0">
        <w:t>l</w:t>
      </w:r>
      <w:r w:rsidR="00EF23D0">
        <w:t>ubricantes con un alza de 4.3%.</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El ingreso </w:t>
      </w:r>
      <w:r w:rsidR="00711B1A">
        <w:t>de</w:t>
      </w:r>
      <w:r>
        <w:t xml:space="preserve"> remesas familiares continúa siendo una de las fortalezas para el país. En el primer semestre</w:t>
      </w:r>
      <w:r w:rsidR="000E340D">
        <w:t xml:space="preserve"> de 2019</w:t>
      </w:r>
      <w:r>
        <w:t xml:space="preserve"> las divisas enviadas al país sumaron US$4.9 millardos, un 12.0% más que en el mismo per</w:t>
      </w:r>
      <w:r w:rsidR="000E340D">
        <w:t>í</w:t>
      </w:r>
      <w:r>
        <w:t>odo de 2018. Estos recursos fortalecen el ingreso de los hogares para inversión y consumo. Además, el crédito bancario al sector privado luego de débiles crecimientos en 2016 y 2017, en el primer semestre de 2019 presentó un alza de 7.2%, con lo que se ubica dentro del rango de entre 7</w:t>
      </w:r>
      <w:r w:rsidR="000E340D">
        <w:t xml:space="preserve">.0% </w:t>
      </w:r>
      <w:r>
        <w:t xml:space="preserve"> y</w:t>
      </w:r>
      <w:r w:rsidR="000E340D">
        <w:t xml:space="preserve"> </w:t>
      </w:r>
      <w:r>
        <w:t xml:space="preserve"> 10</w:t>
      </w:r>
      <w:r w:rsidR="000E340D">
        <w:t>.0</w:t>
      </w:r>
      <w:r>
        <w:t>% que prevé la Junta Monetaria.</w:t>
      </w:r>
    </w:p>
    <w:p w:rsidR="00EF23D0" w:rsidRPr="003C1FEE" w:rsidRDefault="00EF23D0" w:rsidP="00EF23D0">
      <w:pPr>
        <w:autoSpaceDE w:val="0"/>
        <w:autoSpaceDN w:val="0"/>
        <w:adjustRightInd w:val="0"/>
        <w:jc w:val="both"/>
        <w:rPr>
          <w:sz w:val="32"/>
        </w:rPr>
      </w:pPr>
    </w:p>
    <w:p w:rsidR="00EF23D0" w:rsidRDefault="00D02C9C" w:rsidP="00EF23D0">
      <w:pPr>
        <w:autoSpaceDE w:val="0"/>
        <w:autoSpaceDN w:val="0"/>
        <w:adjustRightInd w:val="0"/>
        <w:jc w:val="both"/>
      </w:pPr>
      <w:r>
        <w:t>Con r</w:t>
      </w:r>
      <w:r w:rsidR="00EF23D0">
        <w:t>especto a la inflación, en junio</w:t>
      </w:r>
      <w:r>
        <w:t xml:space="preserve"> de 2019</w:t>
      </w:r>
      <w:r w:rsidR="00EF23D0">
        <w:t xml:space="preserve"> se sitúo en 4.8% dentro del margen de tolerancia de la meta establecida por la Junta Monetaria de entre 3</w:t>
      </w:r>
      <w:r>
        <w:t>.0%</w:t>
      </w:r>
      <w:r w:rsidR="00EF23D0">
        <w:t xml:space="preserve"> y 5</w:t>
      </w:r>
      <w:r>
        <w:t>.0</w:t>
      </w:r>
      <w:r w:rsidR="00EF23D0">
        <w:t xml:space="preserve">%, de acuerdo a información del Instituto Nacional de Estadística (INE). </w:t>
      </w:r>
      <w:r>
        <w:t xml:space="preserve">Esta entidad </w:t>
      </w:r>
      <w:r w:rsidR="00EF23D0">
        <w:t xml:space="preserve">atribuye dicho resultado a incrementos en los rubros de comunicaciones, alimentos y salud, mientras que los grupos de vivienda, vestuario y transporte bajaron </w:t>
      </w:r>
      <w:r>
        <w:t>de</w:t>
      </w:r>
      <w:r w:rsidR="00EF23D0">
        <w:t xml:space="preserve"> precio.</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El comportamiento del precio internacional del petróleo, el tipo de cambio y las importaciones incide</w:t>
      </w:r>
      <w:r w:rsidR="00C628C5">
        <w:t>n</w:t>
      </w:r>
      <w:r>
        <w:t xml:space="preserve"> en la recaudación de impuestos, principalmente los asociados al comercio exterior, como los Derechos Arancelarios a la Importación (DAI), el IVA </w:t>
      </w:r>
      <w:r w:rsidR="00C628C5">
        <w:t>I</w:t>
      </w:r>
      <w:r>
        <w:t xml:space="preserve">mportaciones y el </w:t>
      </w:r>
      <w:r w:rsidR="00C628C5">
        <w:t>P</w:t>
      </w:r>
      <w:r>
        <w:t xml:space="preserve">etróleo y sus </w:t>
      </w:r>
      <w:r w:rsidR="00C628C5">
        <w:t>D</w:t>
      </w:r>
      <w:r>
        <w:t>erivados.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El precio del petróleo en el primer semestre de 2019 se ha visto afectado negativamente debido a los temores de que la desaceleración económica impacte la demanda y por la incertidumbre que generan los conflictos comerciales de </w:t>
      </w:r>
      <w:r w:rsidR="001C02EF">
        <w:t xml:space="preserve">los </w:t>
      </w:r>
      <w:r>
        <w:t>Estados Unidos</w:t>
      </w:r>
      <w:r w:rsidR="001C02EF">
        <w:t xml:space="preserve"> de América</w:t>
      </w:r>
      <w:r>
        <w:t>. Dicha desaceleración se presentó pese al acuerdo alcanzado por la Organización de Países Exportadores de Petróleo (OPEP), sus aliados y Rusia</w:t>
      </w:r>
      <w:r w:rsidR="001C02EF">
        <w:t>,</w:t>
      </w:r>
      <w:r>
        <w:t xml:space="preserve"> para extender sus recortes de producción hasta finales de marzo </w:t>
      </w:r>
      <w:r w:rsidR="001C02EF">
        <w:t xml:space="preserve">del </w:t>
      </w:r>
      <w:r>
        <w:t>2020. En Guatemala, en el mismo per</w:t>
      </w:r>
      <w:r w:rsidR="001C02EF">
        <w:t>í</w:t>
      </w:r>
      <w:r>
        <w:t>odo, se importaron 21</w:t>
      </w:r>
      <w:r w:rsidR="001C02EF">
        <w:t>.3 millones de</w:t>
      </w:r>
      <w:r>
        <w:t xml:space="preserve"> barriles de productos petroleros. El volumen importado muestra un incremento de</w:t>
      </w:r>
      <w:r w:rsidR="001C02EF">
        <w:t>l</w:t>
      </w:r>
      <w:r>
        <w:t xml:space="preserve"> 15.07% en el promedio diario importado durante el primer semestre del año 2019</w:t>
      </w:r>
      <w:r w:rsidR="001C02EF">
        <w:t>,</w:t>
      </w:r>
      <w:r>
        <w:t xml:space="preserve"> comparado con el promedio diario del año anterior.</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Respecto </w:t>
      </w:r>
      <w:r w:rsidR="001C02EF">
        <w:t>del</w:t>
      </w:r>
      <w:r>
        <w:t xml:space="preserve"> tipo de cambio, hasta </w:t>
      </w:r>
      <w:r w:rsidR="001C02EF">
        <w:t>junio de 2019</w:t>
      </w:r>
      <w:r>
        <w:t xml:space="preserve"> se ha mantenido estable, solamente amenazado por las expectativas generadas por el tema migratorio de imponer aranceles al comercio y envío de remes</w:t>
      </w:r>
      <w:r w:rsidR="001C02EF">
        <w:t>a</w:t>
      </w:r>
      <w:r>
        <w:t>s hacia Guatemala desde Estados Unidos</w:t>
      </w:r>
      <w:r w:rsidR="001C02EF">
        <w:t xml:space="preserve"> de América</w:t>
      </w:r>
      <w:r>
        <w:t xml:space="preserve">. Dicha situación también provocó reacción momentánea en la emisión de los bonos soberanos de Guatemala, aumentado su precio </w:t>
      </w:r>
      <w:r w:rsidR="001C02EF">
        <w:t>y disminuyendo su rendimiento.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4A1D0F" w:rsidRDefault="004A1D0F"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2" w:name="_Toc20495575"/>
      <w:r w:rsidRPr="00EF23D0">
        <w:rPr>
          <w:rFonts w:ascii="Times New Roman" w:hAnsi="Times New Roman"/>
          <w:color w:val="000000" w:themeColor="text1"/>
          <w:sz w:val="24"/>
          <w:szCs w:val="24"/>
        </w:rPr>
        <w:t>B.</w:t>
      </w:r>
      <w:r w:rsidRPr="00EF23D0">
        <w:rPr>
          <w:rFonts w:ascii="Times New Roman" w:hAnsi="Times New Roman"/>
          <w:color w:val="000000" w:themeColor="text1"/>
          <w:sz w:val="24"/>
          <w:szCs w:val="24"/>
        </w:rPr>
        <w:tab/>
        <w:t xml:space="preserve">Ingresos </w:t>
      </w:r>
      <w:r w:rsidR="008E1BAF">
        <w:rPr>
          <w:rFonts w:ascii="Times New Roman" w:hAnsi="Times New Roman"/>
          <w:color w:val="000000" w:themeColor="text1"/>
          <w:sz w:val="24"/>
          <w:szCs w:val="24"/>
        </w:rPr>
        <w:t xml:space="preserve">Totales e Ingresos </w:t>
      </w:r>
      <w:r w:rsidRPr="00EF23D0">
        <w:rPr>
          <w:rFonts w:ascii="Times New Roman" w:hAnsi="Times New Roman"/>
          <w:color w:val="000000" w:themeColor="text1"/>
          <w:sz w:val="24"/>
          <w:szCs w:val="24"/>
        </w:rPr>
        <w:t>Tributarios</w:t>
      </w:r>
      <w:bookmarkEnd w:id="22"/>
    </w:p>
    <w:p w:rsidR="00EF23D0" w:rsidRDefault="00EF23D0" w:rsidP="00EF23D0">
      <w:pPr>
        <w:autoSpaceDE w:val="0"/>
        <w:autoSpaceDN w:val="0"/>
        <w:adjustRightInd w:val="0"/>
        <w:jc w:val="both"/>
      </w:pPr>
    </w:p>
    <w:p w:rsidR="00B1493D" w:rsidRDefault="00B1493D" w:rsidP="00B1493D">
      <w:pPr>
        <w:autoSpaceDE w:val="0"/>
        <w:autoSpaceDN w:val="0"/>
        <w:adjustRightInd w:val="0"/>
        <w:jc w:val="both"/>
      </w:pPr>
      <w:r>
        <w:t>Los ingresos más importantes que percibe el gobierno provienen de las fuentes tributarias (75.</w:t>
      </w:r>
      <w:r>
        <w:t>7</w:t>
      </w:r>
      <w:r>
        <w:t>%)</w:t>
      </w:r>
      <w:r>
        <w:t>,</w:t>
      </w:r>
      <w:r>
        <w:t xml:space="preserve"> la negociaci</w:t>
      </w:r>
      <w:r>
        <w:t>ón de bonos del tesoro (17.5%) e ingresos no tributarios (4.5%).</w:t>
      </w:r>
    </w:p>
    <w:p w:rsidR="00B1493D" w:rsidRPr="003C1FEE" w:rsidRDefault="00B1493D" w:rsidP="00B1493D">
      <w:pPr>
        <w:autoSpaceDE w:val="0"/>
        <w:autoSpaceDN w:val="0"/>
        <w:adjustRightInd w:val="0"/>
        <w:jc w:val="both"/>
        <w:rPr>
          <w:sz w:val="32"/>
        </w:rPr>
      </w:pPr>
    </w:p>
    <w:p w:rsidR="00B1493D" w:rsidRDefault="00B1493D" w:rsidP="00B1493D">
      <w:pPr>
        <w:autoSpaceDE w:val="0"/>
        <w:autoSpaceDN w:val="0"/>
        <w:adjustRightInd w:val="0"/>
        <w:jc w:val="both"/>
      </w:pPr>
      <w:r>
        <w:t>Al 30 de junio de 201</w:t>
      </w:r>
      <w:r>
        <w:t>9</w:t>
      </w:r>
      <w:r>
        <w:t>, se observa que los ingresos totales del gobierno central crec</w:t>
      </w:r>
      <w:r>
        <w:t>en</w:t>
      </w:r>
      <w:r>
        <w:t xml:space="preserve"> un </w:t>
      </w:r>
      <w:r>
        <w:t>13.6</w:t>
      </w:r>
      <w:r>
        <w:t xml:space="preserve">% respecto del mismo periodo del año anterior, debido a que </w:t>
      </w:r>
      <w:r w:rsidR="00E94EA5">
        <w:t>el monto aprobado de</w:t>
      </w:r>
      <w:r>
        <w:t xml:space="preserve"> ingresos tributarios reportan un crecimiento interanual de </w:t>
      </w:r>
      <w:r>
        <w:t>10.4</w:t>
      </w:r>
      <w:r>
        <w:t>%</w:t>
      </w:r>
      <w:r>
        <w:t xml:space="preserve">, mientras que la negociación de bonos del tesoro crece un 34.8% </w:t>
      </w:r>
      <w:r w:rsidR="00E94EA5">
        <w:t>y el uso de recursos de caja crece en 97.5%.</w:t>
      </w:r>
    </w:p>
    <w:p w:rsidR="00B1493D" w:rsidRPr="003C1FEE" w:rsidRDefault="00B1493D" w:rsidP="00B1493D">
      <w:pPr>
        <w:autoSpaceDE w:val="0"/>
        <w:autoSpaceDN w:val="0"/>
        <w:adjustRightInd w:val="0"/>
        <w:jc w:val="both"/>
        <w:rPr>
          <w:sz w:val="32"/>
        </w:rPr>
      </w:pPr>
    </w:p>
    <w:p w:rsidR="00B1493D" w:rsidRDefault="00B1493D" w:rsidP="00B1493D">
      <w:pPr>
        <w:autoSpaceDE w:val="0"/>
        <w:autoSpaceDN w:val="0"/>
        <w:adjustRightInd w:val="0"/>
        <w:jc w:val="both"/>
      </w:pPr>
      <w:r>
        <w:t xml:space="preserve">Por su parte, el resto de ingresos (no tributarios y transferencias) reportan un </w:t>
      </w:r>
      <w:r w:rsidR="00E94EA5">
        <w:t>ritmo decreciente.</w:t>
      </w:r>
    </w:p>
    <w:p w:rsidR="00B1493D" w:rsidRDefault="00B1493D" w:rsidP="00B1493D">
      <w:pPr>
        <w:autoSpaceDE w:val="0"/>
        <w:autoSpaceDN w:val="0"/>
        <w:adjustRightInd w:val="0"/>
        <w:jc w:val="both"/>
      </w:pPr>
    </w:p>
    <w:p w:rsidR="00E94EA5" w:rsidRPr="0088577C" w:rsidRDefault="00E94EA5" w:rsidP="00E94EA5">
      <w:pPr>
        <w:jc w:val="center"/>
        <w:rPr>
          <w:b/>
          <w:sz w:val="22"/>
          <w:lang w:val="es-MX"/>
        </w:rPr>
      </w:pPr>
      <w:r w:rsidRPr="0088577C">
        <w:rPr>
          <w:b/>
          <w:sz w:val="22"/>
          <w:lang w:val="es-MX"/>
        </w:rPr>
        <w:t xml:space="preserve">Cuadro </w:t>
      </w:r>
      <w:r>
        <w:rPr>
          <w:b/>
          <w:sz w:val="22"/>
          <w:lang w:val="es-MX"/>
        </w:rPr>
        <w:t>1</w:t>
      </w:r>
      <w:r w:rsidR="00BF46F2">
        <w:rPr>
          <w:b/>
          <w:sz w:val="22"/>
          <w:lang w:val="es-MX"/>
        </w:rPr>
        <w:t>3</w:t>
      </w:r>
    </w:p>
    <w:p w:rsidR="00E94EA5" w:rsidRPr="0088577C" w:rsidRDefault="00E94EA5" w:rsidP="00E94EA5">
      <w:pPr>
        <w:jc w:val="center"/>
        <w:rPr>
          <w:b/>
          <w:sz w:val="22"/>
          <w:lang w:val="es-MX"/>
        </w:rPr>
      </w:pPr>
      <w:r>
        <w:rPr>
          <w:b/>
          <w:sz w:val="22"/>
          <w:lang w:val="es-MX"/>
        </w:rPr>
        <w:t>Presupuesto Asignado y Estimación de Ingresos Totales</w:t>
      </w:r>
    </w:p>
    <w:p w:rsidR="00E94EA5" w:rsidRPr="0088577C" w:rsidRDefault="00E94EA5" w:rsidP="00E94EA5">
      <w:pPr>
        <w:jc w:val="center"/>
        <w:rPr>
          <w:b/>
          <w:sz w:val="22"/>
          <w:lang w:val="es-MX"/>
        </w:rPr>
      </w:pPr>
      <w:r>
        <w:rPr>
          <w:b/>
          <w:sz w:val="22"/>
          <w:lang w:val="es-MX"/>
        </w:rPr>
        <w:t>Ejercicio Fiscal 201</w:t>
      </w:r>
      <w:r w:rsidR="00C87E7F">
        <w:rPr>
          <w:b/>
          <w:sz w:val="22"/>
          <w:lang w:val="es-MX"/>
        </w:rPr>
        <w:t>9</w:t>
      </w:r>
    </w:p>
    <w:p w:rsidR="00E94EA5" w:rsidRDefault="00E94EA5" w:rsidP="00E94EA5">
      <w:pPr>
        <w:pStyle w:val="Prrafodelista"/>
        <w:jc w:val="center"/>
        <w:rPr>
          <w:sz w:val="16"/>
        </w:rPr>
      </w:pPr>
      <w:r w:rsidRPr="0088577C">
        <w:rPr>
          <w:b/>
          <w:sz w:val="22"/>
          <w:lang w:val="es-MX"/>
        </w:rPr>
        <w:t>(Cifras en Millones de Quetzales)</w:t>
      </w:r>
    </w:p>
    <w:tbl>
      <w:tblPr>
        <w:tblW w:w="7670" w:type="dxa"/>
        <w:jc w:val="center"/>
        <w:tblInd w:w="55" w:type="dxa"/>
        <w:tblCellMar>
          <w:left w:w="70" w:type="dxa"/>
          <w:right w:w="70" w:type="dxa"/>
        </w:tblCellMar>
        <w:tblLook w:val="04A0" w:firstRow="1" w:lastRow="0" w:firstColumn="1" w:lastColumn="0" w:noHBand="0" w:noVBand="1"/>
      </w:tblPr>
      <w:tblGrid>
        <w:gridCol w:w="3701"/>
        <w:gridCol w:w="1984"/>
        <w:gridCol w:w="1985"/>
      </w:tblGrid>
      <w:tr w:rsidR="00E94EA5" w:rsidRPr="00E94EA5" w:rsidTr="00E94EA5">
        <w:trPr>
          <w:trHeight w:val="330"/>
          <w:jc w:val="center"/>
        </w:trPr>
        <w:tc>
          <w:tcPr>
            <w:tcW w:w="3701" w:type="dxa"/>
            <w:tcBorders>
              <w:top w:val="single" w:sz="8" w:space="0" w:color="auto"/>
              <w:left w:val="single" w:sz="8" w:space="0" w:color="auto"/>
              <w:bottom w:val="single" w:sz="8" w:space="0" w:color="auto"/>
              <w:right w:val="single" w:sz="8" w:space="0" w:color="auto"/>
            </w:tcBorders>
            <w:shd w:val="clear" w:color="000000" w:fill="366092"/>
            <w:noWrap/>
            <w:vAlign w:val="center"/>
            <w:hideMark/>
          </w:tcPr>
          <w:p w:rsidR="00E94EA5" w:rsidRPr="00E94EA5" w:rsidRDefault="00E94EA5" w:rsidP="00E94EA5">
            <w:pPr>
              <w:jc w:val="center"/>
              <w:rPr>
                <w:b/>
                <w:bCs/>
                <w:color w:val="FFFFFF"/>
                <w:sz w:val="20"/>
                <w:lang w:val="es-GT" w:eastAsia="es-GT"/>
              </w:rPr>
            </w:pPr>
            <w:r w:rsidRPr="00E94EA5">
              <w:rPr>
                <w:b/>
                <w:bCs/>
                <w:color w:val="FFFFFF"/>
                <w:sz w:val="20"/>
                <w:lang w:val="es-GT" w:eastAsia="es-GT"/>
              </w:rPr>
              <w:t>Concepto</w:t>
            </w:r>
          </w:p>
        </w:tc>
        <w:tc>
          <w:tcPr>
            <w:tcW w:w="1984" w:type="dxa"/>
            <w:tcBorders>
              <w:top w:val="single" w:sz="8" w:space="0" w:color="auto"/>
              <w:left w:val="nil"/>
              <w:bottom w:val="single" w:sz="8" w:space="0" w:color="auto"/>
              <w:right w:val="single" w:sz="8" w:space="0" w:color="auto"/>
            </w:tcBorders>
            <w:shd w:val="clear" w:color="000000" w:fill="366092"/>
            <w:noWrap/>
            <w:vAlign w:val="center"/>
            <w:hideMark/>
          </w:tcPr>
          <w:p w:rsidR="00E94EA5" w:rsidRPr="00E94EA5" w:rsidRDefault="00E94EA5" w:rsidP="00E94EA5">
            <w:pPr>
              <w:jc w:val="center"/>
              <w:rPr>
                <w:b/>
                <w:bCs/>
                <w:color w:val="FFFFFF"/>
                <w:sz w:val="20"/>
                <w:lang w:val="es-GT" w:eastAsia="es-GT"/>
              </w:rPr>
            </w:pPr>
            <w:r w:rsidRPr="00E94EA5">
              <w:rPr>
                <w:b/>
                <w:bCs/>
                <w:color w:val="FFFFFF"/>
                <w:sz w:val="20"/>
                <w:lang w:val="es-GT" w:eastAsia="es-GT"/>
              </w:rPr>
              <w:t>Presupuesto</w:t>
            </w:r>
          </w:p>
        </w:tc>
        <w:tc>
          <w:tcPr>
            <w:tcW w:w="1985" w:type="dxa"/>
            <w:tcBorders>
              <w:top w:val="single" w:sz="8" w:space="0" w:color="auto"/>
              <w:left w:val="nil"/>
              <w:bottom w:val="single" w:sz="8" w:space="0" w:color="auto"/>
              <w:right w:val="single" w:sz="8" w:space="0" w:color="auto"/>
            </w:tcBorders>
            <w:shd w:val="clear" w:color="000000" w:fill="366092"/>
            <w:noWrap/>
            <w:vAlign w:val="center"/>
            <w:hideMark/>
          </w:tcPr>
          <w:p w:rsidR="00E94EA5" w:rsidRPr="00E94EA5" w:rsidRDefault="00E94EA5" w:rsidP="00E94EA5">
            <w:pPr>
              <w:jc w:val="center"/>
              <w:rPr>
                <w:b/>
                <w:bCs/>
                <w:color w:val="FFFFFF"/>
                <w:sz w:val="20"/>
                <w:lang w:val="es-GT" w:eastAsia="es-GT"/>
              </w:rPr>
            </w:pPr>
            <w:r w:rsidRPr="00E94EA5">
              <w:rPr>
                <w:b/>
                <w:bCs/>
                <w:color w:val="FFFFFF"/>
                <w:sz w:val="20"/>
                <w:lang w:val="es-GT" w:eastAsia="es-GT"/>
              </w:rPr>
              <w:t>Estimación</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jc w:val="center"/>
              <w:rPr>
                <w:b/>
                <w:bCs/>
                <w:sz w:val="20"/>
                <w:lang w:val="es-GT" w:eastAsia="es-GT"/>
              </w:rPr>
            </w:pPr>
            <w:r w:rsidRPr="00E94EA5">
              <w:rPr>
                <w:b/>
                <w:bCs/>
                <w:sz w:val="20"/>
                <w:lang w:val="es-GT" w:eastAsia="es-GT"/>
              </w:rPr>
              <w:t>Total</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b/>
                <w:bCs/>
                <w:sz w:val="20"/>
                <w:lang w:val="es-GT" w:eastAsia="es-GT"/>
              </w:rPr>
            </w:pPr>
            <w:r w:rsidRPr="00E94EA5">
              <w:rPr>
                <w:b/>
                <w:bCs/>
                <w:sz w:val="20"/>
                <w:lang w:val="es-GT" w:eastAsia="es-GT"/>
              </w:rPr>
              <w:t>87,715.06</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b/>
                <w:bCs/>
                <w:sz w:val="20"/>
                <w:lang w:val="es-GT" w:eastAsia="es-GT"/>
              </w:rPr>
            </w:pPr>
            <w:r w:rsidRPr="00E94EA5">
              <w:rPr>
                <w:b/>
                <w:bCs/>
                <w:sz w:val="20"/>
                <w:lang w:val="es-GT" w:eastAsia="es-GT"/>
              </w:rPr>
              <w:t>81,373.61</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Ingresos Tributarios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64,027.70</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61,588.16</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Ingresos No Tributarios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4,516.32</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3,669.64</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Ingresos de Capital</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3.4</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2.7</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Desembolsos de Préstamos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1,592.60</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1,444.86</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Negociación de Bonos*</w:t>
            </w:r>
          </w:p>
        </w:tc>
        <w:tc>
          <w:tcPr>
            <w:tcW w:w="1984"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14,207.65</w:t>
            </w:r>
          </w:p>
        </w:tc>
        <w:tc>
          <w:tcPr>
            <w:tcW w:w="1985" w:type="dxa"/>
            <w:tcBorders>
              <w:top w:val="nil"/>
              <w:left w:val="nil"/>
              <w:bottom w:val="nil"/>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14,207.66</w:t>
            </w:r>
          </w:p>
        </w:tc>
      </w:tr>
      <w:tr w:rsidR="00E94EA5" w:rsidRPr="00E94EA5" w:rsidTr="00E94EA5">
        <w:trPr>
          <w:trHeight w:val="315"/>
          <w:jc w:val="center"/>
        </w:trPr>
        <w:tc>
          <w:tcPr>
            <w:tcW w:w="3701" w:type="dxa"/>
            <w:tcBorders>
              <w:top w:val="nil"/>
              <w:left w:val="single" w:sz="8" w:space="0" w:color="auto"/>
              <w:bottom w:val="nil"/>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Prima de Colocación de Bonos</w:t>
            </w:r>
          </w:p>
        </w:tc>
        <w:tc>
          <w:tcPr>
            <w:tcW w:w="1984" w:type="dxa"/>
            <w:tcBorders>
              <w:top w:val="nil"/>
              <w:left w:val="nil"/>
              <w:bottom w:val="nil"/>
              <w:right w:val="single" w:sz="8" w:space="0" w:color="auto"/>
            </w:tcBorders>
            <w:shd w:val="clear" w:color="auto" w:fill="auto"/>
            <w:noWrap/>
            <w:hideMark/>
          </w:tcPr>
          <w:p w:rsidR="00E94EA5" w:rsidRPr="00E94EA5" w:rsidRDefault="00E94EA5" w:rsidP="00E94EA5">
            <w:pPr>
              <w:jc w:val="right"/>
              <w:rPr>
                <w:sz w:val="20"/>
                <w:lang w:val="es-GT" w:eastAsia="es-GT"/>
              </w:rPr>
            </w:pPr>
            <w:r w:rsidRPr="00E94EA5">
              <w:rPr>
                <w:sz w:val="20"/>
                <w:lang w:val="es-GT" w:eastAsia="es-GT"/>
              </w:rPr>
              <w:t>0</w:t>
            </w:r>
          </w:p>
        </w:tc>
        <w:tc>
          <w:tcPr>
            <w:tcW w:w="1985" w:type="dxa"/>
            <w:tcBorders>
              <w:top w:val="nil"/>
              <w:left w:val="nil"/>
              <w:bottom w:val="nil"/>
              <w:right w:val="single" w:sz="8" w:space="0" w:color="auto"/>
            </w:tcBorders>
            <w:shd w:val="clear" w:color="auto" w:fill="auto"/>
            <w:noWrap/>
            <w:hideMark/>
          </w:tcPr>
          <w:p w:rsidR="00E94EA5" w:rsidRPr="00E94EA5" w:rsidRDefault="00E94EA5" w:rsidP="00E94EA5">
            <w:pPr>
              <w:jc w:val="right"/>
              <w:rPr>
                <w:sz w:val="20"/>
                <w:lang w:val="es-GT" w:eastAsia="es-GT"/>
              </w:rPr>
            </w:pPr>
            <w:r w:rsidRPr="00E94EA5">
              <w:rPr>
                <w:sz w:val="20"/>
                <w:lang w:val="es-GT" w:eastAsia="es-GT"/>
              </w:rPr>
              <w:t>185.9</w:t>
            </w:r>
          </w:p>
        </w:tc>
      </w:tr>
      <w:tr w:rsidR="00E94EA5" w:rsidRPr="00E94EA5" w:rsidTr="00E94EA5">
        <w:trPr>
          <w:trHeight w:val="330"/>
          <w:jc w:val="center"/>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E94EA5" w:rsidRPr="00E94EA5" w:rsidRDefault="00E94EA5" w:rsidP="00E94EA5">
            <w:pPr>
              <w:rPr>
                <w:sz w:val="20"/>
                <w:lang w:val="es-GT" w:eastAsia="es-GT"/>
              </w:rPr>
            </w:pPr>
            <w:r w:rsidRPr="00E94EA5">
              <w:rPr>
                <w:sz w:val="20"/>
                <w:lang w:val="es-GT" w:eastAsia="es-GT"/>
              </w:rPr>
              <w:t>Uso de Recursos de Caja</w:t>
            </w:r>
          </w:p>
        </w:tc>
        <w:tc>
          <w:tcPr>
            <w:tcW w:w="1984" w:type="dxa"/>
            <w:tcBorders>
              <w:top w:val="nil"/>
              <w:left w:val="nil"/>
              <w:bottom w:val="single" w:sz="8" w:space="0" w:color="auto"/>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3,367.39</w:t>
            </w:r>
          </w:p>
        </w:tc>
        <w:tc>
          <w:tcPr>
            <w:tcW w:w="1985" w:type="dxa"/>
            <w:tcBorders>
              <w:top w:val="nil"/>
              <w:left w:val="nil"/>
              <w:bottom w:val="single" w:sz="8" w:space="0" w:color="auto"/>
              <w:right w:val="single" w:sz="8" w:space="0" w:color="auto"/>
            </w:tcBorders>
            <w:shd w:val="clear" w:color="auto" w:fill="auto"/>
            <w:noWrap/>
            <w:vAlign w:val="center"/>
            <w:hideMark/>
          </w:tcPr>
          <w:p w:rsidR="00E94EA5" w:rsidRPr="00E94EA5" w:rsidRDefault="00E94EA5" w:rsidP="00E94EA5">
            <w:pPr>
              <w:jc w:val="right"/>
              <w:rPr>
                <w:sz w:val="20"/>
                <w:lang w:val="es-GT" w:eastAsia="es-GT"/>
              </w:rPr>
            </w:pPr>
            <w:r w:rsidRPr="00E94EA5">
              <w:rPr>
                <w:sz w:val="20"/>
                <w:lang w:val="es-GT" w:eastAsia="es-GT"/>
              </w:rPr>
              <w:t>274.64</w:t>
            </w:r>
          </w:p>
        </w:tc>
      </w:tr>
    </w:tbl>
    <w:p w:rsidR="008E1BAF" w:rsidRPr="00E94EA5" w:rsidRDefault="00E94EA5" w:rsidP="00E94EA5">
      <w:pPr>
        <w:pStyle w:val="Prrafodelista"/>
        <w:autoSpaceDE w:val="0"/>
        <w:autoSpaceDN w:val="0"/>
        <w:adjustRightInd w:val="0"/>
        <w:ind w:left="709"/>
        <w:jc w:val="both"/>
        <w:rPr>
          <w:sz w:val="18"/>
        </w:rPr>
      </w:pPr>
      <w:r>
        <w:rPr>
          <w:sz w:val="18"/>
        </w:rPr>
        <w:t xml:space="preserve">* </w:t>
      </w:r>
      <w:r w:rsidRPr="00E94EA5">
        <w:rPr>
          <w:sz w:val="18"/>
        </w:rPr>
        <w:t>Incluye colocación de Eurobonos.</w:t>
      </w:r>
    </w:p>
    <w:p w:rsidR="00E94EA5" w:rsidRPr="003024D7" w:rsidRDefault="00E94EA5" w:rsidP="00E94EA5">
      <w:pPr>
        <w:jc w:val="both"/>
        <w:rPr>
          <w:sz w:val="18"/>
          <w:lang w:val="es-MX"/>
        </w:rPr>
      </w:pPr>
      <w:r>
        <w:rPr>
          <w:sz w:val="18"/>
          <w:lang w:val="es-MX"/>
        </w:rPr>
        <w:t xml:space="preserve">     </w:t>
      </w:r>
      <w:r>
        <w:rPr>
          <w:sz w:val="18"/>
          <w:lang w:val="es-MX"/>
        </w:rPr>
        <w:t xml:space="preserve">   </w:t>
      </w:r>
      <w:r>
        <w:rPr>
          <w:sz w:val="18"/>
          <w:lang w:val="es-MX"/>
        </w:rPr>
        <w:t xml:space="preserve">          </w:t>
      </w:r>
      <w:r>
        <w:rPr>
          <w:sz w:val="18"/>
          <w:lang w:val="es-MX"/>
        </w:rPr>
        <w:t xml:space="preserve"> </w:t>
      </w:r>
      <w:r w:rsidRPr="003024D7">
        <w:rPr>
          <w:sz w:val="18"/>
          <w:lang w:val="es-MX"/>
        </w:rPr>
        <w:t>Fuente: Ministerio de Finanzas Públicas</w:t>
      </w:r>
      <w:r>
        <w:rPr>
          <w:sz w:val="18"/>
          <w:lang w:val="es-MX"/>
        </w:rPr>
        <w:t>.</w:t>
      </w:r>
    </w:p>
    <w:p w:rsidR="00E94EA5" w:rsidRPr="00E94EA5" w:rsidRDefault="00E94EA5" w:rsidP="00EF23D0">
      <w:pPr>
        <w:autoSpaceDE w:val="0"/>
        <w:autoSpaceDN w:val="0"/>
        <w:adjustRightInd w:val="0"/>
        <w:jc w:val="both"/>
        <w:rPr>
          <w:lang w:val="es-MX"/>
        </w:rPr>
      </w:pPr>
    </w:p>
    <w:p w:rsidR="00EF23D0" w:rsidRDefault="003C1FEE" w:rsidP="00EF23D0">
      <w:pPr>
        <w:autoSpaceDE w:val="0"/>
        <w:autoSpaceDN w:val="0"/>
        <w:adjustRightInd w:val="0"/>
        <w:jc w:val="both"/>
      </w:pPr>
      <w:r>
        <w:t>Con relación a los ingresos tributarios, c</w:t>
      </w:r>
      <w:r w:rsidR="00EF23D0">
        <w:t>ifras preliminares acumuladas a junio</w:t>
      </w:r>
      <w:r w:rsidR="005E01F1">
        <w:t xml:space="preserve"> de 2019</w:t>
      </w:r>
      <w:r w:rsidR="00EF23D0">
        <w:t xml:space="preserve"> generaron una brecha negativa de Q</w:t>
      </w:r>
      <w:r w:rsidR="005E01F1">
        <w:t>.</w:t>
      </w:r>
      <w:r w:rsidR="00EF23D0">
        <w:t>1,471.4 millones</w:t>
      </w:r>
      <w:r w:rsidR="005E01F1">
        <w:t>, con</w:t>
      </w:r>
      <w:r w:rsidR="00EF23D0">
        <w:t xml:space="preserve"> respecto a la meta de presupuesto</w:t>
      </w:r>
      <w:r w:rsidR="005E01F1">
        <w:t>. Los</w:t>
      </w:r>
      <w:r w:rsidR="00EF23D0">
        <w:t xml:space="preserve"> impuestos que generan esta brecha son el Impuesto Sobre la Renta </w:t>
      </w:r>
      <w:r w:rsidR="005E01F1">
        <w:t>(</w:t>
      </w:r>
      <w:r w:rsidR="00EF23D0">
        <w:t>ISR</w:t>
      </w:r>
      <w:r w:rsidR="005E01F1">
        <w:t>)</w:t>
      </w:r>
      <w:r w:rsidR="00EF23D0">
        <w:t xml:space="preserve">, Impuesto de </w:t>
      </w:r>
      <w:r w:rsidR="005E01F1">
        <w:t>S</w:t>
      </w:r>
      <w:r w:rsidR="00EF23D0">
        <w:t xml:space="preserve">olidaridad </w:t>
      </w:r>
      <w:r w:rsidR="005E01F1">
        <w:t>(</w:t>
      </w:r>
      <w:r w:rsidR="00EF23D0">
        <w:t>ISO</w:t>
      </w:r>
      <w:r w:rsidR="005E01F1">
        <w:t>)</w:t>
      </w:r>
      <w:r w:rsidR="00EF23D0">
        <w:t xml:space="preserve">, Impuesto al Valor Agregado </w:t>
      </w:r>
      <w:r w:rsidR="005E01F1">
        <w:t>(</w:t>
      </w:r>
      <w:r w:rsidR="00EF23D0">
        <w:t>IVA</w:t>
      </w:r>
      <w:r w:rsidR="005E01F1">
        <w:t>)</w:t>
      </w:r>
      <w:r w:rsidR="00EF23D0">
        <w:t xml:space="preserve">, Timbres </w:t>
      </w:r>
      <w:r w:rsidR="005E01F1">
        <w:t>F</w:t>
      </w:r>
      <w:r w:rsidR="00EF23D0">
        <w:t xml:space="preserve">iscales, Circulación de Vehículos, Impuesto a la Primera Matricula </w:t>
      </w:r>
      <w:r w:rsidR="005E01F1">
        <w:t>(</w:t>
      </w:r>
      <w:r w:rsidR="00EF23D0">
        <w:t>IPRIMA</w:t>
      </w:r>
      <w:r w:rsidR="005E01F1">
        <w:t>)</w:t>
      </w:r>
      <w:r w:rsidR="00EF23D0">
        <w:t xml:space="preserve">, </w:t>
      </w:r>
      <w:r w:rsidR="005E01F1">
        <w:t>C</w:t>
      </w:r>
      <w:r w:rsidR="00EF23D0">
        <w:t xml:space="preserve">emento y </w:t>
      </w:r>
      <w:r w:rsidR="005E01F1">
        <w:t>R</w:t>
      </w:r>
      <w:r w:rsidR="00EF23D0">
        <w:t xml:space="preserve">egalías e </w:t>
      </w:r>
      <w:r w:rsidR="005E01F1">
        <w:t>H</w:t>
      </w:r>
      <w:r w:rsidR="00EF23D0">
        <w:t xml:space="preserve">idrocarburos </w:t>
      </w:r>
      <w:r w:rsidR="005E01F1">
        <w:t>C</w:t>
      </w:r>
      <w:r w:rsidR="00EF23D0">
        <w:t>ompartibles.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Junio</w:t>
      </w:r>
      <w:r w:rsidR="005E01F1">
        <w:t xml:space="preserve"> de 2019 </w:t>
      </w:r>
      <w:r>
        <w:t>fue el mes que gener</w:t>
      </w:r>
      <w:r w:rsidR="005E01F1">
        <w:t>ó</w:t>
      </w:r>
      <w:r>
        <w:t xml:space="preserve"> la mayor brecha negativa (Q</w:t>
      </w:r>
      <w:r w:rsidR="005E01F1">
        <w:t>.</w:t>
      </w:r>
      <w:r>
        <w:t xml:space="preserve">381.6 millones) respecto </w:t>
      </w:r>
      <w:r w:rsidR="005E01F1">
        <w:t>de</w:t>
      </w:r>
      <w:r>
        <w:t xml:space="preserve"> la meta de presupuesto</w:t>
      </w:r>
      <w:r w:rsidR="005E01F1">
        <w:t>;</w:t>
      </w:r>
      <w:r>
        <w:t xml:space="preserve"> esta brecha fue impulsada principalmente por el IVA y el ISR</w:t>
      </w:r>
      <w:r w:rsidR="00324F07">
        <w:t>.</w:t>
      </w:r>
      <w:r>
        <w:t xml:space="preserve"> </w:t>
      </w:r>
      <w:r w:rsidR="00324F07">
        <w:t xml:space="preserve">Los </w:t>
      </w:r>
      <w:r>
        <w:t xml:space="preserve">impuestos que generaron rendimiento positivo fueron, </w:t>
      </w:r>
      <w:r w:rsidR="00324F07">
        <w:t>I</w:t>
      </w:r>
      <w:r>
        <w:t xml:space="preserve">mpuesto a las </w:t>
      </w:r>
      <w:r w:rsidR="00324F07">
        <w:t>B</w:t>
      </w:r>
      <w:r>
        <w:t xml:space="preserve">ebidas, y los no administrados por </w:t>
      </w:r>
      <w:r w:rsidR="00324F07">
        <w:t xml:space="preserve">la Superintendencia de Administración Tributaria (SAT), </w:t>
      </w:r>
      <w:r>
        <w:t xml:space="preserve">Regalías e </w:t>
      </w:r>
      <w:r w:rsidR="00324F07">
        <w:t>H</w:t>
      </w:r>
      <w:r>
        <w:t xml:space="preserve">idrocarburos </w:t>
      </w:r>
      <w:r w:rsidR="00324F07">
        <w:t>C</w:t>
      </w:r>
      <w:r>
        <w:t xml:space="preserve">ompartibles y </w:t>
      </w:r>
      <w:r w:rsidR="00324F07">
        <w:t>S</w:t>
      </w:r>
      <w:r>
        <w:t xml:space="preserve">alidas del </w:t>
      </w:r>
      <w:r w:rsidR="00324F07">
        <w:t>P</w:t>
      </w:r>
      <w:r>
        <w:t>aís</w:t>
      </w:r>
      <w:r w:rsidR="00324F07">
        <w:t>;</w:t>
      </w:r>
      <w:r>
        <w:t xml:space="preserve"> el resto de impuestos</w:t>
      </w:r>
      <w:r w:rsidR="00324F07">
        <w:t xml:space="preserve"> no alcanzaron la meta mensual.</w:t>
      </w:r>
    </w:p>
    <w:p w:rsidR="00F5676B" w:rsidRDefault="00F5676B" w:rsidP="00EF23D0">
      <w:pPr>
        <w:autoSpaceDE w:val="0"/>
        <w:autoSpaceDN w:val="0"/>
        <w:adjustRightInd w:val="0"/>
        <w:jc w:val="both"/>
      </w:pPr>
    </w:p>
    <w:p w:rsidR="00F5676B" w:rsidRPr="00FB641E" w:rsidRDefault="00F5676B" w:rsidP="00F5676B">
      <w:pPr>
        <w:jc w:val="center"/>
        <w:rPr>
          <w:b/>
          <w:sz w:val="22"/>
          <w:lang w:val="es-MX"/>
        </w:rPr>
      </w:pPr>
      <w:r w:rsidRPr="00FB641E">
        <w:rPr>
          <w:b/>
          <w:sz w:val="22"/>
          <w:lang w:val="es-MX"/>
        </w:rPr>
        <w:t xml:space="preserve">Gráfica </w:t>
      </w:r>
      <w:r>
        <w:rPr>
          <w:b/>
          <w:sz w:val="22"/>
          <w:lang w:val="es-MX"/>
        </w:rPr>
        <w:t>14</w:t>
      </w:r>
    </w:p>
    <w:p w:rsidR="00F5676B" w:rsidRPr="0088577C" w:rsidRDefault="00F5676B" w:rsidP="00F5676B">
      <w:pPr>
        <w:jc w:val="center"/>
        <w:rPr>
          <w:b/>
          <w:sz w:val="22"/>
          <w:szCs w:val="22"/>
          <w:lang w:val="es-MX"/>
        </w:rPr>
      </w:pPr>
      <w:r>
        <w:rPr>
          <w:b/>
          <w:sz w:val="22"/>
          <w:szCs w:val="22"/>
          <w:lang w:val="es-MX"/>
        </w:rPr>
        <w:t>Variación Interanual de la Recaudación Tributaria Acumulada</w:t>
      </w:r>
    </w:p>
    <w:p w:rsidR="00F5676B" w:rsidRPr="0088577C" w:rsidRDefault="00F5676B" w:rsidP="00F5676B">
      <w:pPr>
        <w:jc w:val="center"/>
        <w:rPr>
          <w:b/>
          <w:sz w:val="22"/>
          <w:szCs w:val="22"/>
          <w:lang w:val="es-MX"/>
        </w:rPr>
      </w:pPr>
      <w:r>
        <w:rPr>
          <w:b/>
          <w:sz w:val="22"/>
          <w:szCs w:val="22"/>
          <w:lang w:val="es-MX"/>
        </w:rPr>
        <w:t xml:space="preserve">Al </w:t>
      </w:r>
      <w:r w:rsidR="00500188">
        <w:rPr>
          <w:b/>
          <w:sz w:val="22"/>
          <w:szCs w:val="22"/>
          <w:lang w:val="es-MX"/>
        </w:rPr>
        <w:t>mes de</w:t>
      </w:r>
      <w:r>
        <w:rPr>
          <w:b/>
          <w:sz w:val="22"/>
          <w:szCs w:val="22"/>
          <w:lang w:val="es-MX"/>
        </w:rPr>
        <w:t xml:space="preserve"> junio de </w:t>
      </w:r>
      <w:r w:rsidR="00500188">
        <w:rPr>
          <w:b/>
          <w:sz w:val="22"/>
          <w:szCs w:val="22"/>
          <w:lang w:val="es-MX"/>
        </w:rPr>
        <w:t>cada año</w:t>
      </w:r>
    </w:p>
    <w:p w:rsidR="00F5676B" w:rsidRDefault="00F5676B" w:rsidP="00324F07">
      <w:pPr>
        <w:autoSpaceDE w:val="0"/>
        <w:autoSpaceDN w:val="0"/>
        <w:adjustRightInd w:val="0"/>
        <w:jc w:val="center"/>
      </w:pPr>
      <w:r w:rsidRPr="0088577C">
        <w:rPr>
          <w:b/>
          <w:sz w:val="22"/>
          <w:szCs w:val="22"/>
          <w:lang w:val="es-MX"/>
        </w:rPr>
        <w:t>(Cifras en Porcentajes</w:t>
      </w:r>
      <w:r w:rsidR="00500188">
        <w:rPr>
          <w:b/>
          <w:sz w:val="22"/>
          <w:szCs w:val="22"/>
          <w:lang w:val="es-MX"/>
        </w:rPr>
        <w:t>)</w:t>
      </w:r>
    </w:p>
    <w:p w:rsidR="00F5676B" w:rsidRDefault="00324F07" w:rsidP="00EF23D0">
      <w:pPr>
        <w:autoSpaceDE w:val="0"/>
        <w:autoSpaceDN w:val="0"/>
        <w:adjustRightInd w:val="0"/>
        <w:jc w:val="both"/>
      </w:pPr>
      <w:r>
        <w:rPr>
          <w:noProof/>
          <w:lang w:val="es-GT" w:eastAsia="es-GT"/>
        </w:rPr>
        <w:drawing>
          <wp:anchor distT="0" distB="0" distL="114300" distR="114300" simplePos="0" relativeHeight="251661312" behindDoc="0" locked="0" layoutInCell="1" allowOverlap="1" wp14:anchorId="3DFBAD43" wp14:editId="7B32B861">
            <wp:simplePos x="0" y="0"/>
            <wp:positionH relativeFrom="column">
              <wp:posOffset>1259840</wp:posOffset>
            </wp:positionH>
            <wp:positionV relativeFrom="paragraph">
              <wp:posOffset>18415</wp:posOffset>
            </wp:positionV>
            <wp:extent cx="3227070" cy="2749550"/>
            <wp:effectExtent l="0" t="0" r="11430" b="1270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F5676B" w:rsidRDefault="00F5676B" w:rsidP="00EF23D0">
      <w:pPr>
        <w:autoSpaceDE w:val="0"/>
        <w:autoSpaceDN w:val="0"/>
        <w:adjustRightInd w:val="0"/>
        <w:jc w:val="both"/>
      </w:pPr>
    </w:p>
    <w:p w:rsidR="00E91A73" w:rsidRPr="003024D7" w:rsidRDefault="00E91A73" w:rsidP="00E91A73">
      <w:pPr>
        <w:jc w:val="both"/>
        <w:rPr>
          <w:sz w:val="18"/>
          <w:lang w:val="es-MX"/>
        </w:rPr>
      </w:pPr>
      <w:r>
        <w:rPr>
          <w:sz w:val="18"/>
          <w:lang w:val="es-MX"/>
        </w:rPr>
        <w:t xml:space="preserve">   </w:t>
      </w:r>
      <w:r w:rsidR="00324F07">
        <w:rPr>
          <w:sz w:val="18"/>
          <w:lang w:val="es-MX"/>
        </w:rPr>
        <w:t xml:space="preserve">                                         </w:t>
      </w:r>
      <w:r w:rsidRPr="003024D7">
        <w:rPr>
          <w:sz w:val="18"/>
          <w:lang w:val="es-MX"/>
        </w:rPr>
        <w:t>Fuente: Ministerio de Finanzas Públicas</w:t>
      </w:r>
      <w:r>
        <w:rPr>
          <w:sz w:val="18"/>
          <w:lang w:val="es-MX"/>
        </w:rPr>
        <w:t>.</w:t>
      </w:r>
    </w:p>
    <w:p w:rsidR="00E91A73" w:rsidRPr="00EF23D0" w:rsidRDefault="00E91A73" w:rsidP="00E91A73">
      <w:pPr>
        <w:autoSpaceDE w:val="0"/>
        <w:autoSpaceDN w:val="0"/>
        <w:adjustRightInd w:val="0"/>
        <w:jc w:val="both"/>
        <w:rPr>
          <w:lang w:val="es-MX"/>
        </w:rPr>
      </w:pPr>
    </w:p>
    <w:p w:rsidR="00EF23D0" w:rsidRDefault="00EF23D0" w:rsidP="00EF23D0">
      <w:pPr>
        <w:autoSpaceDE w:val="0"/>
        <w:autoSpaceDN w:val="0"/>
        <w:adjustRightInd w:val="0"/>
        <w:jc w:val="both"/>
      </w:pPr>
      <w:r>
        <w:t xml:space="preserve">El crecimiento interanual acumulado para junio </w:t>
      </w:r>
      <w:r w:rsidR="001E2EE5">
        <w:t xml:space="preserve">de 2019 </w:t>
      </w:r>
      <w:r>
        <w:t>es de 4.0%</w:t>
      </w:r>
      <w:r w:rsidR="001E2EE5">
        <w:t>,</w:t>
      </w:r>
      <w:r>
        <w:t xml:space="preserve"> monto mayor al reportado en 2018 (2.9%)</w:t>
      </w:r>
      <w:r w:rsidR="001E2EE5">
        <w:t>. Los</w:t>
      </w:r>
      <w:r>
        <w:t xml:space="preserve"> impuestos que contribuyen con este incremento interanual son</w:t>
      </w:r>
      <w:r w:rsidR="001E2EE5">
        <w:t>:</w:t>
      </w:r>
      <w:r>
        <w:t xml:space="preserve"> ISR, ISO, IVA (</w:t>
      </w:r>
      <w:r w:rsidR="001E2EE5">
        <w:t>D</w:t>
      </w:r>
      <w:r>
        <w:t xml:space="preserve">oméstico y asociado a las </w:t>
      </w:r>
      <w:r w:rsidR="001E2EE5">
        <w:t>I</w:t>
      </w:r>
      <w:r>
        <w:t xml:space="preserve">mportaciones), los </w:t>
      </w:r>
      <w:r w:rsidR="001E2EE5">
        <w:t>D</w:t>
      </w:r>
      <w:r>
        <w:t xml:space="preserve">erechos </w:t>
      </w:r>
      <w:r w:rsidR="001E2EE5">
        <w:t>A</w:t>
      </w:r>
      <w:r>
        <w:t xml:space="preserve">rancelarios, </w:t>
      </w:r>
      <w:r w:rsidR="001E2EE5">
        <w:t>D</w:t>
      </w:r>
      <w:r>
        <w:t xml:space="preserve">erivados del </w:t>
      </w:r>
      <w:r w:rsidR="001E2EE5">
        <w:t>P</w:t>
      </w:r>
      <w:r>
        <w:t xml:space="preserve">etróleo, </w:t>
      </w:r>
      <w:r w:rsidR="001E2EE5">
        <w:t>I</w:t>
      </w:r>
      <w:r>
        <w:t xml:space="preserve">mpuesto de </w:t>
      </w:r>
      <w:r w:rsidR="001E2EE5">
        <w:t>C</w:t>
      </w:r>
      <w:r>
        <w:t xml:space="preserve">irculación de </w:t>
      </w:r>
      <w:r w:rsidR="001E2EE5">
        <w:t>V</w:t>
      </w:r>
      <w:r>
        <w:t>ehículos, el IPRIMA, y los impuestos asociados a los productos industriales (Cemento y Bebidas).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El IVA de manera mensual gener</w:t>
      </w:r>
      <w:r w:rsidR="0082479D">
        <w:t>ó</w:t>
      </w:r>
      <w:r>
        <w:t xml:space="preserve"> una brecha negativa de Q</w:t>
      </w:r>
      <w:r w:rsidR="0082479D">
        <w:t>.</w:t>
      </w:r>
      <w:r>
        <w:t>261.2 millones</w:t>
      </w:r>
      <w:r w:rsidR="0082479D">
        <w:t>, con</w:t>
      </w:r>
      <w:r>
        <w:t xml:space="preserve"> respecto a la meta de presupuesto</w:t>
      </w:r>
      <w:r w:rsidR="0082479D">
        <w:t>;</w:t>
      </w:r>
      <w:r>
        <w:t xml:space="preserve"> por IVA </w:t>
      </w:r>
      <w:r w:rsidR="0082479D">
        <w:t>I</w:t>
      </w:r>
      <w:r>
        <w:t>mportaciones se dejó de recaudar Q</w:t>
      </w:r>
      <w:r w:rsidR="0082479D">
        <w:t>.</w:t>
      </w:r>
      <w:r>
        <w:t xml:space="preserve">134.0 millones y por IVA </w:t>
      </w:r>
      <w:r w:rsidR="0082479D">
        <w:t>D</w:t>
      </w:r>
      <w:r>
        <w:t>om</w:t>
      </w:r>
      <w:r w:rsidR="0082479D">
        <w:t>é</w:t>
      </w:r>
      <w:r>
        <w:t>stico Q</w:t>
      </w:r>
      <w:r w:rsidR="0082479D">
        <w:t>.</w:t>
      </w:r>
      <w:r>
        <w:t>127.1 millones</w:t>
      </w:r>
      <w:r w:rsidR="0082479D">
        <w:t>.</w:t>
      </w:r>
      <w:r>
        <w:t xml:space="preserve"> </w:t>
      </w:r>
      <w:r w:rsidR="0082479D">
        <w:t>C</w:t>
      </w:r>
      <w:r>
        <w:t>on relación al año anterior este impuesto creció en 1.8% (Q</w:t>
      </w:r>
      <w:r w:rsidR="0082479D">
        <w:t>.</w:t>
      </w:r>
      <w:r>
        <w:t xml:space="preserve">39.9 millones) por el desempeño positivo observado en el IVA </w:t>
      </w:r>
      <w:r w:rsidR="0082479D">
        <w:t>A</w:t>
      </w:r>
      <w:r>
        <w:t xml:space="preserve">sociado al </w:t>
      </w:r>
      <w:r w:rsidR="0082479D">
        <w:t>C</w:t>
      </w:r>
      <w:r>
        <w:t xml:space="preserve">omercio </w:t>
      </w:r>
      <w:r w:rsidR="0082479D">
        <w:t>I</w:t>
      </w:r>
      <w:r>
        <w:t>nterno. El IVA de manera acumulada genera una brecha negativa de Q</w:t>
      </w:r>
      <w:r w:rsidR="0082479D">
        <w:t>.</w:t>
      </w:r>
      <w:r>
        <w:t>1,055.8 millones</w:t>
      </w:r>
      <w:r w:rsidR="0082479D">
        <w:t xml:space="preserve"> con</w:t>
      </w:r>
      <w:r>
        <w:t xml:space="preserve"> respecto a la meta de presupuesto y un crecimiento interanual de 5.7% (Q</w:t>
      </w:r>
      <w:r w:rsidR="0082479D">
        <w:t>.</w:t>
      </w:r>
      <w:r>
        <w:t xml:space="preserve">764.0 millones) respecto </w:t>
      </w:r>
      <w:r w:rsidR="0082479D">
        <w:t>de</w:t>
      </w:r>
      <w:r>
        <w:t xml:space="preserve"> la meta de presupuesto</w:t>
      </w:r>
      <w:r w:rsidR="0082479D">
        <w:t>;</w:t>
      </w:r>
      <w:r>
        <w:t xml:space="preserve"> la recaudación tributaria asociada al comercio exterior (IVA </w:t>
      </w:r>
      <w:r w:rsidR="0082479D">
        <w:t>I</w:t>
      </w:r>
      <w:r>
        <w:t xml:space="preserve">mportaciones y Derechos Arancelarios a la </w:t>
      </w:r>
      <w:r w:rsidR="0082479D">
        <w:t>I</w:t>
      </w:r>
      <w:r>
        <w:t>mportación)</w:t>
      </w:r>
      <w:r w:rsidR="0082479D">
        <w:t>,</w:t>
      </w:r>
      <w:r>
        <w:t xml:space="preserve"> de manera acumulada tiene un crecimiento interanual de 6.4% (Q</w:t>
      </w:r>
      <w:r w:rsidR="0082479D">
        <w:t>.</w:t>
      </w:r>
      <w:r>
        <w:t>514.3 millones) y con relación a la meta de presupuesto se observa una caída de 2.9% (Q</w:t>
      </w:r>
      <w:r w:rsidR="0082479D">
        <w:t>.</w:t>
      </w:r>
      <w:r>
        <w:t>257.5 millones).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w:t>
      </w:r>
      <w:r w:rsidR="00C85D93">
        <w:t>I</w:t>
      </w:r>
      <w:r>
        <w:t xml:space="preserve">mpuesto </w:t>
      </w:r>
      <w:r w:rsidR="00C85D93">
        <w:t>S</w:t>
      </w:r>
      <w:r>
        <w:t xml:space="preserve">obre la </w:t>
      </w:r>
      <w:r w:rsidR="00C85D93">
        <w:t>R</w:t>
      </w:r>
      <w:r>
        <w:t>enta acumulado a junio</w:t>
      </w:r>
      <w:r w:rsidR="00C85D93">
        <w:t xml:space="preserve"> de 2019</w:t>
      </w:r>
      <w:r>
        <w:t xml:space="preserve"> genera una brecha negativa de Q</w:t>
      </w:r>
      <w:r w:rsidR="00C85D93">
        <w:t>.</w:t>
      </w:r>
      <w:r>
        <w:t xml:space="preserve">358.4 millones, respecto </w:t>
      </w:r>
      <w:r w:rsidR="00C85D93">
        <w:t>de</w:t>
      </w:r>
      <w:r>
        <w:t xml:space="preserve"> la meta de presupuesto</w:t>
      </w:r>
      <w:r w:rsidR="0017533C">
        <w:t>. D</w:t>
      </w:r>
      <w:r>
        <w:t>e manera interanual se tiene un crecimiento de 0.6% (Q</w:t>
      </w:r>
      <w:r w:rsidR="0017533C">
        <w:t>.</w:t>
      </w:r>
      <w:r>
        <w:t>51.7 millones)</w:t>
      </w:r>
      <w:r w:rsidR="0017533C">
        <w:t>;</w:t>
      </w:r>
      <w:r>
        <w:t xml:space="preserve"> el resto de impuestos de manera acumulada (</w:t>
      </w:r>
      <w:r w:rsidR="0017533C">
        <w:t>P</w:t>
      </w:r>
      <w:r>
        <w:t xml:space="preserve">atrimonio, DAI, </w:t>
      </w:r>
      <w:r w:rsidR="0017533C">
        <w:t>D</w:t>
      </w:r>
      <w:r>
        <w:t xml:space="preserve">erivados del </w:t>
      </w:r>
      <w:r w:rsidR="0017533C">
        <w:t>P</w:t>
      </w:r>
      <w:r>
        <w:t xml:space="preserve">etróleo, </w:t>
      </w:r>
      <w:r w:rsidR="0017533C">
        <w:t>B</w:t>
      </w:r>
      <w:r>
        <w:t xml:space="preserve">ebidas, Tabacos y </w:t>
      </w:r>
      <w:r w:rsidR="0017533C">
        <w:t>S</w:t>
      </w:r>
      <w:r>
        <w:t xml:space="preserve">alida del </w:t>
      </w:r>
      <w:r w:rsidR="0017533C">
        <w:t>P</w:t>
      </w:r>
      <w:r>
        <w:t>aís) generaron</w:t>
      </w:r>
      <w:r w:rsidR="0017533C">
        <w:t xml:space="preserve"> una</w:t>
      </w:r>
      <w:r>
        <w:t xml:space="preserve"> brecha positiva de Q</w:t>
      </w:r>
      <w:r w:rsidR="0017533C">
        <w:t>.</w:t>
      </w:r>
      <w:r>
        <w:t>147.1 millones.</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EF23D0" w:rsidRDefault="00EF23D0" w:rsidP="00EF23D0">
      <w:pPr>
        <w:autoSpaceDE w:val="0"/>
        <w:autoSpaceDN w:val="0"/>
        <w:adjustRightInd w:val="0"/>
        <w:jc w:val="both"/>
      </w:pPr>
      <w:r>
        <w:t xml:space="preserve">Dentro del plan anual de recaudación, se estipula una serie de acciones que tienen como fin aumentar el cumplimiento voluntario, lo cual incluye una medida importante como lo es el acceso a la información bancaria con fines tributarios, luego de la suspensión provisional del </w:t>
      </w:r>
      <w:r w:rsidR="00B153EA">
        <w:t>a</w:t>
      </w:r>
      <w:r>
        <w:t xml:space="preserve">rtículo 52 del Decreto </w:t>
      </w:r>
      <w:r w:rsidR="00B153EA">
        <w:t xml:space="preserve">No. </w:t>
      </w:r>
      <w:r>
        <w:t>37-2012, Ley para el Fortalecimiento Fiscal y la Gobernanza de la Superintendencia de Administración Tributaria</w:t>
      </w:r>
      <w:r w:rsidR="00B153EA">
        <w:t>,</w:t>
      </w:r>
      <w:r>
        <w:t xml:space="preserve"> la cual adicionó el </w:t>
      </w:r>
      <w:r w:rsidR="00B153EA">
        <w:t>a</w:t>
      </w:r>
      <w:r>
        <w:t>rtículo 30</w:t>
      </w:r>
      <w:r w:rsidR="00B153EA">
        <w:t xml:space="preserve"> </w:t>
      </w:r>
      <w:r>
        <w:t xml:space="preserve">C al Decreto </w:t>
      </w:r>
      <w:r w:rsidR="00B153EA">
        <w:t xml:space="preserve">No. </w:t>
      </w:r>
      <w:r>
        <w:t>6-91 Código Tributario</w:t>
      </w:r>
      <w:r w:rsidR="00B153EA">
        <w:t>. E</w:t>
      </w:r>
      <w:r>
        <w:t>l ente recaudador a partir de agosto de 2018 hasta la fecha</w:t>
      </w:r>
      <w:r w:rsidR="00B153EA">
        <w:t>,</w:t>
      </w:r>
      <w:r>
        <w:t xml:space="preserve"> ha dejado de contar con una herramienta para el proceso de fiscalización, lo cual ha tenido efectos directos en la rec</w:t>
      </w:r>
      <w:r w:rsidR="00B153EA">
        <w:t>audación</w:t>
      </w:r>
      <w:r>
        <w:t xml:space="preserve"> de impuestos.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Adicionalmente, la devolución del crédito fiscal a los exportadores muestra una mayor agilización en los pagos por parte de la SAT, como consecuencia de una serie de lineamientos establecidos para lograr la reactivación de la economía, siendo la devolución del crédito fiscal uno de los estandartes. El saldo de la cuenta Fondo IVA para la devolución del crédito fiscal a los exportadores al 30 de junio</w:t>
      </w:r>
      <w:r w:rsidR="00B153EA">
        <w:t xml:space="preserve"> de 2019</w:t>
      </w:r>
      <w:r>
        <w:t xml:space="preserve"> se ubicó en Q</w:t>
      </w:r>
      <w:r w:rsidR="00B153EA">
        <w:t>.</w:t>
      </w:r>
      <w:r>
        <w:t>1,758.3 millones.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Considerando el comportamiento observado en lo que va del año, así como el comportamiento estacional de las devoluciones en años anteriores y el aprovisionamiento derivado de la recaudación del IVA proyectada para el cierre del año, se prevé que las devoluciones asciendan a Q</w:t>
      </w:r>
      <w:r w:rsidR="001B39E9">
        <w:t>.</w:t>
      </w:r>
      <w:r>
        <w:t>2,527.5 millones al final del año, lo que representaría el nivel más alto en más de 5 años. Hay que recordar que el aprovisionamiento para el pago de</w:t>
      </w:r>
      <w:r w:rsidR="001B39E9">
        <w:t>l</w:t>
      </w:r>
      <w:r>
        <w:t xml:space="preserve"> crédito fiscal a los exportadores proviene de la recaudación del IVA total</w:t>
      </w:r>
      <w:r w:rsidR="001B39E9">
        <w:t>;</w:t>
      </w:r>
      <w:r>
        <w:t xml:space="preserve"> al cierre del año se espera que la meta por los impuestos que componen el IVA total (doméstico</w:t>
      </w:r>
      <w:r w:rsidR="001B39E9">
        <w:t xml:space="preserve"> e importaciones) sea superada.</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Asimismo, los resultados de la Encuesta de Expectativas Económicas que realiza el Banco de Guatemala a un panel de analistas privados</w:t>
      </w:r>
      <w:r w:rsidR="003E3EB2">
        <w:t>,</w:t>
      </w:r>
      <w:r>
        <w:t xml:space="preserve"> se reflejan en el Índice de Confianza de la Actividad Económica, mismo que a junio </w:t>
      </w:r>
      <w:r w:rsidR="003E3EB2">
        <w:t xml:space="preserve">de 2019 </w:t>
      </w:r>
      <w:r>
        <w:t>se ubica en 37.5 puntos, mientras que a la misma fecha del año anterior se ubicaba en 44.</w:t>
      </w:r>
      <w:r w:rsidR="003E3EB2">
        <w:t>3</w:t>
      </w:r>
      <w:r>
        <w:t xml:space="preserve"> puntos</w:t>
      </w:r>
      <w:r w:rsidR="003E3EB2">
        <w:t>. E</w:t>
      </w:r>
      <w:r>
        <w:t>n 2017 este índice se ubicó en 50.0</w:t>
      </w:r>
      <w:r w:rsidR="003E3EB2">
        <w:t xml:space="preserve"> puntos</w:t>
      </w:r>
      <w:r>
        <w:t>. E</w:t>
      </w:r>
      <w:r w:rsidR="003E3EB2">
        <w:t>ste</w:t>
      </w:r>
      <w:r>
        <w:t xml:space="preserve"> índice muestra, por lo tanto, estar en </w:t>
      </w:r>
      <w:r w:rsidR="003E3EB2">
        <w:t xml:space="preserve">una </w:t>
      </w:r>
      <w:r>
        <w:t xml:space="preserve">zona de contracción, al encontrarse por debajo de los 50.0 puntos e indica que la percepción de los panelistas respecto </w:t>
      </w:r>
      <w:r w:rsidR="003E3EB2">
        <w:t>del</w:t>
      </w:r>
      <w:r>
        <w:t xml:space="preserve"> clima de negocios e inversión es desfavorable.</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Los impuestos principalmente afectados por las situaciones anteriormente mencionadas son el Impuesto sobre Regalías e Hidrocarburos Compartibles, el Impuesto al Valor Agregado Doméstico y el Impuesto </w:t>
      </w:r>
      <w:r w:rsidR="00FE3053">
        <w:t>S</w:t>
      </w:r>
      <w:r>
        <w:t>obre la Renta, entre otros.</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La estimación de la recaudación prevista </w:t>
      </w:r>
      <w:r w:rsidR="00FE3053">
        <w:t>al cierre del</w:t>
      </w:r>
      <w:r>
        <w:t xml:space="preserve"> ejercicio fiscal 2019 asciende a Q</w:t>
      </w:r>
      <w:r w:rsidR="00FE3053">
        <w:t>.</w:t>
      </w:r>
      <w:r>
        <w:t xml:space="preserve">61,588.2 millones, </w:t>
      </w:r>
      <w:r w:rsidR="00FE3053">
        <w:t xml:space="preserve">la cual es </w:t>
      </w:r>
      <w:r>
        <w:t>inferior a la estimación de presupuesto en Q</w:t>
      </w:r>
      <w:r w:rsidR="00FE3053">
        <w:t>.</w:t>
      </w:r>
      <w:r>
        <w:t>2,439.5 millones</w:t>
      </w:r>
      <w:r w:rsidR="00FE3053">
        <w:t>;</w:t>
      </w:r>
      <w:r>
        <w:t xml:space="preserve"> el ajuste se realizó en todos los impuestos como se puede observar a continuación</w:t>
      </w:r>
      <w:r w:rsidR="00FE3053">
        <w:t>. D</w:t>
      </w:r>
      <w:r>
        <w:t xml:space="preserve">icha reducción obedece a aspectos relacionados con una </w:t>
      </w:r>
      <w:r w:rsidR="003972BF">
        <w:t>baja</w:t>
      </w:r>
      <w:r>
        <w:t xml:space="preserve"> en impuestos asociados al comercio exterior y principalmente al IVA asociado al consumo interno.</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EF23D0" w:rsidRDefault="00EF23D0" w:rsidP="00EF23D0">
      <w:pPr>
        <w:autoSpaceDE w:val="0"/>
        <w:autoSpaceDN w:val="0"/>
        <w:adjustRightInd w:val="0"/>
        <w:jc w:val="both"/>
      </w:pPr>
    </w:p>
    <w:p w:rsidR="00EF23D0" w:rsidRPr="00EF23D0" w:rsidRDefault="00EF23D0" w:rsidP="003C1FEE">
      <w:pPr>
        <w:jc w:val="center"/>
        <w:rPr>
          <w:b/>
          <w:sz w:val="22"/>
          <w:lang w:val="es-MX"/>
        </w:rPr>
      </w:pPr>
      <w:r w:rsidRPr="00EF23D0">
        <w:rPr>
          <w:b/>
          <w:sz w:val="22"/>
          <w:lang w:val="es-MX"/>
        </w:rPr>
        <w:t xml:space="preserve">Cuadro </w:t>
      </w:r>
      <w:r w:rsidR="00491C02">
        <w:rPr>
          <w:b/>
          <w:sz w:val="22"/>
          <w:lang w:val="es-MX"/>
        </w:rPr>
        <w:t>1</w:t>
      </w:r>
      <w:r w:rsidR="00E94EA5">
        <w:rPr>
          <w:b/>
          <w:sz w:val="22"/>
          <w:lang w:val="es-MX"/>
        </w:rPr>
        <w:t>4</w:t>
      </w:r>
    </w:p>
    <w:p w:rsidR="00EF23D0" w:rsidRPr="00EF23D0" w:rsidRDefault="00EF23D0" w:rsidP="003C1FEE">
      <w:pPr>
        <w:jc w:val="center"/>
        <w:rPr>
          <w:b/>
          <w:sz w:val="22"/>
          <w:lang w:val="es-MX"/>
        </w:rPr>
      </w:pPr>
      <w:r w:rsidRPr="00EF23D0">
        <w:rPr>
          <w:b/>
          <w:sz w:val="22"/>
          <w:lang w:val="es-MX"/>
        </w:rPr>
        <w:t>Presupuesto Asignado y Estimación de Ingresos Tributarios</w:t>
      </w:r>
    </w:p>
    <w:p w:rsidR="00EF23D0" w:rsidRPr="00EF23D0" w:rsidRDefault="00EF23D0" w:rsidP="003C1FEE">
      <w:pPr>
        <w:jc w:val="center"/>
        <w:rPr>
          <w:b/>
          <w:sz w:val="22"/>
          <w:lang w:val="es-MX"/>
        </w:rPr>
      </w:pPr>
      <w:r w:rsidRPr="00EF23D0">
        <w:rPr>
          <w:b/>
          <w:sz w:val="22"/>
          <w:lang w:val="es-MX"/>
        </w:rPr>
        <w:t>Ejercicio Fiscal 201</w:t>
      </w:r>
      <w:r w:rsidR="00DA37F9">
        <w:rPr>
          <w:b/>
          <w:sz w:val="22"/>
          <w:lang w:val="es-MX"/>
        </w:rPr>
        <w:t>9</w:t>
      </w:r>
    </w:p>
    <w:p w:rsidR="00EF23D0" w:rsidRPr="00EF23D0" w:rsidRDefault="00EF23D0" w:rsidP="003C1FEE">
      <w:pPr>
        <w:pStyle w:val="Prrafodelista"/>
        <w:jc w:val="center"/>
        <w:rPr>
          <w:sz w:val="16"/>
        </w:rPr>
      </w:pPr>
      <w:r w:rsidRPr="00EF23D0">
        <w:rPr>
          <w:b/>
          <w:sz w:val="22"/>
          <w:lang w:val="es-MX"/>
        </w:rPr>
        <w:t>(Cifras en Millones de Quetzales)</w:t>
      </w:r>
    </w:p>
    <w:tbl>
      <w:tblPr>
        <w:tblW w:w="8378" w:type="dxa"/>
        <w:jc w:val="center"/>
        <w:tblInd w:w="-478" w:type="dxa"/>
        <w:tblCellMar>
          <w:left w:w="70" w:type="dxa"/>
          <w:right w:w="70" w:type="dxa"/>
        </w:tblCellMar>
        <w:tblLook w:val="04A0" w:firstRow="1" w:lastRow="0" w:firstColumn="1" w:lastColumn="0" w:noHBand="0" w:noVBand="1"/>
      </w:tblPr>
      <w:tblGrid>
        <w:gridCol w:w="4678"/>
        <w:gridCol w:w="1820"/>
        <w:gridCol w:w="1880"/>
      </w:tblGrid>
      <w:tr w:rsidR="00EF23D0" w:rsidRPr="00F874C3" w:rsidTr="00E91A73">
        <w:trPr>
          <w:trHeight w:val="339"/>
          <w:jc w:val="center"/>
        </w:trPr>
        <w:tc>
          <w:tcPr>
            <w:tcW w:w="4678" w:type="dxa"/>
            <w:tcBorders>
              <w:top w:val="single" w:sz="8" w:space="0" w:color="auto"/>
              <w:left w:val="single" w:sz="8" w:space="0" w:color="auto"/>
              <w:bottom w:val="single" w:sz="12" w:space="0" w:color="auto"/>
              <w:right w:val="single" w:sz="8" w:space="0" w:color="auto"/>
            </w:tcBorders>
            <w:shd w:val="clear" w:color="000000" w:fill="0070C0"/>
            <w:noWrap/>
            <w:vAlign w:val="center"/>
            <w:hideMark/>
          </w:tcPr>
          <w:p w:rsidR="00EF23D0" w:rsidRPr="00F874C3" w:rsidRDefault="00EF23D0" w:rsidP="00EF23D0">
            <w:pPr>
              <w:jc w:val="center"/>
              <w:rPr>
                <w:b/>
                <w:bCs/>
                <w:color w:val="FFFFFF"/>
                <w:sz w:val="20"/>
                <w:lang w:eastAsia="es-GT"/>
              </w:rPr>
            </w:pPr>
            <w:r w:rsidRPr="00F874C3">
              <w:rPr>
                <w:b/>
                <w:bCs/>
                <w:color w:val="FFFFFF"/>
                <w:sz w:val="20"/>
                <w:lang w:eastAsia="es-GT"/>
              </w:rPr>
              <w:t>Concepto</w:t>
            </w:r>
          </w:p>
        </w:tc>
        <w:tc>
          <w:tcPr>
            <w:tcW w:w="1820" w:type="dxa"/>
            <w:tcBorders>
              <w:top w:val="single" w:sz="8" w:space="0" w:color="auto"/>
              <w:left w:val="nil"/>
              <w:bottom w:val="single" w:sz="12" w:space="0" w:color="auto"/>
              <w:right w:val="single" w:sz="8" w:space="0" w:color="auto"/>
            </w:tcBorders>
            <w:shd w:val="clear" w:color="000000" w:fill="0070C0"/>
            <w:noWrap/>
            <w:vAlign w:val="center"/>
            <w:hideMark/>
          </w:tcPr>
          <w:p w:rsidR="00EF23D0" w:rsidRPr="00F874C3" w:rsidRDefault="00EF23D0" w:rsidP="00EF23D0">
            <w:pPr>
              <w:jc w:val="center"/>
              <w:rPr>
                <w:b/>
                <w:bCs/>
                <w:color w:val="FFFFFF"/>
                <w:sz w:val="20"/>
                <w:lang w:eastAsia="es-GT"/>
              </w:rPr>
            </w:pPr>
            <w:r w:rsidRPr="00F874C3">
              <w:rPr>
                <w:b/>
                <w:bCs/>
                <w:color w:val="FFFFFF"/>
                <w:sz w:val="20"/>
                <w:lang w:eastAsia="es-GT"/>
              </w:rPr>
              <w:t>Presupuesto</w:t>
            </w:r>
          </w:p>
        </w:tc>
        <w:tc>
          <w:tcPr>
            <w:tcW w:w="1880" w:type="dxa"/>
            <w:tcBorders>
              <w:top w:val="single" w:sz="8" w:space="0" w:color="auto"/>
              <w:left w:val="nil"/>
              <w:bottom w:val="single" w:sz="12" w:space="0" w:color="auto"/>
              <w:right w:val="single" w:sz="8" w:space="0" w:color="auto"/>
            </w:tcBorders>
            <w:shd w:val="clear" w:color="000000" w:fill="0070C0"/>
            <w:noWrap/>
            <w:vAlign w:val="center"/>
            <w:hideMark/>
          </w:tcPr>
          <w:p w:rsidR="00EF23D0" w:rsidRPr="00F874C3" w:rsidRDefault="00EF23D0" w:rsidP="00EF23D0">
            <w:pPr>
              <w:jc w:val="center"/>
              <w:rPr>
                <w:b/>
                <w:bCs/>
                <w:color w:val="FFFFFF"/>
                <w:sz w:val="20"/>
                <w:lang w:eastAsia="es-GT"/>
              </w:rPr>
            </w:pPr>
            <w:r w:rsidRPr="00F874C3">
              <w:rPr>
                <w:b/>
                <w:bCs/>
                <w:color w:val="FFFFFF"/>
                <w:sz w:val="20"/>
                <w:lang w:eastAsia="es-GT"/>
              </w:rPr>
              <w:t>Estimación</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100" w:firstLine="201"/>
              <w:rPr>
                <w:b/>
                <w:bCs/>
                <w:color w:val="000000"/>
                <w:sz w:val="20"/>
                <w:lang w:eastAsia="es-GT"/>
              </w:rPr>
            </w:pPr>
            <w:r w:rsidRPr="00F874C3">
              <w:rPr>
                <w:b/>
                <w:bCs/>
                <w:color w:val="000000"/>
                <w:sz w:val="20"/>
                <w:lang w:eastAsia="es-GT"/>
              </w:rPr>
              <w:t>Ingresos Tributarios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64,027.7</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61,588.2</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100" w:firstLine="201"/>
              <w:rPr>
                <w:b/>
                <w:bCs/>
                <w:color w:val="000000"/>
                <w:sz w:val="20"/>
                <w:lang w:eastAsia="es-GT"/>
              </w:rPr>
            </w:pPr>
            <w:r w:rsidRPr="00F874C3">
              <w:rPr>
                <w:b/>
                <w:bCs/>
                <w:color w:val="000000"/>
                <w:sz w:val="20"/>
                <w:lang w:eastAsia="es-GT"/>
              </w:rPr>
              <w:t>Impuestos Directos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22,214.4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21,904.8</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sobre la renta</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16,257.1</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16,992.7</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a la propiedad y otros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27.9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32.2</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de solidaridad</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5,019.3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4,879.9</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Otros directos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910.0</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0.0</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100" w:firstLine="201"/>
              <w:rPr>
                <w:b/>
                <w:bCs/>
                <w:color w:val="000000"/>
                <w:sz w:val="20"/>
                <w:lang w:eastAsia="es-GT"/>
              </w:rPr>
            </w:pPr>
            <w:r w:rsidRPr="00F874C3">
              <w:rPr>
                <w:b/>
                <w:bCs/>
                <w:color w:val="000000"/>
                <w:sz w:val="20"/>
                <w:lang w:eastAsia="es-GT"/>
              </w:rPr>
              <w:t>Impuestos Indirectos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41,813.3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b/>
                <w:bCs/>
                <w:color w:val="000000"/>
                <w:sz w:val="20"/>
                <w:lang w:eastAsia="es-GT"/>
              </w:rPr>
            </w:pPr>
            <w:r w:rsidRPr="00F874C3">
              <w:rPr>
                <w:b/>
                <w:bCs/>
                <w:color w:val="000000"/>
                <w:sz w:val="20"/>
                <w:lang w:eastAsia="es-GT"/>
              </w:rPr>
              <w:t>39,683.4</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 al valor agregado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31,069.9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29,093.2</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Doméstico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15,441.9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13,830.5</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Importaciones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15,628.0</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15,262.7</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3972BF">
            <w:pPr>
              <w:ind w:firstLineChars="200" w:firstLine="400"/>
              <w:rPr>
                <w:color w:val="000000"/>
                <w:sz w:val="20"/>
                <w:lang w:eastAsia="es-GT"/>
              </w:rPr>
            </w:pPr>
            <w:r w:rsidRPr="00F874C3">
              <w:rPr>
                <w:color w:val="000000"/>
                <w:sz w:val="20"/>
                <w:lang w:eastAsia="es-GT"/>
              </w:rPr>
              <w:t xml:space="preserve">Derechos </w:t>
            </w:r>
            <w:r w:rsidR="003972BF">
              <w:rPr>
                <w:color w:val="000000"/>
                <w:sz w:val="20"/>
                <w:lang w:eastAsia="es-GT"/>
              </w:rPr>
              <w:t>a</w:t>
            </w:r>
            <w:r w:rsidRPr="00F874C3">
              <w:rPr>
                <w:color w:val="000000"/>
                <w:sz w:val="20"/>
                <w:lang w:eastAsia="es-GT"/>
              </w:rPr>
              <w:t>rancelarios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2,708.6</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2,593.0</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Petróleo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3,514.6</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3,597.7</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3972BF">
            <w:pPr>
              <w:ind w:firstLineChars="200" w:firstLine="400"/>
              <w:rPr>
                <w:color w:val="000000"/>
                <w:sz w:val="20"/>
                <w:lang w:eastAsia="es-GT"/>
              </w:rPr>
            </w:pPr>
            <w:r w:rsidRPr="00F874C3">
              <w:rPr>
                <w:color w:val="000000"/>
                <w:sz w:val="20"/>
                <w:lang w:eastAsia="es-GT"/>
              </w:rPr>
              <w:t xml:space="preserve">Timbres </w:t>
            </w:r>
            <w:r w:rsidR="003972BF">
              <w:rPr>
                <w:color w:val="000000"/>
                <w:sz w:val="20"/>
                <w:lang w:eastAsia="es-GT"/>
              </w:rPr>
              <w:t>f</w:t>
            </w:r>
            <w:r w:rsidRPr="00F874C3">
              <w:rPr>
                <w:color w:val="000000"/>
                <w:sz w:val="20"/>
                <w:lang w:eastAsia="es-GT"/>
              </w:rPr>
              <w:t>iscales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498.3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473.1</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Vehículos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914.8</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957.4</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IPRIMA</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1,048.0</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1,003.0</w:t>
            </w:r>
          </w:p>
        </w:tc>
      </w:tr>
      <w:tr w:rsidR="00EF23D0" w:rsidRPr="00F874C3" w:rsidTr="00E91A73">
        <w:trPr>
          <w:trHeight w:val="339"/>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Regalías e hidrocarburos petroleros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225.4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322.8</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3972BF">
            <w:pPr>
              <w:ind w:firstLineChars="200" w:firstLine="400"/>
              <w:rPr>
                <w:color w:val="000000"/>
                <w:sz w:val="20"/>
                <w:lang w:eastAsia="es-GT"/>
              </w:rPr>
            </w:pPr>
            <w:r w:rsidRPr="00F874C3">
              <w:rPr>
                <w:color w:val="000000"/>
                <w:sz w:val="20"/>
                <w:lang w:eastAsia="es-GT"/>
              </w:rPr>
              <w:t>Salida del país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333.4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318.6</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Impuestos específicos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1,177.3</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1,184.0</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Alcoholes y bebidas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820.4</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831.6</w:t>
            </w:r>
          </w:p>
        </w:tc>
      </w:tr>
      <w:tr w:rsidR="00EF23D0" w:rsidRPr="00F874C3" w:rsidTr="00E91A73">
        <w:trPr>
          <w:trHeight w:val="314"/>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300" w:firstLine="600"/>
              <w:rPr>
                <w:color w:val="000000"/>
                <w:sz w:val="20"/>
                <w:lang w:eastAsia="es-GT"/>
              </w:rPr>
            </w:pPr>
            <w:r w:rsidRPr="00F874C3">
              <w:rPr>
                <w:color w:val="000000"/>
                <w:sz w:val="20"/>
                <w:lang w:eastAsia="es-GT"/>
              </w:rPr>
              <w:t>Tabacos</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356.9</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352.3</w:t>
            </w:r>
          </w:p>
        </w:tc>
      </w:tr>
      <w:tr w:rsidR="00EF23D0" w:rsidRPr="00F874C3" w:rsidTr="00E91A73">
        <w:trPr>
          <w:trHeight w:val="326"/>
          <w:jc w:val="center"/>
        </w:trPr>
        <w:tc>
          <w:tcPr>
            <w:tcW w:w="4678" w:type="dxa"/>
            <w:tcBorders>
              <w:top w:val="nil"/>
              <w:left w:val="single" w:sz="8" w:space="0" w:color="auto"/>
              <w:bottom w:val="nil"/>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Distribución de cemento</w:t>
            </w:r>
          </w:p>
        </w:tc>
        <w:tc>
          <w:tcPr>
            <w:tcW w:w="182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124.6</w:t>
            </w:r>
          </w:p>
        </w:tc>
        <w:tc>
          <w:tcPr>
            <w:tcW w:w="1880" w:type="dxa"/>
            <w:tcBorders>
              <w:top w:val="nil"/>
              <w:left w:val="nil"/>
              <w:bottom w:val="nil"/>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133.3</w:t>
            </w:r>
          </w:p>
        </w:tc>
      </w:tr>
      <w:tr w:rsidR="00EF23D0" w:rsidRPr="00F874C3" w:rsidTr="00E91A73">
        <w:trPr>
          <w:trHeight w:val="326"/>
          <w:jc w:val="center"/>
        </w:trPr>
        <w:tc>
          <w:tcPr>
            <w:tcW w:w="4678" w:type="dxa"/>
            <w:tcBorders>
              <w:top w:val="nil"/>
              <w:left w:val="single" w:sz="8" w:space="0" w:color="auto"/>
              <w:bottom w:val="single" w:sz="8" w:space="0" w:color="auto"/>
              <w:right w:val="single" w:sz="8" w:space="0" w:color="auto"/>
            </w:tcBorders>
            <w:shd w:val="clear" w:color="auto" w:fill="auto"/>
            <w:noWrap/>
            <w:vAlign w:val="center"/>
            <w:hideMark/>
          </w:tcPr>
          <w:p w:rsidR="00EF23D0" w:rsidRPr="00F874C3" w:rsidRDefault="00EF23D0" w:rsidP="00EF23D0">
            <w:pPr>
              <w:ind w:firstLineChars="200" w:firstLine="400"/>
              <w:rPr>
                <w:color w:val="000000"/>
                <w:sz w:val="20"/>
                <w:lang w:eastAsia="es-GT"/>
              </w:rPr>
            </w:pPr>
            <w:r w:rsidRPr="00F874C3">
              <w:rPr>
                <w:color w:val="000000"/>
                <w:sz w:val="20"/>
                <w:lang w:eastAsia="es-GT"/>
              </w:rPr>
              <w:t>Otros indirectos</w:t>
            </w:r>
          </w:p>
        </w:tc>
        <w:tc>
          <w:tcPr>
            <w:tcW w:w="1820" w:type="dxa"/>
            <w:tcBorders>
              <w:top w:val="nil"/>
              <w:left w:val="nil"/>
              <w:bottom w:val="single" w:sz="8" w:space="0" w:color="auto"/>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198.5</w:t>
            </w:r>
          </w:p>
        </w:tc>
        <w:tc>
          <w:tcPr>
            <w:tcW w:w="1880" w:type="dxa"/>
            <w:tcBorders>
              <w:top w:val="nil"/>
              <w:left w:val="nil"/>
              <w:bottom w:val="single" w:sz="8" w:space="0" w:color="auto"/>
              <w:right w:val="single" w:sz="8" w:space="0" w:color="auto"/>
            </w:tcBorders>
            <w:shd w:val="clear" w:color="auto" w:fill="auto"/>
            <w:noWrap/>
            <w:vAlign w:val="center"/>
            <w:hideMark/>
          </w:tcPr>
          <w:p w:rsidR="00EF23D0" w:rsidRPr="00F874C3" w:rsidRDefault="00EF23D0" w:rsidP="00EF23D0">
            <w:pPr>
              <w:jc w:val="center"/>
              <w:rPr>
                <w:color w:val="000000"/>
                <w:sz w:val="20"/>
                <w:lang w:eastAsia="es-GT"/>
              </w:rPr>
            </w:pPr>
            <w:r w:rsidRPr="00F874C3">
              <w:rPr>
                <w:color w:val="000000"/>
                <w:sz w:val="20"/>
                <w:lang w:eastAsia="es-GT"/>
              </w:rPr>
              <w:t>7.1</w:t>
            </w:r>
          </w:p>
        </w:tc>
      </w:tr>
    </w:tbl>
    <w:p w:rsidR="00EF23D0" w:rsidRPr="003024D7" w:rsidRDefault="00EF23D0" w:rsidP="00EF23D0">
      <w:pPr>
        <w:jc w:val="both"/>
        <w:rPr>
          <w:sz w:val="18"/>
          <w:lang w:val="es-MX"/>
        </w:rPr>
      </w:pPr>
      <w:r>
        <w:rPr>
          <w:sz w:val="18"/>
          <w:lang w:val="es-MX"/>
        </w:rPr>
        <w:t xml:space="preserve">   </w:t>
      </w:r>
      <w:r w:rsidR="00E91A73">
        <w:rPr>
          <w:sz w:val="18"/>
          <w:lang w:val="es-MX"/>
        </w:rPr>
        <w:t xml:space="preserve">    </w:t>
      </w:r>
      <w:r w:rsidRPr="003024D7">
        <w:rPr>
          <w:sz w:val="18"/>
          <w:lang w:val="es-MX"/>
        </w:rPr>
        <w:t>Fuente: Ministerio de Finanzas Públicas</w:t>
      </w:r>
      <w:r>
        <w:rPr>
          <w:sz w:val="18"/>
          <w:lang w:val="es-MX"/>
        </w:rPr>
        <w:t>.</w:t>
      </w:r>
    </w:p>
    <w:p w:rsidR="00EF23D0" w:rsidRPr="003C1FEE" w:rsidRDefault="00EF23D0" w:rsidP="00EF23D0">
      <w:pPr>
        <w:autoSpaceDE w:val="0"/>
        <w:autoSpaceDN w:val="0"/>
        <w:adjustRightInd w:val="0"/>
        <w:jc w:val="both"/>
        <w:rPr>
          <w:lang w:val="es-MX"/>
        </w:rPr>
      </w:pPr>
    </w:p>
    <w:p w:rsidR="00EF23D0" w:rsidRPr="003C1FEE" w:rsidRDefault="00EF23D0" w:rsidP="00EF23D0">
      <w:pPr>
        <w:autoSpaceDE w:val="0"/>
        <w:autoSpaceDN w:val="0"/>
        <w:adjustRightInd w:val="0"/>
        <w:jc w:val="both"/>
        <w:rPr>
          <w:sz w:val="28"/>
        </w:rPr>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3" w:name="_Toc20495576"/>
      <w:r w:rsidRPr="00EF23D0">
        <w:rPr>
          <w:rFonts w:ascii="Times New Roman" w:hAnsi="Times New Roman"/>
          <w:color w:val="000000" w:themeColor="text1"/>
          <w:sz w:val="24"/>
          <w:szCs w:val="24"/>
        </w:rPr>
        <w:t>C.</w:t>
      </w:r>
      <w:r w:rsidRPr="00EF23D0">
        <w:rPr>
          <w:rFonts w:ascii="Times New Roman" w:hAnsi="Times New Roman"/>
          <w:color w:val="000000" w:themeColor="text1"/>
          <w:sz w:val="24"/>
          <w:szCs w:val="24"/>
        </w:rPr>
        <w:tab/>
        <w:t>Gasto Corriente y de Capital</w:t>
      </w:r>
      <w:bookmarkEnd w:id="23"/>
      <w:r w:rsidRPr="00EF23D0">
        <w:rPr>
          <w:rFonts w:ascii="Times New Roman" w:hAnsi="Times New Roman"/>
          <w:color w:val="000000" w:themeColor="text1"/>
          <w:sz w:val="24"/>
          <w:szCs w:val="24"/>
        </w:rPr>
        <w:t xml:space="preserve"> </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El presente ejercicio fiscal tiene como elemento importante a considerar</w:t>
      </w:r>
      <w:r w:rsidR="00B7461D">
        <w:t>,</w:t>
      </w:r>
      <w:r>
        <w:t xml:space="preserve"> la aprobación del Presupuesto General de Ingresos y Egresos del Estado para el Ejercicio Fiscal 2019, c</w:t>
      </w:r>
      <w:r w:rsidR="00B7461D">
        <w:t>uyo</w:t>
      </w:r>
      <w:r>
        <w:t xml:space="preserve"> monto aprobado asciende a Q</w:t>
      </w:r>
      <w:r w:rsidR="00B7461D">
        <w:t>.</w:t>
      </w:r>
      <w:r>
        <w:t xml:space="preserve">87,715.0 millones. De esa cuenta, la ejecución en los primeros meses del año se mostró bastante dinámica, contrario a lo acontecido en 2018, ya que, con la no aprobación del presupuesto, las entidades en los primeros meses </w:t>
      </w:r>
      <w:r w:rsidR="00B7461D">
        <w:t xml:space="preserve">del año anterior </w:t>
      </w:r>
      <w:r>
        <w:t>tuvieron que realizar ajustes presupuestarios, lo cual tuvo un efecto negativo en la ejecució</w:t>
      </w:r>
      <w:r w:rsidR="00B7461D">
        <w:t>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lastRenderedPageBreak/>
        <w:t>El primer mes del año</w:t>
      </w:r>
      <w:r w:rsidR="005F2010">
        <w:t xml:space="preserve"> 2019</w:t>
      </w:r>
      <w:r>
        <w:t xml:space="preserve">, inició con una fuerte aceleración en la ejecución, contrario al comportamiento histórico que se encuentra asociado a la apertura de presupuesto y el inicio de operaciones de las instituciones, lo que genera una ejecución que suele ser bastante moderada. Parte del comportamiento dinámico estuvo vinculado al aporte extraordinario al Tribunal Supremo Electoral </w:t>
      </w:r>
      <w:r w:rsidR="005F2010">
        <w:t xml:space="preserve">por ser un año electoral </w:t>
      </w:r>
      <w:r>
        <w:t>y los gastos del Ministerio de Educación.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año 2019 es el último de la actual administración pública, por lo que en el </w:t>
      </w:r>
      <w:r w:rsidR="005F2010">
        <w:t>p</w:t>
      </w:r>
      <w:r>
        <w:t>resupuesto se incluyó un aporte extraordinario por Q</w:t>
      </w:r>
      <w:r w:rsidR="005F2010">
        <w:t>.</w:t>
      </w:r>
      <w:r>
        <w:t xml:space="preserve">525.0 millones, para el financiamiento y la realización de las </w:t>
      </w:r>
      <w:r w:rsidR="005F2010">
        <w:t>e</w:t>
      </w:r>
      <w:r>
        <w:t xml:space="preserve">lecciones </w:t>
      </w:r>
      <w:r w:rsidR="005F2010">
        <w:t>g</w:t>
      </w:r>
      <w:r>
        <w:t>enerales</w:t>
      </w:r>
      <w:r w:rsidR="005F2010">
        <w:t>. D</w:t>
      </w:r>
      <w:r>
        <w:t>e dicho aporte, Q</w:t>
      </w:r>
      <w:r w:rsidR="005F2010">
        <w:t>.</w:t>
      </w:r>
      <w:r>
        <w:t>25.0 millones corresponden al financiamiento del voto en el extranjero. Los aportes fueron desembolsados en dos tramos en enero y febrero, mientras que en años anteriores de elecciones se había realizado entre los meses de febrero y marzo.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El gasto asociado a las trasferencias corrientes report</w:t>
      </w:r>
      <w:r w:rsidR="000C40AC">
        <w:t>ó</w:t>
      </w:r>
      <w:r>
        <w:t xml:space="preserve"> un crecimiento de 22.4% a junio</w:t>
      </w:r>
      <w:r w:rsidR="000C40AC">
        <w:t xml:space="preserve"> de 2019,</w:t>
      </w:r>
      <w:r>
        <w:t xml:space="preserve"> respecto </w:t>
      </w:r>
      <w:r w:rsidR="000C40AC">
        <w:t>de</w:t>
      </w:r>
      <w:r>
        <w:t xml:space="preserve"> lo reportado a la misma fecha del año anterior. Adicional al aporte extraordinario para la realización de</w:t>
      </w:r>
      <w:r w:rsidR="000C40AC">
        <w:t>l proceso eleccionario</w:t>
      </w:r>
      <w:r>
        <w:t>, destaca el resto de aportes a entidades descentralizadas y autónomas que muestran un aumento con respecto a lo pagado en 2018</w:t>
      </w:r>
      <w:r w:rsidR="000C40AC">
        <w:t>,</w:t>
      </w:r>
      <w:r>
        <w:t xml:space="preserve"> derivado de la mayor asignación otorgada para 2019. Además, se observa un aumento importante en las transferencias al sector privado con un crecimiento de 59.5%, asociadas a los aportes a entidades de educación dirigidas a las juntas escolares o asociaciones de padres de familia para la alimentación escolar, mater</w:t>
      </w:r>
      <w:r w:rsidR="000C40AC">
        <w:t>iales educativos, entre otros.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2018, el </w:t>
      </w:r>
      <w:r w:rsidR="000C40AC">
        <w:t>P</w:t>
      </w:r>
      <w:r>
        <w:t xml:space="preserve">residente </w:t>
      </w:r>
      <w:r w:rsidR="000C40AC">
        <w:t>de la República</w:t>
      </w:r>
      <w:r>
        <w:t>, firm</w:t>
      </w:r>
      <w:r w:rsidR="000C40AC">
        <w:t>ó</w:t>
      </w:r>
      <w:r>
        <w:t xml:space="preserve"> una propuesta de pacto colectivo del Ministerio de Educación con el Sindicato de Trabajadores de la Educación de Guatemala (STEG) que consta de diferentes beneficios, </w:t>
      </w:r>
      <w:r w:rsidR="000C40AC">
        <w:t xml:space="preserve">como por ejemplo </w:t>
      </w:r>
      <w:r>
        <w:t>el incremento salarial del 5</w:t>
      </w:r>
      <w:r w:rsidR="000C40AC">
        <w:t>.0</w:t>
      </w:r>
      <w:r>
        <w:t>% para el 2018, el cual sería progresivo hasta llegar al 15</w:t>
      </w:r>
      <w:r w:rsidR="000C40AC">
        <w:t>.0</w:t>
      </w:r>
      <w:r>
        <w:t>% en el 2020. No obstante, el pacto colectivo fue modificado y está previsto que en el 2019 el aumento salarial a los maestros sea del 10</w:t>
      </w:r>
      <w:r w:rsidR="000C40AC">
        <w:t>.0</w:t>
      </w:r>
      <w:r>
        <w:t>%, dado que no recibieron el 5</w:t>
      </w:r>
      <w:r w:rsidR="000C40AC">
        <w:t>.0</w:t>
      </w:r>
      <w:r>
        <w:t>% de incremento que correspondía al 2018. Adicionalmente, se fijó en Q</w:t>
      </w:r>
      <w:r w:rsidR="000C40AC">
        <w:t>.</w:t>
      </w:r>
      <w:r>
        <w:t xml:space="preserve">600 el bono por capacitación para los </w:t>
      </w:r>
      <w:r w:rsidR="000C40AC">
        <w:t xml:space="preserve">maestros </w:t>
      </w:r>
      <w:r>
        <w:t>que participan en el Programa Académico de Desarrollo Profesional Docente (P</w:t>
      </w:r>
      <w:r w:rsidR="000C40AC">
        <w:t>ADEP</w:t>
      </w:r>
      <w:r>
        <w:t>) y un bono anual de Q</w:t>
      </w:r>
      <w:r w:rsidR="000C40AC">
        <w:t>.</w:t>
      </w:r>
      <w:r>
        <w:t>2,500.</w:t>
      </w:r>
      <w:r w:rsidR="000C40AC">
        <w:t>00.</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Por lo cual, durante el primer semestre del año</w:t>
      </w:r>
      <w:r w:rsidR="00571731">
        <w:t xml:space="preserve"> 2019</w:t>
      </w:r>
      <w:r>
        <w:t>, el rubro que mostró un aumento significativo en la ejecución fue</w:t>
      </w:r>
      <w:r w:rsidR="00571731">
        <w:t xml:space="preserve"> el de</w:t>
      </w:r>
      <w:r>
        <w:t xml:space="preserve"> remuneraciones</w:t>
      </w:r>
      <w:r w:rsidR="00067EA3">
        <w:t>,</w:t>
      </w:r>
      <w:r>
        <w:t xml:space="preserve"> que en general creci</w:t>
      </w:r>
      <w:r w:rsidR="00571731">
        <w:t>ó</w:t>
      </w:r>
      <w:r>
        <w:t xml:space="preserve"> 9.1% y tomando en consideración únicamente al Ministerio de Educación, el incremento fue de 11.8%. Para hacer frente al financiamiento del </w:t>
      </w:r>
      <w:r w:rsidR="00067EA3">
        <w:t>mencionado p</w:t>
      </w:r>
      <w:r>
        <w:t xml:space="preserve">acto </w:t>
      </w:r>
      <w:r w:rsidR="00067EA3">
        <w:t>c</w:t>
      </w:r>
      <w:r>
        <w:t>olectivo se requieren alrededor de Q</w:t>
      </w:r>
      <w:r w:rsidR="00067EA3">
        <w:t>.</w:t>
      </w:r>
      <w:r>
        <w:t>1,600 millones.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Además, se observa un aumento de 59.5% en las transferencias al sector privado asociadas a los aportes a entidades de educación</w:t>
      </w:r>
      <w:r w:rsidR="004A04A0">
        <w:t>,</w:t>
      </w:r>
      <w:r>
        <w:t xml:space="preserve"> dirigidas</w:t>
      </w:r>
      <w:r w:rsidR="004A04A0">
        <w:t xml:space="preserve"> básicamente</w:t>
      </w:r>
      <w:r>
        <w:t xml:space="preserve"> a las juntas escolares </w:t>
      </w:r>
      <w:r w:rsidR="004A04A0">
        <w:t>y</w:t>
      </w:r>
      <w:r>
        <w:t xml:space="preserve"> asociaciones de padres de familia para</w:t>
      </w:r>
      <w:r w:rsidR="004A04A0">
        <w:t xml:space="preserve"> sufragar</w:t>
      </w:r>
      <w:r>
        <w:t xml:space="preserve"> la alimentación escolar, materiales educativos, entre otros. A partir de 2019, la inversión diaria para alimentación escolar por estudiante asciende a Q</w:t>
      </w:r>
      <w:r w:rsidR="004A04A0">
        <w:t>.</w:t>
      </w:r>
      <w:r>
        <w:t>4.0, lo que representa un aumento de Q</w:t>
      </w:r>
      <w:r w:rsidR="004A04A0">
        <w:t>.</w:t>
      </w:r>
      <w:r>
        <w:t xml:space="preserve">1.0 respecto </w:t>
      </w:r>
      <w:r w:rsidR="004A04A0">
        <w:t>de</w:t>
      </w:r>
      <w:r>
        <w:t xml:space="preserve"> 2018.</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el Ministerio de Salud Pública y Asistencia Social se </w:t>
      </w:r>
      <w:r w:rsidR="00D544D2">
        <w:t>tiene autorizado un bono de antigüedad</w:t>
      </w:r>
      <w:r>
        <w:t xml:space="preserve">, </w:t>
      </w:r>
      <w:r w:rsidR="00D544D2">
        <w:t>por el cual</w:t>
      </w:r>
      <w:r>
        <w:t xml:space="preserve"> anualmente se ajustan los salarios conforme a la antigüedad del trabajador. Por su parte, los bienes y servicios muestran un aumento importante siendo de </w:t>
      </w:r>
      <w:r>
        <w:lastRenderedPageBreak/>
        <w:t>26.4%</w:t>
      </w:r>
      <w:r w:rsidR="00D544D2">
        <w:t xml:space="preserve"> con respecto al 2018</w:t>
      </w:r>
      <w:r>
        <w:t xml:space="preserve">, destinando dichos recursos </w:t>
      </w:r>
      <w:r w:rsidR="00D544D2">
        <w:t>par</w:t>
      </w:r>
      <w:r>
        <w:t>a la compra de medicamentos y materiales para la salud.</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Los otros rubros de gasto que mostraron aumentos en la ejecución interanual son las transferencias de capital debido a la mayor asignación de los aportes a las </w:t>
      </w:r>
      <w:r w:rsidR="002A57FD">
        <w:t>M</w:t>
      </w:r>
      <w:r>
        <w:t>unicipalidades</w:t>
      </w:r>
      <w:r w:rsidR="002A57FD">
        <w:t xml:space="preserve"> del país</w:t>
      </w:r>
      <w:r>
        <w:t xml:space="preserve">, y las prestaciones a la seguridad social. Es importante considerar que a partir del 2018 por medio del Decreto </w:t>
      </w:r>
      <w:r w:rsidR="002A57FD">
        <w:t xml:space="preserve">No. </w:t>
      </w:r>
      <w:r>
        <w:t>13-2018</w:t>
      </w:r>
      <w:r w:rsidR="002A57FD">
        <w:t>,</w:t>
      </w:r>
      <w:r>
        <w:t xml:space="preserve"> Reformas a la Ley de Incremento Económico a las Pensiones </w:t>
      </w:r>
      <w:r w:rsidR="002A57FD">
        <w:t>O</w:t>
      </w:r>
      <w:r>
        <w:t>torgadas por el Régimen de Clases Pasivas Civiles del Estado</w:t>
      </w:r>
      <w:r w:rsidR="002A57FD">
        <w:t>, s</w:t>
      </w:r>
      <w:r>
        <w:t>e otorgó una mejora económica de Q</w:t>
      </w:r>
      <w:r w:rsidR="002A57FD">
        <w:t>.</w:t>
      </w:r>
      <w:r>
        <w:t>500.00 mensuales a los pensionados y/o beneficiarios de las pensiones, cuyo monto no sea mayor al salario mínimo vigente del año 2016.</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La ejecución también se ha mostrado alta en otros rubros del gasto que tienen efecto en la inversión pública y el gasto social, por lo que </w:t>
      </w:r>
      <w:r w:rsidR="00FC5F74">
        <w:t xml:space="preserve">la </w:t>
      </w:r>
      <w:r>
        <w:t>expansión de</w:t>
      </w:r>
      <w:r w:rsidR="00FC5F74">
        <w:t>l</w:t>
      </w:r>
      <w:r>
        <w:t xml:space="preserve"> gasto observado en lo que va del año </w:t>
      </w:r>
      <w:r w:rsidR="00FC5F74">
        <w:t xml:space="preserve">2019, </w:t>
      </w:r>
      <w:r>
        <w:t>es consecuente con el apoyo al crecimiento económico y con el desarrollo social.</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La inversión real directa tuvo un aumento interanual importante</w:t>
      </w:r>
      <w:r w:rsidR="00FC5F74">
        <w:t>, ya que pasó</w:t>
      </w:r>
      <w:r>
        <w:t xml:space="preserve"> de Q</w:t>
      </w:r>
      <w:r w:rsidR="00FC5F74">
        <w:t>.</w:t>
      </w:r>
      <w:r>
        <w:t>984.9 millones en junio de 2018 a Q</w:t>
      </w:r>
      <w:r w:rsidR="00FC5F74">
        <w:t>.</w:t>
      </w:r>
      <w:r>
        <w:t>1,068.4 millones en junio de 2019</w:t>
      </w:r>
      <w:r w:rsidR="00FC5F74">
        <w:t>,</w:t>
      </w:r>
      <w:r>
        <w:t xml:space="preserve"> </w:t>
      </w:r>
      <w:r w:rsidR="00FC5F74">
        <w:t>l</w:t>
      </w:r>
      <w:r>
        <w:t xml:space="preserve">o que muestra el empuje que se le está dando a la inversión que realiza principalmente el Ministerio de Comunicaciones, Infraestructura y Vivienda en el desarrollo </w:t>
      </w:r>
      <w:r w:rsidR="00FC5F74">
        <w:t xml:space="preserve">y mantenimiento </w:t>
      </w:r>
      <w:r>
        <w:t>de la infraestructura vial, reflejada en la culminación de proyectos de infraestructura importantes</w:t>
      </w:r>
      <w:r w:rsidR="00FC5F74">
        <w:t>,</w:t>
      </w:r>
      <w:r>
        <w:t xml:space="preserve"> como lo es la finalización de la construcción de la carretera del libramiento de Chimaltenango. De esa cuenta, e</w:t>
      </w:r>
      <w:r w:rsidR="00FC5F74">
        <w:t>ste</w:t>
      </w:r>
      <w:r>
        <w:t xml:space="preserve"> Ministerio es la entidad que reporta el mayor avance respecto </w:t>
      </w:r>
      <w:r w:rsidR="00FC5F74">
        <w:t>de</w:t>
      </w:r>
      <w:r>
        <w:t xml:space="preserve"> 2018, siendo de 62.3%.</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 xml:space="preserve">Respecto </w:t>
      </w:r>
      <w:r w:rsidR="00FC5F74">
        <w:t>de</w:t>
      </w:r>
      <w:r>
        <w:t xml:space="preserve"> las transferencias de capital, resalta el bajo nivel de ejecución del aporte a los Consejos </w:t>
      </w:r>
      <w:r w:rsidR="00FC5F74">
        <w:t xml:space="preserve">Departamentales </w:t>
      </w:r>
      <w:r>
        <w:t xml:space="preserve">de Desarrollo, </w:t>
      </w:r>
      <w:r w:rsidR="00FC5F74">
        <w:t xml:space="preserve">ya que </w:t>
      </w:r>
      <w:r>
        <w:t>a junio</w:t>
      </w:r>
      <w:r w:rsidR="00FC5F74">
        <w:t xml:space="preserve"> de 2019</w:t>
      </w:r>
      <w:r>
        <w:t xml:space="preserve"> </w:t>
      </w:r>
      <w:r w:rsidR="00FC5F74">
        <w:t xml:space="preserve">se </w:t>
      </w:r>
      <w:r>
        <w:t>reporta una ejecución de Q</w:t>
      </w:r>
      <w:r w:rsidR="00FC5F74">
        <w:t>.</w:t>
      </w:r>
      <w:r>
        <w:t>373.8 millones, con un grado de ejecución de 14.2%. A pesar que este nivel de ejecución es superior al observado en igual fecha de los dos años anteriores, a</w:t>
      </w:r>
      <w:r w:rsidR="00B7519D">
        <w:t>ú</w:t>
      </w:r>
      <w:r>
        <w:t>n se considera bastante modesto.</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El dinamismo mostrado en el comportamiento de la ejecución durante el primer semestre</w:t>
      </w:r>
      <w:r w:rsidR="00B7519D">
        <w:t xml:space="preserve"> de 2019</w:t>
      </w:r>
      <w:r>
        <w:t xml:space="preserve">, se prevé que se desacelere en los próximos meses, aunque el ritmo de crecimiento siempre estará por encima de lo experimentado en 2018, esperando que el crecimiento </w:t>
      </w:r>
      <w:r w:rsidR="00B7519D">
        <w:t>interanual sea cercano al 8.0%.</w:t>
      </w:r>
    </w:p>
    <w:p w:rsidR="00EF23D0" w:rsidRPr="003C1FEE" w:rsidRDefault="00EF23D0" w:rsidP="00EF23D0">
      <w:pPr>
        <w:autoSpaceDE w:val="0"/>
        <w:autoSpaceDN w:val="0"/>
        <w:adjustRightInd w:val="0"/>
        <w:jc w:val="both"/>
        <w:rPr>
          <w:sz w:val="32"/>
        </w:rPr>
      </w:pPr>
    </w:p>
    <w:p w:rsidR="00EF23D0" w:rsidRDefault="00EF23D0" w:rsidP="00EF23D0">
      <w:pPr>
        <w:autoSpaceDE w:val="0"/>
        <w:autoSpaceDN w:val="0"/>
        <w:adjustRightInd w:val="0"/>
        <w:jc w:val="both"/>
      </w:pPr>
      <w:r>
        <w:t>Al 30 de junio</w:t>
      </w:r>
      <w:r w:rsidR="00B7519D">
        <w:t xml:space="preserve"> de 2019</w:t>
      </w:r>
      <w:r>
        <w:t xml:space="preserve">, la ejecución </w:t>
      </w:r>
      <w:r w:rsidR="00B7519D">
        <w:t xml:space="preserve">del gasto </w:t>
      </w:r>
      <w:r>
        <w:t>se situó en Q</w:t>
      </w:r>
      <w:r w:rsidR="00B7519D">
        <w:t>.</w:t>
      </w:r>
      <w:r>
        <w:t>36,441.2 millones (sin incluir las amortizaciones de deuda pública), mostrando un crecimiento interanual del 16.5% con respecto al mismo período de 2018. De esa cuenta, la estimación de cierre para el año 2019 se ubica en Q</w:t>
      </w:r>
      <w:r w:rsidR="00B7519D">
        <w:t>.</w:t>
      </w:r>
      <w:r>
        <w:t>78,516.9 millones con nivel de ejecución del 93.2%, por debajo en Q</w:t>
      </w:r>
      <w:r w:rsidR="00B7519D">
        <w:t>.</w:t>
      </w:r>
      <w:r>
        <w:t xml:space="preserve">5,763.3 millones respecto </w:t>
      </w:r>
      <w:r w:rsidR="00B7519D">
        <w:t>de</w:t>
      </w:r>
      <w:r>
        <w:t xml:space="preserve"> lo establecido en el presupuesto vigente a junio</w:t>
      </w:r>
      <w:r w:rsidR="00B7519D">
        <w:t xml:space="preserve"> de 2018</w:t>
      </w:r>
      <w:r>
        <w:t>.</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DA37F9" w:rsidRPr="00EF23D0" w:rsidRDefault="00DA37F9" w:rsidP="00DA37F9">
      <w:pPr>
        <w:jc w:val="center"/>
        <w:rPr>
          <w:b/>
          <w:sz w:val="22"/>
          <w:lang w:val="es-MX"/>
        </w:rPr>
      </w:pPr>
      <w:r w:rsidRPr="00EF23D0">
        <w:rPr>
          <w:b/>
          <w:sz w:val="22"/>
          <w:lang w:val="es-MX"/>
        </w:rPr>
        <w:lastRenderedPageBreak/>
        <w:t xml:space="preserve">Cuadro </w:t>
      </w:r>
      <w:r w:rsidR="00491C02">
        <w:rPr>
          <w:b/>
          <w:sz w:val="22"/>
          <w:lang w:val="es-MX"/>
        </w:rPr>
        <w:t>1</w:t>
      </w:r>
      <w:r w:rsidR="00E94EA5">
        <w:rPr>
          <w:b/>
          <w:sz w:val="22"/>
          <w:lang w:val="es-MX"/>
        </w:rPr>
        <w:t>5</w:t>
      </w:r>
    </w:p>
    <w:p w:rsidR="00DA37F9" w:rsidRPr="00EF23D0" w:rsidRDefault="00DA37F9" w:rsidP="00DA37F9">
      <w:pPr>
        <w:jc w:val="center"/>
        <w:rPr>
          <w:b/>
          <w:sz w:val="22"/>
          <w:lang w:val="es-MX"/>
        </w:rPr>
      </w:pPr>
      <w:r w:rsidRPr="00EF23D0">
        <w:rPr>
          <w:b/>
          <w:sz w:val="22"/>
          <w:lang w:val="es-MX"/>
        </w:rPr>
        <w:t xml:space="preserve">Presupuesto Asignado y Estimación de </w:t>
      </w:r>
      <w:r>
        <w:rPr>
          <w:b/>
          <w:sz w:val="22"/>
          <w:lang w:val="es-MX"/>
        </w:rPr>
        <w:t>Egresos</w:t>
      </w:r>
    </w:p>
    <w:p w:rsidR="00DA37F9" w:rsidRPr="00EF23D0" w:rsidRDefault="00DA37F9" w:rsidP="00DA37F9">
      <w:pPr>
        <w:jc w:val="center"/>
        <w:rPr>
          <w:b/>
          <w:sz w:val="22"/>
          <w:lang w:val="es-MX"/>
        </w:rPr>
      </w:pPr>
      <w:r w:rsidRPr="00EF23D0">
        <w:rPr>
          <w:b/>
          <w:sz w:val="22"/>
          <w:lang w:val="es-MX"/>
        </w:rPr>
        <w:t>Ejercicio Fiscal 201</w:t>
      </w:r>
      <w:r>
        <w:rPr>
          <w:b/>
          <w:sz w:val="22"/>
          <w:lang w:val="es-MX"/>
        </w:rPr>
        <w:t>9</w:t>
      </w:r>
    </w:p>
    <w:p w:rsidR="00DA37F9" w:rsidRDefault="00DA37F9" w:rsidP="00DA37F9">
      <w:pPr>
        <w:pStyle w:val="Prrafodelista"/>
        <w:jc w:val="center"/>
        <w:rPr>
          <w:rFonts w:ascii="Calibri" w:eastAsia="Calibri" w:hAnsi="Calibri"/>
          <w:sz w:val="20"/>
          <w:szCs w:val="20"/>
          <w:lang w:val="es-MX" w:eastAsia="es-MX"/>
        </w:rPr>
      </w:pPr>
      <w:r w:rsidRPr="00EF23D0">
        <w:rPr>
          <w:b/>
          <w:sz w:val="22"/>
          <w:lang w:val="es-MX"/>
        </w:rPr>
        <w:t>(Cifras en Millones de Quetzales)</w:t>
      </w:r>
      <w:r>
        <w:fldChar w:fldCharType="begin"/>
      </w:r>
      <w:r>
        <w:instrText xml:space="preserve"> LINK Excel.Sheet.12 "C:\\Users\\jmenendez\\AppData\\Local\\Microsoft\\Windows\\Temporary Internet Files\\Content.Outlook\\8PE9VIZI\\Informe Semestral.xlsx" "Gto Cta económica!F6C2:F26C4" \a \f 4 \h </w:instrText>
      </w:r>
      <w:r w:rsidR="00B7519D">
        <w:instrText xml:space="preserve"> \* MERGEFORMAT </w:instrText>
      </w:r>
      <w:r>
        <w:fldChar w:fldCharType="separate"/>
      </w:r>
    </w:p>
    <w:tbl>
      <w:tblPr>
        <w:tblW w:w="8789" w:type="dxa"/>
        <w:jc w:val="center"/>
        <w:tblInd w:w="70" w:type="dxa"/>
        <w:tblCellMar>
          <w:left w:w="70" w:type="dxa"/>
          <w:right w:w="70" w:type="dxa"/>
        </w:tblCellMar>
        <w:tblLook w:val="04A0" w:firstRow="1" w:lastRow="0" w:firstColumn="1" w:lastColumn="0" w:noHBand="0" w:noVBand="1"/>
      </w:tblPr>
      <w:tblGrid>
        <w:gridCol w:w="4820"/>
        <w:gridCol w:w="1984"/>
        <w:gridCol w:w="1985"/>
      </w:tblGrid>
      <w:tr w:rsidR="00DA37F9" w:rsidRPr="00DA37F9" w:rsidTr="00B7519D">
        <w:trPr>
          <w:trHeight w:val="330"/>
          <w:jc w:val="center"/>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2F75B5"/>
            <w:vAlign w:val="center"/>
            <w:hideMark/>
          </w:tcPr>
          <w:p w:rsidR="00DA37F9" w:rsidRPr="00DA37F9" w:rsidRDefault="00DA37F9" w:rsidP="00DA37F9">
            <w:pPr>
              <w:jc w:val="center"/>
              <w:rPr>
                <w:b/>
                <w:bCs/>
                <w:color w:val="FFFFFF"/>
                <w:lang w:val="es-GT" w:eastAsia="es-GT"/>
              </w:rPr>
            </w:pPr>
            <w:r w:rsidRPr="00DA37F9">
              <w:rPr>
                <w:b/>
                <w:bCs/>
                <w:color w:val="FFFFFF"/>
                <w:lang w:val="es-GT" w:eastAsia="es-GT"/>
              </w:rPr>
              <w:t>Descripción</w:t>
            </w:r>
          </w:p>
        </w:tc>
        <w:tc>
          <w:tcPr>
            <w:tcW w:w="3969" w:type="dxa"/>
            <w:gridSpan w:val="2"/>
            <w:tcBorders>
              <w:top w:val="single" w:sz="8" w:space="0" w:color="auto"/>
              <w:left w:val="nil"/>
              <w:bottom w:val="single" w:sz="8" w:space="0" w:color="auto"/>
              <w:right w:val="single" w:sz="8" w:space="0" w:color="000000"/>
            </w:tcBorders>
            <w:shd w:val="clear" w:color="000000" w:fill="2F75B5"/>
            <w:noWrap/>
            <w:vAlign w:val="bottom"/>
            <w:hideMark/>
          </w:tcPr>
          <w:p w:rsidR="00DA37F9" w:rsidRPr="00DA37F9" w:rsidRDefault="00DA37F9" w:rsidP="00DA37F9">
            <w:pPr>
              <w:jc w:val="center"/>
              <w:rPr>
                <w:b/>
                <w:bCs/>
                <w:color w:val="FFFFFF"/>
                <w:lang w:val="es-GT" w:eastAsia="es-GT"/>
              </w:rPr>
            </w:pPr>
            <w:r w:rsidRPr="00DA37F9">
              <w:rPr>
                <w:b/>
                <w:bCs/>
                <w:color w:val="FFFFFF"/>
                <w:lang w:val="es-GT" w:eastAsia="es-GT"/>
              </w:rPr>
              <w:t>2019</w:t>
            </w:r>
          </w:p>
        </w:tc>
      </w:tr>
      <w:tr w:rsidR="00DA37F9" w:rsidRPr="00DA37F9" w:rsidTr="00B7519D">
        <w:trPr>
          <w:trHeight w:val="330"/>
          <w:jc w:val="center"/>
        </w:trPr>
        <w:tc>
          <w:tcPr>
            <w:tcW w:w="4820" w:type="dxa"/>
            <w:vMerge/>
            <w:tcBorders>
              <w:top w:val="single" w:sz="8" w:space="0" w:color="auto"/>
              <w:left w:val="single" w:sz="8" w:space="0" w:color="auto"/>
              <w:bottom w:val="single" w:sz="8" w:space="0" w:color="000000"/>
              <w:right w:val="single" w:sz="8" w:space="0" w:color="auto"/>
            </w:tcBorders>
            <w:vAlign w:val="center"/>
            <w:hideMark/>
          </w:tcPr>
          <w:p w:rsidR="00DA37F9" w:rsidRPr="00DA37F9" w:rsidRDefault="00DA37F9" w:rsidP="00DA37F9">
            <w:pPr>
              <w:rPr>
                <w:b/>
                <w:bCs/>
                <w:color w:val="FFFFFF"/>
                <w:lang w:val="es-GT" w:eastAsia="es-GT"/>
              </w:rPr>
            </w:pPr>
          </w:p>
        </w:tc>
        <w:tc>
          <w:tcPr>
            <w:tcW w:w="1984" w:type="dxa"/>
            <w:tcBorders>
              <w:top w:val="nil"/>
              <w:left w:val="nil"/>
              <w:bottom w:val="single" w:sz="8" w:space="0" w:color="auto"/>
              <w:right w:val="single" w:sz="8" w:space="0" w:color="auto"/>
            </w:tcBorders>
            <w:shd w:val="clear" w:color="000000" w:fill="2F75B5"/>
            <w:noWrap/>
            <w:vAlign w:val="bottom"/>
            <w:hideMark/>
          </w:tcPr>
          <w:p w:rsidR="00DA37F9" w:rsidRPr="00DA37F9" w:rsidRDefault="00B7519D" w:rsidP="00DA37F9">
            <w:pPr>
              <w:jc w:val="center"/>
              <w:rPr>
                <w:b/>
                <w:bCs/>
                <w:color w:val="FFFFFF"/>
                <w:lang w:val="es-GT" w:eastAsia="es-GT"/>
              </w:rPr>
            </w:pPr>
            <w:r>
              <w:rPr>
                <w:b/>
                <w:bCs/>
                <w:color w:val="FFFFFF"/>
                <w:lang w:val="es-GT" w:eastAsia="es-GT"/>
              </w:rPr>
              <w:t>Presupuesto</w:t>
            </w:r>
          </w:p>
        </w:tc>
        <w:tc>
          <w:tcPr>
            <w:tcW w:w="1985" w:type="dxa"/>
            <w:tcBorders>
              <w:top w:val="nil"/>
              <w:left w:val="nil"/>
              <w:bottom w:val="single" w:sz="8" w:space="0" w:color="auto"/>
              <w:right w:val="single" w:sz="8" w:space="0" w:color="auto"/>
            </w:tcBorders>
            <w:shd w:val="clear" w:color="000000" w:fill="2F75B5"/>
            <w:noWrap/>
            <w:vAlign w:val="bottom"/>
            <w:hideMark/>
          </w:tcPr>
          <w:p w:rsidR="00DA37F9" w:rsidRPr="00DA37F9" w:rsidRDefault="00DA37F9" w:rsidP="00DA37F9">
            <w:pPr>
              <w:jc w:val="center"/>
              <w:rPr>
                <w:b/>
                <w:bCs/>
                <w:color w:val="FFFFFF"/>
                <w:lang w:val="es-GT" w:eastAsia="es-GT"/>
              </w:rPr>
            </w:pPr>
            <w:r w:rsidRPr="00DA37F9">
              <w:rPr>
                <w:b/>
                <w:bCs/>
                <w:color w:val="FFFFFF"/>
                <w:lang w:val="es-GT" w:eastAsia="es-GT"/>
              </w:rPr>
              <w:t xml:space="preserve">Estimación </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rPr>
                <w:rFonts w:ascii="CG Times" w:hAnsi="CG Times"/>
                <w:b/>
                <w:bCs/>
                <w:sz w:val="20"/>
                <w:szCs w:val="20"/>
                <w:lang w:val="es-GT" w:eastAsia="es-GT"/>
              </w:rPr>
            </w:pPr>
            <w:r w:rsidRPr="00DA37F9">
              <w:rPr>
                <w:rFonts w:ascii="CG Times" w:hAnsi="CG Times"/>
                <w:b/>
                <w:bCs/>
                <w:sz w:val="20"/>
                <w:szCs w:val="20"/>
                <w:lang w:val="es-GT" w:eastAsia="es-GT"/>
              </w:rPr>
              <w:t>Gasto Total</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b/>
                <w:bCs/>
                <w:sz w:val="20"/>
                <w:szCs w:val="20"/>
                <w:lang w:val="es-GT" w:eastAsia="es-GT"/>
              </w:rPr>
            </w:pPr>
            <w:r w:rsidRPr="00DA37F9">
              <w:rPr>
                <w:rFonts w:ascii="CG Times" w:hAnsi="CG Times"/>
                <w:b/>
                <w:bCs/>
                <w:sz w:val="20"/>
                <w:szCs w:val="20"/>
                <w:lang w:val="es-GT" w:eastAsia="es-GT"/>
              </w:rPr>
              <w:t>84,280.2</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b/>
                <w:bCs/>
                <w:sz w:val="20"/>
                <w:szCs w:val="20"/>
                <w:lang w:val="es-GT" w:eastAsia="es-GT"/>
              </w:rPr>
            </w:pPr>
            <w:r w:rsidRPr="00DA37F9">
              <w:rPr>
                <w:b/>
                <w:bCs/>
                <w:sz w:val="20"/>
                <w:szCs w:val="20"/>
                <w:lang w:val="es-GT" w:eastAsia="es-GT"/>
              </w:rPr>
              <w:t>78,516.9</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100" w:firstLine="201"/>
              <w:rPr>
                <w:rFonts w:ascii="CG Times" w:hAnsi="CG Times"/>
                <w:b/>
                <w:bCs/>
                <w:sz w:val="20"/>
                <w:szCs w:val="20"/>
                <w:lang w:val="es-GT" w:eastAsia="es-GT"/>
              </w:rPr>
            </w:pPr>
            <w:r w:rsidRPr="00DA37F9">
              <w:rPr>
                <w:rFonts w:ascii="CG Times" w:hAnsi="CG Times"/>
                <w:b/>
                <w:bCs/>
                <w:sz w:val="20"/>
                <w:szCs w:val="20"/>
                <w:lang w:val="es-GT" w:eastAsia="es-GT"/>
              </w:rPr>
              <w:t>Gastos Corrientes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b/>
                <w:bCs/>
                <w:sz w:val="20"/>
                <w:szCs w:val="20"/>
                <w:lang w:val="es-GT" w:eastAsia="es-GT"/>
              </w:rPr>
            </w:pPr>
            <w:r w:rsidRPr="00DA37F9">
              <w:rPr>
                <w:rFonts w:ascii="CG Times" w:hAnsi="CG Times"/>
                <w:b/>
                <w:bCs/>
                <w:sz w:val="20"/>
                <w:szCs w:val="20"/>
                <w:lang w:val="es-GT" w:eastAsia="es-GT"/>
              </w:rPr>
              <w:t>67,123.7</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b/>
                <w:bCs/>
                <w:sz w:val="20"/>
                <w:szCs w:val="20"/>
                <w:lang w:val="es-GT" w:eastAsia="es-GT"/>
              </w:rPr>
            </w:pPr>
            <w:r w:rsidRPr="00DA37F9">
              <w:rPr>
                <w:b/>
                <w:bCs/>
                <w:sz w:val="20"/>
                <w:szCs w:val="20"/>
                <w:lang w:val="es-GT" w:eastAsia="es-GT"/>
              </w:rPr>
              <w:t>62,736.8</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Remuneraciones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26,184.4</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24,959.6</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 xml:space="preserve">Bienes y Servicios </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12,133.1</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9,343.5</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ind w:firstLineChars="200" w:firstLine="400"/>
              <w:rPr>
                <w:rFonts w:ascii="CG Times" w:hAnsi="CG Times"/>
                <w:sz w:val="20"/>
                <w:szCs w:val="20"/>
                <w:lang w:val="es-GT" w:eastAsia="es-GT"/>
              </w:rPr>
            </w:pPr>
            <w:r w:rsidRPr="00DA37F9">
              <w:rPr>
                <w:rFonts w:ascii="CG Times" w:hAnsi="CG Times"/>
                <w:sz w:val="20"/>
                <w:szCs w:val="20"/>
                <w:lang w:val="es-GT" w:eastAsia="es-GT"/>
              </w:rPr>
              <w:t xml:space="preserve">Impuestos </w:t>
            </w:r>
            <w:r w:rsidR="00B7519D">
              <w:rPr>
                <w:rFonts w:ascii="CG Times" w:hAnsi="CG Times"/>
                <w:sz w:val="20"/>
                <w:szCs w:val="20"/>
                <w:lang w:val="es-GT" w:eastAsia="es-GT"/>
              </w:rPr>
              <w:t>P</w:t>
            </w:r>
            <w:r w:rsidRPr="00DA37F9">
              <w:rPr>
                <w:rFonts w:ascii="CG Times" w:hAnsi="CG Times"/>
                <w:sz w:val="20"/>
                <w:szCs w:val="20"/>
                <w:lang w:val="es-GT" w:eastAsia="es-GT"/>
              </w:rPr>
              <w:t xml:space="preserve">agados por </w:t>
            </w:r>
            <w:r w:rsidR="00B7519D">
              <w:rPr>
                <w:rFonts w:ascii="CG Times" w:hAnsi="CG Times"/>
                <w:sz w:val="20"/>
                <w:szCs w:val="20"/>
                <w:lang w:val="es-GT" w:eastAsia="es-GT"/>
              </w:rPr>
              <w:t>D</w:t>
            </w:r>
            <w:r w:rsidRPr="00DA37F9">
              <w:rPr>
                <w:rFonts w:ascii="CG Times" w:hAnsi="CG Times"/>
                <w:sz w:val="20"/>
                <w:szCs w:val="20"/>
                <w:lang w:val="es-GT" w:eastAsia="es-GT"/>
              </w:rPr>
              <w:t>ependencias del Estado</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18.0</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8.5</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Descuentos y Bonificaciones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82.7</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80.0</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Prestaciones a la Seguridad Social</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5,213.1</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5,191.5</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Intereses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9,384.9</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9,309.2</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ind w:firstLineChars="300" w:firstLine="600"/>
              <w:rPr>
                <w:rFonts w:ascii="CG Times" w:hAnsi="CG Times"/>
                <w:sz w:val="20"/>
                <w:szCs w:val="20"/>
                <w:lang w:val="es-GT" w:eastAsia="es-GT"/>
              </w:rPr>
            </w:pPr>
            <w:r w:rsidRPr="00DA37F9">
              <w:rPr>
                <w:rFonts w:ascii="CG Times" w:hAnsi="CG Times"/>
                <w:sz w:val="20"/>
                <w:szCs w:val="20"/>
                <w:lang w:val="es-GT" w:eastAsia="es-GT"/>
              </w:rPr>
              <w:t xml:space="preserve">Deuda </w:t>
            </w:r>
            <w:r w:rsidR="00B7519D">
              <w:rPr>
                <w:rFonts w:ascii="CG Times" w:hAnsi="CG Times"/>
                <w:sz w:val="20"/>
                <w:szCs w:val="20"/>
                <w:lang w:val="es-GT" w:eastAsia="es-GT"/>
              </w:rPr>
              <w:t>I</w:t>
            </w:r>
            <w:r w:rsidRPr="00DA37F9">
              <w:rPr>
                <w:rFonts w:ascii="CG Times" w:hAnsi="CG Times"/>
                <w:sz w:val="20"/>
                <w:szCs w:val="20"/>
                <w:lang w:val="es-GT" w:eastAsia="es-GT"/>
              </w:rPr>
              <w:t xml:space="preserve">nterna </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6,074.8</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6,372.8</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B7519D">
            <w:pPr>
              <w:ind w:firstLineChars="300" w:firstLine="600"/>
              <w:rPr>
                <w:rFonts w:ascii="CG Times" w:hAnsi="CG Times"/>
                <w:sz w:val="20"/>
                <w:szCs w:val="20"/>
                <w:lang w:val="es-GT" w:eastAsia="es-GT"/>
              </w:rPr>
            </w:pPr>
            <w:r w:rsidRPr="00DA37F9">
              <w:rPr>
                <w:rFonts w:ascii="CG Times" w:hAnsi="CG Times"/>
                <w:sz w:val="20"/>
                <w:szCs w:val="20"/>
                <w:lang w:val="es-GT" w:eastAsia="es-GT"/>
              </w:rPr>
              <w:t xml:space="preserve">Deuda </w:t>
            </w:r>
            <w:r w:rsidR="00B7519D">
              <w:rPr>
                <w:rFonts w:ascii="CG Times" w:hAnsi="CG Times"/>
                <w:sz w:val="20"/>
                <w:szCs w:val="20"/>
                <w:lang w:val="es-GT" w:eastAsia="es-GT"/>
              </w:rPr>
              <w:t>E</w:t>
            </w:r>
            <w:r w:rsidRPr="00DA37F9">
              <w:rPr>
                <w:rFonts w:ascii="CG Times" w:hAnsi="CG Times"/>
                <w:sz w:val="20"/>
                <w:szCs w:val="20"/>
                <w:lang w:val="es-GT" w:eastAsia="es-GT"/>
              </w:rPr>
              <w:t>xterna</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3,310.0</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2,936.4</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400" w:firstLine="800"/>
              <w:rPr>
                <w:rFonts w:ascii="CG Times" w:hAnsi="CG Times"/>
                <w:sz w:val="20"/>
                <w:szCs w:val="20"/>
                <w:lang w:val="es-GT" w:eastAsia="es-GT"/>
              </w:rPr>
            </w:pPr>
            <w:r w:rsidRPr="00DA37F9">
              <w:rPr>
                <w:rFonts w:ascii="CG Times" w:hAnsi="CG Times"/>
                <w:sz w:val="20"/>
                <w:szCs w:val="20"/>
                <w:lang w:val="es-GT" w:eastAsia="es-GT"/>
              </w:rPr>
              <w:t>Préstamos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1,166.9</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1,439.4</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400" w:firstLine="800"/>
              <w:rPr>
                <w:rFonts w:ascii="CG Times" w:hAnsi="CG Times"/>
                <w:sz w:val="20"/>
                <w:szCs w:val="20"/>
                <w:lang w:val="es-GT" w:eastAsia="es-GT"/>
              </w:rPr>
            </w:pPr>
            <w:r w:rsidRPr="00DA37F9">
              <w:rPr>
                <w:rFonts w:ascii="CG Times" w:hAnsi="CG Times"/>
                <w:sz w:val="20"/>
                <w:szCs w:val="20"/>
                <w:lang w:val="es-GT" w:eastAsia="es-GT"/>
              </w:rPr>
              <w:t>Bonos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2,143.2</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1,497.0</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Arrendamiento de Tierra</w:t>
            </w:r>
            <w:r w:rsidR="00B7519D">
              <w:rPr>
                <w:rFonts w:ascii="CG Times" w:hAnsi="CG Times"/>
                <w:sz w:val="20"/>
                <w:szCs w:val="20"/>
                <w:lang w:val="es-GT" w:eastAsia="es-GT"/>
              </w:rPr>
              <w:t>s</w:t>
            </w:r>
            <w:r w:rsidRPr="00DA37F9">
              <w:rPr>
                <w:rFonts w:ascii="CG Times" w:hAnsi="CG Times"/>
                <w:sz w:val="20"/>
                <w:szCs w:val="20"/>
                <w:lang w:val="es-GT" w:eastAsia="es-GT"/>
              </w:rPr>
              <w:t xml:space="preserve"> y Terrenos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0.4</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0.4</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Derechos Sobre Bienes Intangibles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65.8</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34.0</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Transferencias</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14,041.2</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13,810.1</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100" w:firstLine="201"/>
              <w:rPr>
                <w:rFonts w:ascii="CG Times" w:hAnsi="CG Times"/>
                <w:b/>
                <w:bCs/>
                <w:sz w:val="20"/>
                <w:szCs w:val="20"/>
                <w:lang w:val="es-GT" w:eastAsia="es-GT"/>
              </w:rPr>
            </w:pPr>
            <w:r w:rsidRPr="00DA37F9">
              <w:rPr>
                <w:rFonts w:ascii="CG Times" w:hAnsi="CG Times"/>
                <w:b/>
                <w:bCs/>
                <w:sz w:val="20"/>
                <w:szCs w:val="20"/>
                <w:lang w:val="es-GT" w:eastAsia="es-GT"/>
              </w:rPr>
              <w:t>Gastos de Capital</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b/>
                <w:bCs/>
                <w:sz w:val="20"/>
                <w:szCs w:val="20"/>
                <w:lang w:val="es-GT" w:eastAsia="es-GT"/>
              </w:rPr>
            </w:pPr>
            <w:r w:rsidRPr="00DA37F9">
              <w:rPr>
                <w:rFonts w:ascii="CG Times" w:hAnsi="CG Times"/>
                <w:b/>
                <w:bCs/>
                <w:sz w:val="20"/>
                <w:szCs w:val="20"/>
                <w:lang w:val="es-GT" w:eastAsia="es-GT"/>
              </w:rPr>
              <w:t>17,156.5</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b/>
                <w:bCs/>
                <w:sz w:val="20"/>
                <w:szCs w:val="20"/>
                <w:lang w:val="es-GT" w:eastAsia="es-GT"/>
              </w:rPr>
            </w:pPr>
            <w:r w:rsidRPr="00DA37F9">
              <w:rPr>
                <w:b/>
                <w:bCs/>
                <w:sz w:val="20"/>
                <w:szCs w:val="20"/>
                <w:lang w:val="es-GT" w:eastAsia="es-GT"/>
              </w:rPr>
              <w:t>15,780.1</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Inversión Real Directa</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5,191.5</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4,427.6</w:t>
            </w:r>
          </w:p>
        </w:tc>
      </w:tr>
      <w:tr w:rsidR="00DA37F9" w:rsidRPr="00DA37F9" w:rsidTr="00B7519D">
        <w:trPr>
          <w:trHeight w:val="315"/>
          <w:jc w:val="center"/>
        </w:trPr>
        <w:tc>
          <w:tcPr>
            <w:tcW w:w="48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Inversión Financiera</w:t>
            </w:r>
          </w:p>
        </w:tc>
        <w:tc>
          <w:tcPr>
            <w:tcW w:w="1984"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20.8</w:t>
            </w:r>
          </w:p>
        </w:tc>
        <w:tc>
          <w:tcPr>
            <w:tcW w:w="1985" w:type="dxa"/>
            <w:tcBorders>
              <w:top w:val="nil"/>
              <w:left w:val="nil"/>
              <w:bottom w:val="nil"/>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23.6</w:t>
            </w:r>
          </w:p>
        </w:tc>
      </w:tr>
      <w:tr w:rsidR="00DA37F9" w:rsidRPr="00DA37F9" w:rsidTr="00B7519D">
        <w:trPr>
          <w:trHeight w:val="330"/>
          <w:jc w:val="center"/>
        </w:trPr>
        <w:tc>
          <w:tcPr>
            <w:tcW w:w="4820"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ind w:firstLineChars="200" w:firstLine="400"/>
              <w:rPr>
                <w:rFonts w:ascii="CG Times" w:hAnsi="CG Times"/>
                <w:sz w:val="20"/>
                <w:szCs w:val="20"/>
                <w:lang w:val="es-GT" w:eastAsia="es-GT"/>
              </w:rPr>
            </w:pPr>
            <w:r w:rsidRPr="00DA37F9">
              <w:rPr>
                <w:rFonts w:ascii="CG Times" w:hAnsi="CG Times"/>
                <w:sz w:val="20"/>
                <w:szCs w:val="20"/>
                <w:lang w:val="es-GT" w:eastAsia="es-GT"/>
              </w:rPr>
              <w:t>Transferencias</w:t>
            </w:r>
          </w:p>
        </w:tc>
        <w:tc>
          <w:tcPr>
            <w:tcW w:w="1984" w:type="dxa"/>
            <w:tcBorders>
              <w:top w:val="nil"/>
              <w:left w:val="nil"/>
              <w:bottom w:val="single" w:sz="8" w:space="0" w:color="auto"/>
              <w:right w:val="single" w:sz="8" w:space="0" w:color="auto"/>
            </w:tcBorders>
            <w:shd w:val="clear" w:color="auto" w:fill="auto"/>
            <w:noWrap/>
            <w:vAlign w:val="bottom"/>
            <w:hideMark/>
          </w:tcPr>
          <w:p w:rsidR="00DA37F9" w:rsidRPr="00DA37F9" w:rsidRDefault="00DA37F9" w:rsidP="00DA37F9">
            <w:pPr>
              <w:jc w:val="right"/>
              <w:rPr>
                <w:rFonts w:ascii="CG Times" w:hAnsi="CG Times"/>
                <w:sz w:val="20"/>
                <w:szCs w:val="20"/>
                <w:lang w:val="es-GT" w:eastAsia="es-GT"/>
              </w:rPr>
            </w:pPr>
            <w:r w:rsidRPr="00DA37F9">
              <w:rPr>
                <w:rFonts w:ascii="CG Times" w:hAnsi="CG Times"/>
                <w:sz w:val="20"/>
                <w:szCs w:val="20"/>
                <w:lang w:val="es-GT" w:eastAsia="es-GT"/>
              </w:rPr>
              <w:t>11,944.2</w:t>
            </w:r>
          </w:p>
        </w:tc>
        <w:tc>
          <w:tcPr>
            <w:tcW w:w="1985" w:type="dxa"/>
            <w:tcBorders>
              <w:top w:val="nil"/>
              <w:left w:val="nil"/>
              <w:bottom w:val="single" w:sz="8" w:space="0" w:color="auto"/>
              <w:right w:val="single" w:sz="8" w:space="0" w:color="auto"/>
            </w:tcBorders>
            <w:shd w:val="clear" w:color="auto" w:fill="auto"/>
            <w:noWrap/>
            <w:vAlign w:val="bottom"/>
            <w:hideMark/>
          </w:tcPr>
          <w:p w:rsidR="00DA37F9" w:rsidRPr="00DA37F9" w:rsidRDefault="00DA37F9" w:rsidP="00DA37F9">
            <w:pPr>
              <w:jc w:val="right"/>
              <w:rPr>
                <w:sz w:val="20"/>
                <w:szCs w:val="20"/>
                <w:lang w:val="es-GT" w:eastAsia="es-GT"/>
              </w:rPr>
            </w:pPr>
            <w:r w:rsidRPr="00DA37F9">
              <w:rPr>
                <w:sz w:val="20"/>
                <w:szCs w:val="20"/>
                <w:lang w:val="es-GT" w:eastAsia="es-GT"/>
              </w:rPr>
              <w:t>11,328.9</w:t>
            </w:r>
          </w:p>
        </w:tc>
      </w:tr>
    </w:tbl>
    <w:p w:rsidR="00491C02" w:rsidRPr="003024D7" w:rsidRDefault="00DA37F9" w:rsidP="00491C02">
      <w:pPr>
        <w:jc w:val="both"/>
        <w:rPr>
          <w:sz w:val="18"/>
          <w:lang w:val="es-MX"/>
        </w:rPr>
      </w:pPr>
      <w:r>
        <w:fldChar w:fldCharType="end"/>
      </w:r>
      <w:r w:rsidR="00491C02" w:rsidRPr="003024D7">
        <w:rPr>
          <w:sz w:val="18"/>
          <w:lang w:val="es-MX"/>
        </w:rPr>
        <w:t>Fuente: Ministerio de Finanzas Públicas</w:t>
      </w:r>
      <w:r w:rsidR="00491C02">
        <w:rPr>
          <w:sz w:val="18"/>
          <w:lang w:val="es-MX"/>
        </w:rPr>
        <w:t>.</w:t>
      </w:r>
    </w:p>
    <w:p w:rsidR="00491C02" w:rsidRDefault="00491C02" w:rsidP="00491C02">
      <w:pPr>
        <w:autoSpaceDE w:val="0"/>
        <w:autoSpaceDN w:val="0"/>
        <w:adjustRightInd w:val="0"/>
        <w:jc w:val="both"/>
        <w:rPr>
          <w:lang w:val="es-MX"/>
        </w:rPr>
      </w:pPr>
    </w:p>
    <w:p w:rsidR="003C1FEE" w:rsidRPr="00EF23D0" w:rsidRDefault="003C1FEE" w:rsidP="00491C02">
      <w:pPr>
        <w:autoSpaceDE w:val="0"/>
        <w:autoSpaceDN w:val="0"/>
        <w:adjustRightInd w:val="0"/>
        <w:jc w:val="both"/>
        <w:rPr>
          <w:lang w:val="es-MX"/>
        </w:rPr>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4" w:name="_Toc20495577"/>
      <w:r w:rsidRPr="00EF23D0">
        <w:rPr>
          <w:rFonts w:ascii="Times New Roman" w:hAnsi="Times New Roman"/>
          <w:color w:val="000000" w:themeColor="text1"/>
          <w:sz w:val="24"/>
          <w:szCs w:val="24"/>
        </w:rPr>
        <w:t>D.</w:t>
      </w:r>
      <w:r w:rsidRPr="00EF23D0">
        <w:rPr>
          <w:rFonts w:ascii="Times New Roman" w:hAnsi="Times New Roman"/>
          <w:color w:val="000000" w:themeColor="text1"/>
          <w:sz w:val="24"/>
          <w:szCs w:val="24"/>
        </w:rPr>
        <w:tab/>
        <w:t>Gasto Institucional</w:t>
      </w:r>
      <w:bookmarkEnd w:id="24"/>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Respecto </w:t>
      </w:r>
      <w:r w:rsidR="00BA1B91">
        <w:t>de</w:t>
      </w:r>
      <w:r>
        <w:t xml:space="preserve"> la capacidad de ejecución de las entidades, se observa que al cierre de junio la ejecución se ubica en Q</w:t>
      </w:r>
      <w:r w:rsidR="00BA1B91">
        <w:t>.</w:t>
      </w:r>
      <w:r>
        <w:t>37,890.0 millones (incluye amortizaciones de la deuda</w:t>
      </w:r>
      <w:r w:rsidR="00BA1B91">
        <w:t xml:space="preserve"> pública</w:t>
      </w:r>
      <w:r>
        <w:t>), un 42.9% del presupuesto vigente, encontrándose por arriba de la ejecución promedio de los últimos cinco años (41.6%). Este nivel de ejecución es superior a lo reportado en los cinco años previos</w:t>
      </w:r>
      <w:r w:rsidR="00BA1B91">
        <w:t>,</w:t>
      </w:r>
      <w:r>
        <w:t xml:space="preserve"> a excepción del 2015, siendo el nivel de ejecución superior en un punto porcentual, año que también se caract</w:t>
      </w:r>
      <w:r w:rsidR="00BA1B91">
        <w:t>erizó por un proceso electoral.</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Entre las instituciones que encabezan el nivel de ejecución, se encuentran la P</w:t>
      </w:r>
      <w:r w:rsidR="00BA1B91">
        <w:t xml:space="preserve">rocuraduría General de la Nación </w:t>
      </w:r>
      <w:r>
        <w:t xml:space="preserve">(48.4%), la Presidencia de la República (48.0%), </w:t>
      </w:r>
      <w:r w:rsidR="00BA1B91">
        <w:t xml:space="preserve">Ministerio de </w:t>
      </w:r>
      <w:r>
        <w:t xml:space="preserve">Educación (46.0%), la Deuda Pública (45.4%), las Obligaciones </w:t>
      </w:r>
      <w:r w:rsidR="00BA1B91">
        <w:t xml:space="preserve">del Estado </w:t>
      </w:r>
      <w:r>
        <w:t xml:space="preserve">a Cargo del Tesoro (45.0%) y </w:t>
      </w:r>
      <w:r w:rsidR="00BA1B91">
        <w:t xml:space="preserve">Ministerio de </w:t>
      </w:r>
      <w:r>
        <w:t xml:space="preserve">Economía (44.8%), siendo </w:t>
      </w:r>
      <w:r w:rsidR="00BA1B91">
        <w:t>é</w:t>
      </w:r>
      <w:r>
        <w:t xml:space="preserve">stas las que se encuentran por arriba de la ejecución </w:t>
      </w:r>
      <w:r w:rsidR="00BA1B91">
        <w:t>promedio</w:t>
      </w:r>
      <w:r>
        <w:t xml:space="preserve"> de 42.9%.</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lastRenderedPageBreak/>
        <w:t xml:space="preserve">Por su parte, las instituciones que se encuentran muy por debajo del nivel de ejecución total son: </w:t>
      </w:r>
      <w:r w:rsidR="00BA1B91">
        <w:t xml:space="preserve">Ministerio de </w:t>
      </w:r>
      <w:r>
        <w:t xml:space="preserve">Desarrollo Social (35.0%), </w:t>
      </w:r>
      <w:r w:rsidR="00BA1B91">
        <w:t xml:space="preserve">Ministerio de </w:t>
      </w:r>
      <w:r>
        <w:t xml:space="preserve">Cultura y Deportes (31.8%) y </w:t>
      </w:r>
      <w:r w:rsidR="00BA1B91">
        <w:t xml:space="preserve">Ministerio de </w:t>
      </w:r>
      <w:r>
        <w:t>Ambiente y Recursos Naturales (30.7%).</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El Ministerio de Comunicaciones, Infraestructura y Vivienda reporta el mayor crecimiento interanual, siendo de 62.3%, le sigue el Ministerio de Economía (38.4%), </w:t>
      </w:r>
      <w:r w:rsidR="00603433">
        <w:t xml:space="preserve">Ministerio de </w:t>
      </w:r>
      <w:r>
        <w:t>Agricultura</w:t>
      </w:r>
      <w:r w:rsidR="00603433">
        <w:t>, Ganadería y Alimentación</w:t>
      </w:r>
      <w:r>
        <w:t xml:space="preserve"> (33.2%) y </w:t>
      </w:r>
      <w:r w:rsidR="00603433">
        <w:t xml:space="preserve">Ministerio de </w:t>
      </w:r>
      <w:r>
        <w:t xml:space="preserve">Desarrollo Social (31.9%). La única institución que reporta una menor ejecución respecto </w:t>
      </w:r>
      <w:r w:rsidR="00603433">
        <w:t>del</w:t>
      </w:r>
      <w:r>
        <w:t xml:space="preserve"> año previo es el Ministerio de Gobernación, explicado por una menor ejecución de Q</w:t>
      </w:r>
      <w:r w:rsidR="00603433">
        <w:t>.</w:t>
      </w:r>
      <w:r>
        <w:t>67.7 millones en el rubro de bienes y servicios.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 partir de junio</w:t>
      </w:r>
      <w:r w:rsidR="00EC2B9C">
        <w:t xml:space="preserve"> de 2019</w:t>
      </w:r>
      <w:r>
        <w:t xml:space="preserve">, se espera que el gasto muestre un dinamismo más moderado, respecto </w:t>
      </w:r>
      <w:r w:rsidR="00EC2B9C">
        <w:t>de</w:t>
      </w:r>
      <w:r>
        <w:t xml:space="preserve"> lo observado en el primer semestre</w:t>
      </w:r>
      <w:r w:rsidR="00EC2B9C">
        <w:t>. E</w:t>
      </w:r>
      <w:r>
        <w:t xml:space="preserve">n enero y abril se observaron tasas de crecimiento del 20.9% y 20.7%, respectivamente. Aunque se espera que el ritmo de crecimiento se modere, </w:t>
      </w:r>
      <w:r w:rsidR="00EC2B9C">
        <w:t>é</w:t>
      </w:r>
      <w:r>
        <w:t xml:space="preserve">ste siempre estará por encima de lo observado en el 2018 y para el final de año se espera que el avance </w:t>
      </w:r>
      <w:r w:rsidR="00EC2B9C">
        <w:t>interanual sea cercano al 8.0%.</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Al desglosar los programas por entidad (ver </w:t>
      </w:r>
      <w:r w:rsidR="00EC2B9C">
        <w:t>A</w:t>
      </w:r>
      <w:r>
        <w:t>nexo), se observa que dentro de las entidades se da prioridad a los programas de alto impacto</w:t>
      </w:r>
      <w:r w:rsidR="00EC2B9C">
        <w:t>;</w:t>
      </w:r>
      <w:r>
        <w:t xml:space="preserve"> en el caso del Ministerio de Gobernación, el programa </w:t>
      </w:r>
      <w:r w:rsidR="00EC2B9C">
        <w:t>S</w:t>
      </w:r>
      <w:r>
        <w:t xml:space="preserve">ervicios de </w:t>
      </w:r>
      <w:r w:rsidR="00EC2B9C">
        <w:t>S</w:t>
      </w:r>
      <w:r>
        <w:t xml:space="preserve">eguridad a las </w:t>
      </w:r>
      <w:r w:rsidR="00EC2B9C">
        <w:t>P</w:t>
      </w:r>
      <w:r>
        <w:t xml:space="preserve">ersonas y su </w:t>
      </w:r>
      <w:r w:rsidR="00EC2B9C">
        <w:t>P</w:t>
      </w:r>
      <w:r>
        <w:t>atrimonio se espera que cierre la ejecución en un nivel cercano al 90.0%, programa que report</w:t>
      </w:r>
      <w:r w:rsidR="00EC2B9C">
        <w:t>ó</w:t>
      </w:r>
      <w:r>
        <w:t xml:space="preserve"> progresos significativos en el primer semestre </w:t>
      </w:r>
      <w:r w:rsidR="00EC2B9C">
        <w:t xml:space="preserve">de 2019 </w:t>
      </w:r>
      <w:r>
        <w:t>con la disminución del índice de homicidios por cada 100 mil habitantes</w:t>
      </w:r>
      <w:r w:rsidR="00EC2B9C">
        <w:t>;</w:t>
      </w:r>
      <w:r>
        <w:t xml:space="preserve"> también se logró una baja en la tasa por heridos en hecho</w:t>
      </w:r>
      <w:r w:rsidR="00EC2B9C">
        <w:t>s violentos.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el Ministerio de Educación, se continúa observando la mayor priorización que goza la educación primaria</w:t>
      </w:r>
      <w:r w:rsidR="00EC2B9C">
        <w:t>,</w:t>
      </w:r>
      <w:r>
        <w:t xml:space="preserve"> que representa poco más del 50</w:t>
      </w:r>
      <w:r w:rsidR="00EC2B9C">
        <w:t>.0</w:t>
      </w:r>
      <w:r>
        <w:t>% del presupuesto de la entidad y a junio</w:t>
      </w:r>
      <w:r w:rsidR="00EC2B9C">
        <w:t xml:space="preserve"> de 2019</w:t>
      </w:r>
      <w:r>
        <w:t xml:space="preserve"> reporta una ejecución de 44.6%. Por su parte, el apoyo al consumo adecuado de alimentos también reporta una ejecución importante, siendo del 72.8%. En lo que respecta a la </w:t>
      </w:r>
      <w:r w:rsidR="00EC2B9C">
        <w:t xml:space="preserve">educación </w:t>
      </w:r>
      <w:r>
        <w:t>básica y diversificada</w:t>
      </w:r>
      <w:r w:rsidR="00EC2B9C">
        <w:t xml:space="preserve">, se </w:t>
      </w:r>
      <w:r>
        <w:t>cuenta con una menor asignación y a junio</w:t>
      </w:r>
      <w:r w:rsidR="00EC2B9C">
        <w:t xml:space="preserve"> de 2019</w:t>
      </w:r>
      <w:r>
        <w:t xml:space="preserve"> reportan niveles de ejecución menores, siendo de</w:t>
      </w:r>
      <w:r w:rsidR="00EC2B9C">
        <w:t>l</w:t>
      </w:r>
      <w:r>
        <w:t xml:space="preserve"> 37.2% y 34.1%, respectivamente.</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lo que respecta al Ministerio de Salud Pública y Asistencia Social, el programa que cuenta con la mayor asignación presupuestaria </w:t>
      </w:r>
      <w:r w:rsidR="004502D3">
        <w:t>es el de R</w:t>
      </w:r>
      <w:r>
        <w:t xml:space="preserve">ecuperación de la </w:t>
      </w:r>
      <w:r w:rsidR="004502D3">
        <w:t>S</w:t>
      </w:r>
      <w:r>
        <w:t xml:space="preserve">alud, </w:t>
      </w:r>
      <w:r w:rsidR="004502D3">
        <w:t xml:space="preserve">el cual </w:t>
      </w:r>
      <w:r>
        <w:t>reporta una ejecución del 37</w:t>
      </w:r>
      <w:r w:rsidR="004502D3">
        <w:t>.</w:t>
      </w:r>
      <w:r w:rsidR="001D0B47">
        <w:t>2</w:t>
      </w:r>
      <w:r>
        <w:t>% y se espera que a final de año sea superior al 8</w:t>
      </w:r>
      <w:r w:rsidR="001D0B47">
        <w:t>7.8</w:t>
      </w:r>
      <w:r>
        <w:t>%. A junio</w:t>
      </w:r>
      <w:r w:rsidR="004502D3">
        <w:t xml:space="preserve"> de 2019</w:t>
      </w:r>
      <w:r>
        <w:t xml:space="preserve">, el programa que lidera con el mayor nivel de ejecución es </w:t>
      </w:r>
      <w:r w:rsidR="004502D3">
        <w:t xml:space="preserve">el de </w:t>
      </w:r>
      <w:r w:rsidR="001D0B47">
        <w:t>Mejoramiento de la Salud y Medicina Preventiva</w:t>
      </w:r>
      <w:r>
        <w:t xml:space="preserve"> con 42</w:t>
      </w:r>
      <w:r w:rsidR="001D0B47">
        <w:t>.0</w:t>
      </w:r>
      <w:r>
        <w:t xml:space="preserve">% y se espera que a final de año </w:t>
      </w:r>
      <w:r w:rsidR="001D0B47">
        <w:t>su</w:t>
      </w:r>
      <w:r>
        <w:t xml:space="preserve"> nivel de ejecución sea cercana al 100</w:t>
      </w:r>
      <w:r w:rsidR="001D0B47">
        <w:t>.0</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el Ministerio de Trabajo</w:t>
      </w:r>
      <w:r w:rsidR="00E75D8C">
        <w:t xml:space="preserve"> y Previsión Social</w:t>
      </w:r>
      <w:r>
        <w:t>, el programa de Atención al Adulto Mayor representa más del 70</w:t>
      </w:r>
      <w:r w:rsidR="00E75D8C">
        <w:t>.0</w:t>
      </w:r>
      <w:r>
        <w:t>% del presupuesto de la entidad y reporta un nivel de ejecución de 44.3%</w:t>
      </w:r>
      <w:r w:rsidR="00E75D8C">
        <w:t>;</w:t>
      </w:r>
      <w:r>
        <w:t xml:space="preserve"> a</w:t>
      </w:r>
      <w:r w:rsidR="00E75D8C">
        <w:t>l</w:t>
      </w:r>
      <w:r>
        <w:t xml:space="preserve"> final de año se espera que el nivel supere el 90</w:t>
      </w:r>
      <w:r w:rsidR="00E75D8C">
        <w:t>.0</w:t>
      </w:r>
      <w:r>
        <w:t xml:space="preserve">%, como resultado de la priorización al cumplimiento del aporte económico que por derecho les corresponde a los adultos de 65 años o más, que se encuentren en </w:t>
      </w:r>
      <w:r w:rsidR="00E75D8C">
        <w:t>condiciones de extrema pobreza.</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el Ministerio de Desarrollo Social se ha</w:t>
      </w:r>
      <w:r w:rsidR="00E75D8C">
        <w:t>n otorgado</w:t>
      </w:r>
      <w:r>
        <w:t xml:space="preserve"> oportunamente la</w:t>
      </w:r>
      <w:r w:rsidR="00E75D8C">
        <w:t>s</w:t>
      </w:r>
      <w:r>
        <w:t xml:space="preserve"> transferencia</w:t>
      </w:r>
      <w:r w:rsidR="00E75D8C">
        <w:t>s</w:t>
      </w:r>
      <w:r>
        <w:t xml:space="preserve"> monetaria</w:t>
      </w:r>
      <w:r w:rsidR="00E75D8C">
        <w:t>s</w:t>
      </w:r>
      <w:r>
        <w:t xml:space="preserve"> condicionada</w:t>
      </w:r>
      <w:r w:rsidR="00E75D8C">
        <w:t>s</w:t>
      </w:r>
      <w:r>
        <w:t xml:space="preserve"> en salud y educación</w:t>
      </w:r>
      <w:r w:rsidR="00E75D8C">
        <w:t>;</w:t>
      </w:r>
      <w:r>
        <w:t xml:space="preserve"> de esa cuenta</w:t>
      </w:r>
      <w:r w:rsidR="00E75D8C">
        <w:t>, se</w:t>
      </w:r>
      <w:r>
        <w:t xml:space="preserve"> reporta un nivel de ejecución cercan</w:t>
      </w:r>
      <w:r w:rsidR="00E75D8C">
        <w:t>o</w:t>
      </w:r>
      <w:r>
        <w:t xml:space="preserve"> al 50</w:t>
      </w:r>
      <w:r w:rsidR="00E75D8C">
        <w:t>.0</w:t>
      </w:r>
      <w:r>
        <w:t>%</w:t>
      </w:r>
      <w:r w:rsidR="00E75D8C">
        <w:t>;</w:t>
      </w:r>
      <w:r>
        <w:t xml:space="preserve"> asimismo</w:t>
      </w:r>
      <w:r w:rsidR="00E75D8C">
        <w:t>,</w:t>
      </w:r>
      <w:r>
        <w:t xml:space="preserve"> el programa de </w:t>
      </w:r>
      <w:r w:rsidR="00E75D8C">
        <w:t>A</w:t>
      </w:r>
      <w:r>
        <w:t xml:space="preserve">poyo para el </w:t>
      </w:r>
      <w:r w:rsidR="00E75D8C">
        <w:t>C</w:t>
      </w:r>
      <w:r>
        <w:t xml:space="preserve">onsumo </w:t>
      </w:r>
      <w:r w:rsidR="00E75D8C">
        <w:t>A</w:t>
      </w:r>
      <w:r>
        <w:t xml:space="preserve">decuado de </w:t>
      </w:r>
      <w:r w:rsidR="00E75D8C">
        <w:lastRenderedPageBreak/>
        <w:t>A</w:t>
      </w:r>
      <w:r>
        <w:t>limentos reporta una ejecución importante de 57.4%</w:t>
      </w:r>
      <w:r w:rsidR="00E75D8C">
        <w:t>;</w:t>
      </w:r>
      <w:r>
        <w:t xml:space="preserve"> la importancia de dichos programas recae en que sus acciones están consideradas dentro de la política de desarrollo social del Gobierno.</w:t>
      </w: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DA37F9" w:rsidRPr="00DA37F9" w:rsidRDefault="00DA37F9" w:rsidP="00DA37F9">
      <w:pPr>
        <w:jc w:val="center"/>
        <w:rPr>
          <w:b/>
          <w:sz w:val="22"/>
          <w:lang w:val="es-MX"/>
        </w:rPr>
      </w:pPr>
      <w:r w:rsidRPr="00DA37F9">
        <w:rPr>
          <w:b/>
          <w:sz w:val="22"/>
          <w:lang w:val="es-MX"/>
        </w:rPr>
        <w:t xml:space="preserve">Cuadro </w:t>
      </w:r>
      <w:r w:rsidR="00491C02">
        <w:rPr>
          <w:b/>
          <w:sz w:val="22"/>
          <w:lang w:val="es-MX"/>
        </w:rPr>
        <w:t>1</w:t>
      </w:r>
      <w:r w:rsidR="00E94EA5">
        <w:rPr>
          <w:b/>
          <w:sz w:val="22"/>
          <w:lang w:val="es-MX"/>
        </w:rPr>
        <w:t>6</w:t>
      </w:r>
    </w:p>
    <w:p w:rsidR="00DA37F9" w:rsidRPr="00DA37F9" w:rsidRDefault="00DA37F9" w:rsidP="00DA37F9">
      <w:pPr>
        <w:jc w:val="center"/>
        <w:rPr>
          <w:b/>
          <w:sz w:val="22"/>
          <w:lang w:val="es-MX"/>
        </w:rPr>
      </w:pPr>
      <w:r w:rsidRPr="00DA37F9">
        <w:rPr>
          <w:b/>
          <w:sz w:val="22"/>
          <w:lang w:val="es-MX"/>
        </w:rPr>
        <w:t>Presupuesto y Estimación del Gasto por Entidad</w:t>
      </w:r>
    </w:p>
    <w:p w:rsidR="00DA37F9" w:rsidRPr="00DA37F9" w:rsidRDefault="00DA37F9" w:rsidP="00DA37F9">
      <w:pPr>
        <w:jc w:val="center"/>
        <w:rPr>
          <w:b/>
          <w:sz w:val="22"/>
          <w:lang w:val="es-MX"/>
        </w:rPr>
      </w:pPr>
      <w:r w:rsidRPr="00DA37F9">
        <w:rPr>
          <w:b/>
          <w:sz w:val="22"/>
          <w:lang w:val="es-MX"/>
        </w:rPr>
        <w:t>Ejercicio Fiscal 201</w:t>
      </w:r>
      <w:r>
        <w:rPr>
          <w:b/>
          <w:sz w:val="22"/>
          <w:lang w:val="es-MX"/>
        </w:rPr>
        <w:t>9</w:t>
      </w:r>
    </w:p>
    <w:p w:rsidR="00DA37F9" w:rsidRDefault="00DA37F9" w:rsidP="00DA37F9">
      <w:pPr>
        <w:autoSpaceDE w:val="0"/>
        <w:autoSpaceDN w:val="0"/>
        <w:adjustRightInd w:val="0"/>
        <w:jc w:val="center"/>
      </w:pPr>
      <w:r w:rsidRPr="00DA37F9">
        <w:rPr>
          <w:b/>
          <w:sz w:val="22"/>
          <w:lang w:val="es-MX"/>
        </w:rPr>
        <w:t>(Cifras en Millones de Quetzales)</w:t>
      </w:r>
    </w:p>
    <w:tbl>
      <w:tblPr>
        <w:tblW w:w="9100" w:type="dxa"/>
        <w:tblInd w:w="55" w:type="dxa"/>
        <w:tblCellMar>
          <w:left w:w="70" w:type="dxa"/>
          <w:right w:w="70" w:type="dxa"/>
        </w:tblCellMar>
        <w:tblLook w:val="04A0" w:firstRow="1" w:lastRow="0" w:firstColumn="1" w:lastColumn="0" w:noHBand="0" w:noVBand="1"/>
      </w:tblPr>
      <w:tblGrid>
        <w:gridCol w:w="4582"/>
        <w:gridCol w:w="1520"/>
        <w:gridCol w:w="1520"/>
        <w:gridCol w:w="1478"/>
      </w:tblGrid>
      <w:tr w:rsidR="00DA37F9" w:rsidRPr="00DA37F9" w:rsidTr="009D7D1A">
        <w:trPr>
          <w:trHeight w:val="360"/>
        </w:trPr>
        <w:tc>
          <w:tcPr>
            <w:tcW w:w="4582" w:type="dxa"/>
            <w:vMerge w:val="restart"/>
            <w:tcBorders>
              <w:top w:val="single" w:sz="8"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8A1BE3" w:rsidP="00DA37F9">
            <w:pPr>
              <w:jc w:val="center"/>
              <w:rPr>
                <w:b/>
                <w:bCs/>
                <w:color w:val="FFFFFF"/>
                <w:sz w:val="22"/>
                <w:lang w:val="es-GT" w:eastAsia="es-GT"/>
              </w:rPr>
            </w:pPr>
            <w:r>
              <w:rPr>
                <w:b/>
                <w:bCs/>
                <w:color w:val="FFFFFF"/>
                <w:sz w:val="22"/>
                <w:lang w:val="es-GT" w:eastAsia="es-GT"/>
              </w:rPr>
              <w:t>Entidad</w:t>
            </w:r>
          </w:p>
        </w:tc>
        <w:tc>
          <w:tcPr>
            <w:tcW w:w="3040" w:type="dxa"/>
            <w:gridSpan w:val="2"/>
            <w:tcBorders>
              <w:top w:val="single" w:sz="8"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8A1BE3" w:rsidP="00DA37F9">
            <w:pPr>
              <w:jc w:val="center"/>
              <w:rPr>
                <w:b/>
                <w:bCs/>
                <w:color w:val="FFFFFF"/>
                <w:sz w:val="22"/>
                <w:lang w:val="es-GT" w:eastAsia="es-GT"/>
              </w:rPr>
            </w:pPr>
            <w:r>
              <w:rPr>
                <w:b/>
                <w:bCs/>
                <w:color w:val="FFFFFF"/>
                <w:sz w:val="22"/>
                <w:lang w:val="es-GT" w:eastAsia="es-GT"/>
              </w:rPr>
              <w:t>Presupuesto</w:t>
            </w:r>
          </w:p>
        </w:tc>
        <w:tc>
          <w:tcPr>
            <w:tcW w:w="1478" w:type="dxa"/>
            <w:vMerge w:val="restart"/>
            <w:tcBorders>
              <w:top w:val="single" w:sz="8" w:space="0" w:color="auto"/>
              <w:left w:val="single" w:sz="8" w:space="0" w:color="auto"/>
              <w:bottom w:val="single" w:sz="4" w:space="0" w:color="auto"/>
              <w:right w:val="single" w:sz="8" w:space="0" w:color="auto"/>
            </w:tcBorders>
            <w:shd w:val="clear" w:color="000000" w:fill="2F75B5"/>
            <w:vAlign w:val="center"/>
            <w:hideMark/>
          </w:tcPr>
          <w:p w:rsidR="00DA37F9" w:rsidRPr="00DA37F9" w:rsidRDefault="008A1BE3" w:rsidP="008A1BE3">
            <w:pPr>
              <w:jc w:val="center"/>
              <w:rPr>
                <w:b/>
                <w:bCs/>
                <w:color w:val="FFFFFF"/>
                <w:sz w:val="22"/>
                <w:lang w:val="es-GT" w:eastAsia="es-GT"/>
              </w:rPr>
            </w:pPr>
            <w:r>
              <w:rPr>
                <w:b/>
                <w:bCs/>
                <w:color w:val="FFFFFF"/>
                <w:sz w:val="22"/>
                <w:lang w:val="es-GT" w:eastAsia="es-GT"/>
              </w:rPr>
              <w:t xml:space="preserve">Cierre </w:t>
            </w:r>
            <w:r w:rsidR="00DA37F9" w:rsidRPr="00DA37F9">
              <w:rPr>
                <w:b/>
                <w:bCs/>
                <w:color w:val="FFFFFF"/>
                <w:sz w:val="22"/>
                <w:lang w:val="es-GT" w:eastAsia="es-GT"/>
              </w:rPr>
              <w:t>Estima</w:t>
            </w:r>
            <w:r>
              <w:rPr>
                <w:b/>
                <w:bCs/>
                <w:color w:val="FFFFFF"/>
                <w:sz w:val="22"/>
                <w:lang w:val="es-GT" w:eastAsia="es-GT"/>
              </w:rPr>
              <w:t>do</w:t>
            </w:r>
            <w:r w:rsidR="00DA37F9" w:rsidRPr="00DA37F9">
              <w:rPr>
                <w:b/>
                <w:bCs/>
                <w:color w:val="FFFFFF"/>
                <w:sz w:val="22"/>
                <w:lang w:val="es-GT" w:eastAsia="es-GT"/>
              </w:rPr>
              <w:t xml:space="preserve"> 2019</w:t>
            </w:r>
          </w:p>
        </w:tc>
      </w:tr>
      <w:tr w:rsidR="00DA37F9" w:rsidRPr="00DA37F9" w:rsidTr="009D7D1A">
        <w:trPr>
          <w:trHeight w:val="420"/>
        </w:trPr>
        <w:tc>
          <w:tcPr>
            <w:tcW w:w="4582" w:type="dxa"/>
            <w:vMerge/>
            <w:tcBorders>
              <w:top w:val="single" w:sz="4" w:space="0" w:color="auto"/>
              <w:left w:val="single" w:sz="8" w:space="0" w:color="auto"/>
              <w:bottom w:val="single" w:sz="4" w:space="0" w:color="auto"/>
              <w:right w:val="single" w:sz="8" w:space="0" w:color="auto"/>
            </w:tcBorders>
            <w:vAlign w:val="center"/>
            <w:hideMark/>
          </w:tcPr>
          <w:p w:rsidR="00DA37F9" w:rsidRPr="00DA37F9" w:rsidRDefault="00DA37F9" w:rsidP="00DA37F9">
            <w:pPr>
              <w:rPr>
                <w:b/>
                <w:bCs/>
                <w:color w:val="FFFFFF"/>
                <w:sz w:val="22"/>
                <w:lang w:val="es-GT" w:eastAsia="es-GT"/>
              </w:rPr>
            </w:pPr>
          </w:p>
        </w:tc>
        <w:tc>
          <w:tcPr>
            <w:tcW w:w="1520" w:type="dxa"/>
            <w:tcBorders>
              <w:top w:val="single" w:sz="4"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8A1BE3" w:rsidP="008A1BE3">
            <w:pPr>
              <w:jc w:val="center"/>
              <w:rPr>
                <w:b/>
                <w:bCs/>
                <w:color w:val="FFFFFF"/>
                <w:sz w:val="22"/>
                <w:lang w:val="es-GT" w:eastAsia="es-GT"/>
              </w:rPr>
            </w:pPr>
            <w:r>
              <w:rPr>
                <w:b/>
                <w:bCs/>
                <w:color w:val="FFFFFF"/>
                <w:sz w:val="22"/>
                <w:lang w:val="es-GT" w:eastAsia="es-GT"/>
              </w:rPr>
              <w:t>Aprobado</w:t>
            </w:r>
          </w:p>
        </w:tc>
        <w:tc>
          <w:tcPr>
            <w:tcW w:w="1520" w:type="dxa"/>
            <w:tcBorders>
              <w:top w:val="single" w:sz="4" w:space="0" w:color="auto"/>
              <w:left w:val="single" w:sz="8" w:space="0" w:color="auto"/>
              <w:bottom w:val="single" w:sz="4" w:space="0" w:color="auto"/>
              <w:right w:val="single" w:sz="8" w:space="0" w:color="auto"/>
            </w:tcBorders>
            <w:shd w:val="clear" w:color="000000" w:fill="2F75B5"/>
            <w:noWrap/>
            <w:vAlign w:val="center"/>
            <w:hideMark/>
          </w:tcPr>
          <w:p w:rsidR="00DA37F9" w:rsidRPr="00DA37F9" w:rsidRDefault="00DA37F9" w:rsidP="008A1BE3">
            <w:pPr>
              <w:jc w:val="center"/>
              <w:rPr>
                <w:b/>
                <w:bCs/>
                <w:color w:val="FFFFFF"/>
                <w:sz w:val="22"/>
                <w:lang w:val="es-GT" w:eastAsia="es-GT"/>
              </w:rPr>
            </w:pPr>
            <w:r w:rsidRPr="00DA37F9">
              <w:rPr>
                <w:b/>
                <w:bCs/>
                <w:color w:val="FFFFFF"/>
                <w:sz w:val="22"/>
                <w:lang w:val="es-GT" w:eastAsia="es-GT"/>
              </w:rPr>
              <w:t>Vigente</w:t>
            </w:r>
          </w:p>
        </w:tc>
        <w:tc>
          <w:tcPr>
            <w:tcW w:w="1478" w:type="dxa"/>
            <w:vMerge/>
            <w:tcBorders>
              <w:top w:val="single" w:sz="4" w:space="0" w:color="auto"/>
              <w:left w:val="single" w:sz="8" w:space="0" w:color="auto"/>
              <w:bottom w:val="single" w:sz="4" w:space="0" w:color="auto"/>
              <w:right w:val="single" w:sz="8" w:space="0" w:color="auto"/>
            </w:tcBorders>
            <w:vAlign w:val="center"/>
            <w:hideMark/>
          </w:tcPr>
          <w:p w:rsidR="00DA37F9" w:rsidRPr="00DA37F9" w:rsidRDefault="00DA37F9" w:rsidP="00DA37F9">
            <w:pPr>
              <w:rPr>
                <w:b/>
                <w:bCs/>
                <w:color w:val="FFFFFF"/>
                <w:sz w:val="22"/>
                <w:lang w:val="es-GT" w:eastAsia="es-GT"/>
              </w:rPr>
            </w:pPr>
          </w:p>
        </w:tc>
      </w:tr>
      <w:tr w:rsidR="00DA37F9" w:rsidRPr="00DA37F9" w:rsidTr="009D7D1A">
        <w:trPr>
          <w:trHeight w:val="315"/>
        </w:trPr>
        <w:tc>
          <w:tcPr>
            <w:tcW w:w="4582"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Total</w:t>
            </w:r>
          </w:p>
        </w:tc>
        <w:tc>
          <w:tcPr>
            <w:tcW w:w="1520"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87,715.1</w:t>
            </w:r>
          </w:p>
        </w:tc>
        <w:tc>
          <w:tcPr>
            <w:tcW w:w="1520"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88,244.5</w:t>
            </w:r>
          </w:p>
        </w:tc>
        <w:tc>
          <w:tcPr>
            <w:tcW w:w="1478" w:type="dxa"/>
            <w:tcBorders>
              <w:top w:val="single" w:sz="4" w:space="0" w:color="auto"/>
              <w:left w:val="single" w:sz="8" w:space="0" w:color="auto"/>
              <w:bottom w:val="nil"/>
              <w:right w:val="single" w:sz="8" w:space="0" w:color="auto"/>
            </w:tcBorders>
            <w:shd w:val="clear" w:color="000000" w:fill="DBDBDB"/>
            <w:noWrap/>
            <w:vAlign w:val="bottom"/>
            <w:hideMark/>
          </w:tcPr>
          <w:p w:rsidR="00DA37F9" w:rsidRPr="00DA37F9" w:rsidRDefault="00DA37F9" w:rsidP="00DA37F9">
            <w:pPr>
              <w:jc w:val="center"/>
              <w:rPr>
                <w:b/>
                <w:bCs/>
                <w:sz w:val="22"/>
                <w:lang w:val="es-GT" w:eastAsia="es-GT"/>
              </w:rPr>
            </w:pPr>
            <w:r w:rsidRPr="00DA37F9">
              <w:rPr>
                <w:b/>
                <w:bCs/>
                <w:sz w:val="22"/>
                <w:lang w:val="es-GT" w:eastAsia="es-GT"/>
              </w:rPr>
              <w:t>81,495.7</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Presidencia de la República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231.0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230.5</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225.5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Relaciones Exteriores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577.7</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589.7</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550.0</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Gobernación</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5,344.8</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5,344.8</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4,690.5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Defensa Nacional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2,627.7</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2,627.7</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2,458.5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Finanzas Públicas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381.2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389.0</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328.4</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 xml:space="preserve">Educación </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16,530.6</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16,761.4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16,178.9</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Salud Pública y Asistencia Social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8,197.2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8,263.2</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7,462.6</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Trabajo y Previsión Social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752.2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752.2</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643.0</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Economía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403.4</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403.4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361.9</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Agricultura, Ganadería y Alimentación</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1,365.4</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1,365.4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1,189.1</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Comunicaciones, Infraestructura y Vivienda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6,053.4</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6,053.4</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5,088.5</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Energía y Minas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81.0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84.0</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71.0</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Cultura y Deportes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623.0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644.7</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487.1</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Secretarías y Otras Dependencias del Ejecutivo</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1,526.7</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1,542.5</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1,263.7</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Ambiente y Recursos Naturales</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127.3</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190.1</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161.2</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Obligaciones del Estado a Cargo del Tesoro</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28,205.2</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28,377.0</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27,014.2</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Servicios de la Deuda Pública</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13,411.0</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13,349.2</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12,288.1</w:t>
            </w:r>
          </w:p>
        </w:tc>
      </w:tr>
      <w:tr w:rsidR="00DA37F9" w:rsidRPr="00DA37F9" w:rsidTr="009D7D1A">
        <w:trPr>
          <w:trHeight w:val="315"/>
        </w:trPr>
        <w:tc>
          <w:tcPr>
            <w:tcW w:w="4582"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Ministerio de Desarrollo Social</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1,159.1</w:t>
            </w:r>
          </w:p>
        </w:tc>
        <w:tc>
          <w:tcPr>
            <w:tcW w:w="1520"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1,159.1</w:t>
            </w:r>
          </w:p>
        </w:tc>
        <w:tc>
          <w:tcPr>
            <w:tcW w:w="1478" w:type="dxa"/>
            <w:tcBorders>
              <w:top w:val="nil"/>
              <w:left w:val="single" w:sz="8" w:space="0" w:color="auto"/>
              <w:bottom w:val="nil"/>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924.7</w:t>
            </w:r>
          </w:p>
        </w:tc>
      </w:tr>
      <w:tr w:rsidR="00DA37F9" w:rsidRPr="00DA37F9" w:rsidTr="009D7D1A">
        <w:trPr>
          <w:trHeight w:val="330"/>
        </w:trPr>
        <w:tc>
          <w:tcPr>
            <w:tcW w:w="4582"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rPr>
                <w:sz w:val="22"/>
                <w:lang w:val="es-GT" w:eastAsia="es-GT"/>
              </w:rPr>
            </w:pPr>
            <w:r w:rsidRPr="00DA37F9">
              <w:rPr>
                <w:sz w:val="22"/>
                <w:lang w:val="es-GT" w:eastAsia="es-GT"/>
              </w:rPr>
              <w:t>Procuraduría General de la Nación</w:t>
            </w:r>
          </w:p>
        </w:tc>
        <w:tc>
          <w:tcPr>
            <w:tcW w:w="1520"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117.3</w:t>
            </w:r>
          </w:p>
        </w:tc>
        <w:tc>
          <w:tcPr>
            <w:tcW w:w="1520"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117.3</w:t>
            </w:r>
          </w:p>
        </w:tc>
        <w:tc>
          <w:tcPr>
            <w:tcW w:w="1478" w:type="dxa"/>
            <w:tcBorders>
              <w:top w:val="nil"/>
              <w:left w:val="single" w:sz="8" w:space="0" w:color="auto"/>
              <w:bottom w:val="single" w:sz="8" w:space="0" w:color="auto"/>
              <w:right w:val="single" w:sz="8" w:space="0" w:color="auto"/>
            </w:tcBorders>
            <w:shd w:val="clear" w:color="auto" w:fill="auto"/>
            <w:noWrap/>
            <w:vAlign w:val="bottom"/>
            <w:hideMark/>
          </w:tcPr>
          <w:p w:rsidR="00DA37F9" w:rsidRPr="00DA37F9" w:rsidRDefault="00DA37F9" w:rsidP="00DA37F9">
            <w:pPr>
              <w:jc w:val="center"/>
              <w:rPr>
                <w:color w:val="000000"/>
                <w:sz w:val="22"/>
                <w:lang w:val="es-GT" w:eastAsia="es-GT"/>
              </w:rPr>
            </w:pPr>
            <w:r w:rsidRPr="00DA37F9">
              <w:rPr>
                <w:color w:val="000000"/>
                <w:sz w:val="22"/>
                <w:lang w:val="es-GT" w:eastAsia="es-GT"/>
              </w:rPr>
              <w:t>108.9</w:t>
            </w:r>
          </w:p>
        </w:tc>
      </w:tr>
    </w:tbl>
    <w:p w:rsidR="00491C02" w:rsidRPr="003024D7" w:rsidRDefault="00491C02" w:rsidP="00491C02">
      <w:pPr>
        <w:jc w:val="both"/>
        <w:rPr>
          <w:sz w:val="18"/>
          <w:lang w:val="es-MX"/>
        </w:rPr>
      </w:pPr>
      <w:r w:rsidRPr="003024D7">
        <w:rPr>
          <w:sz w:val="18"/>
          <w:lang w:val="es-MX"/>
        </w:rPr>
        <w:t>Fuente: Ministerio de Finanzas Públicas</w:t>
      </w:r>
      <w:r>
        <w:rPr>
          <w:sz w:val="18"/>
          <w:lang w:val="es-MX"/>
        </w:rPr>
        <w:t>.</w:t>
      </w:r>
    </w:p>
    <w:p w:rsidR="00491C02" w:rsidRPr="00EF23D0" w:rsidRDefault="00491C02" w:rsidP="00491C02">
      <w:pPr>
        <w:autoSpaceDE w:val="0"/>
        <w:autoSpaceDN w:val="0"/>
        <w:adjustRightInd w:val="0"/>
        <w:jc w:val="both"/>
        <w:rPr>
          <w:lang w:val="es-MX"/>
        </w:rPr>
      </w:pPr>
    </w:p>
    <w:p w:rsidR="00EF23D0" w:rsidRDefault="00EF23D0" w:rsidP="00EF23D0">
      <w:pPr>
        <w:autoSpaceDE w:val="0"/>
        <w:autoSpaceDN w:val="0"/>
        <w:adjustRightInd w:val="0"/>
        <w:jc w:val="both"/>
      </w:pPr>
      <w:r>
        <w:t>En el año 2018, se dio el evento de la erupción del Volcán de Fuego, de esa cuenta durante el segundo semestre de</w:t>
      </w:r>
      <w:r w:rsidR="00D67F96">
        <w:t xml:space="preserve"> ese</w:t>
      </w:r>
      <w:r>
        <w:t xml:space="preserve"> año la expectativa era de un incremento en la inversión, debido a los trabajos de reconstrucción necesarios por los daños ocasionados. Para tener mejor control sobre el gasto ejecutado por </w:t>
      </w:r>
      <w:r w:rsidR="0070148A">
        <w:t>dicho</w:t>
      </w:r>
      <w:r>
        <w:t xml:space="preserve"> evento, el Ministerio de Finanzas Públicas creó un programa para que las instituciones que lo consideraran oportuno, programaran todo lo relacionado con la reconstrucción derivada del fenómeno en el programa 94 “Atención por </w:t>
      </w:r>
      <w:r w:rsidR="0070148A">
        <w:t>D</w:t>
      </w:r>
      <w:r>
        <w:t xml:space="preserve">esastres </w:t>
      </w:r>
      <w:r w:rsidR="0070148A">
        <w:t>N</w:t>
      </w:r>
      <w:r>
        <w:t xml:space="preserve">aturales y </w:t>
      </w:r>
      <w:r w:rsidR="0070148A">
        <w:t>C</w:t>
      </w:r>
      <w:r>
        <w:t xml:space="preserve">alamidades </w:t>
      </w:r>
      <w:r w:rsidR="0070148A">
        <w:t>P</w:t>
      </w:r>
      <w:r>
        <w:t>úblicas”</w:t>
      </w:r>
      <w:r w:rsidR="0070148A">
        <w:t>,</w:t>
      </w:r>
      <w:r>
        <w:t xml:space="preserve"> </w:t>
      </w:r>
      <w:r w:rsidR="0070148A">
        <w:t>s</w:t>
      </w:r>
      <w:r>
        <w:t>ubprograma 07 “Estado de Calamidad Pública, Erupción del Volcán de Fuego (DG 1-2018)”</w:t>
      </w:r>
      <w:r w:rsidR="0070148A">
        <w:t>;</w:t>
      </w:r>
      <w:r>
        <w:t xml:space="preserve"> en el 2019 se reporta una ejecución cercana a los Q</w:t>
      </w:r>
      <w:r w:rsidR="0070148A">
        <w:t>.</w:t>
      </w:r>
      <w:r>
        <w:t>300 millones, concentrada en el Ministerio de Comunicaciones,</w:t>
      </w:r>
      <w:r w:rsidR="0070148A">
        <w:t xml:space="preserve"> </w:t>
      </w:r>
      <w:r w:rsidR="0070148A">
        <w:lastRenderedPageBreak/>
        <w:t>Infraestructura y Vivienda, Ministerio de</w:t>
      </w:r>
      <w:r>
        <w:t xml:space="preserve"> Desarrollo Social y la Coordinadora Nacional para la Reducción de Desastres</w:t>
      </w:r>
      <w:r w:rsidR="0070148A">
        <w:t xml:space="preserve"> (CONRED)</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w:t>
      </w:r>
      <w:r w:rsidR="0070148A">
        <w:t xml:space="preserve">n 2019 </w:t>
      </w:r>
      <w:r>
        <w:t>la inversión pública ha estado liderada por el Ministerio de Comunicaciones, Infraestructura y Vivienda, principalmente en la infraestructura vial que tiene impacto directo en la inversión pública, lo cual es resultado de la aceleración de la ejecución de varios proyectos como el libramiento de Chimaltenango, los tramos realizados de la carretera al Atlántico, entre otros.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La estimación de cierre para el presente ejercicio fiscal se ubicaría en Q</w:t>
      </w:r>
      <w:r w:rsidR="0070148A">
        <w:t>.</w:t>
      </w:r>
      <w:r>
        <w:t>81,495.7 millones, alcanzando una ejecución de 9</w:t>
      </w:r>
      <w:r w:rsidR="0070148A">
        <w:t>2.4%.</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5" w:name="_Toc20495578"/>
      <w:r w:rsidRPr="00EF23D0">
        <w:rPr>
          <w:rFonts w:ascii="Times New Roman" w:hAnsi="Times New Roman"/>
          <w:color w:val="000000" w:themeColor="text1"/>
          <w:sz w:val="24"/>
          <w:szCs w:val="24"/>
        </w:rPr>
        <w:t>E.</w:t>
      </w:r>
      <w:r w:rsidRPr="00EF23D0">
        <w:rPr>
          <w:rFonts w:ascii="Times New Roman" w:hAnsi="Times New Roman"/>
          <w:color w:val="000000" w:themeColor="text1"/>
          <w:sz w:val="24"/>
          <w:szCs w:val="24"/>
        </w:rPr>
        <w:tab/>
        <w:t>Gasto por Finalidad</w:t>
      </w:r>
      <w:bookmarkEnd w:id="25"/>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La finalidad del gasto permite visualizar el gasto público de acuerdo a la naturaleza de los servicios públicos que las entidades que conforman la Administración Central prestan a la ciudadanía. Los gastos se encuentran clasificados por finalidad para determinar </w:t>
      </w:r>
      <w:r w:rsidR="008108FB">
        <w:t xml:space="preserve">los </w:t>
      </w:r>
      <w:r>
        <w:t>objetivos generales de la política de gobierno y la ejecución que se muestra</w:t>
      </w:r>
      <w:r w:rsidR="008108FB">
        <w:t>n</w:t>
      </w:r>
      <w:r>
        <w:t xml:space="preserve"> en los diferentes rubros </w:t>
      </w:r>
      <w:r w:rsidR="008108FB">
        <w:t>refleja</w:t>
      </w:r>
      <w:r>
        <w:t xml:space="preserve"> </w:t>
      </w:r>
      <w:r w:rsidR="008108FB">
        <w:t>su</w:t>
      </w:r>
      <w:r>
        <w:t xml:space="preserve"> priorización.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La estimación de cierre de</w:t>
      </w:r>
      <w:r w:rsidR="00D2186B">
        <w:t>l</w:t>
      </w:r>
      <w:r>
        <w:t xml:space="preserve"> año</w:t>
      </w:r>
      <w:r w:rsidR="00D2186B">
        <w:t xml:space="preserve"> 2019</w:t>
      </w:r>
      <w:r>
        <w:t xml:space="preserve"> da cuenta que la mayoría de finalidades reportan una ejecución superior al 80</w:t>
      </w:r>
      <w:r w:rsidR="00D2186B">
        <w:t>.0</w:t>
      </w:r>
      <w:r>
        <w:t>%</w:t>
      </w:r>
      <w:r w:rsidR="00D2186B">
        <w:t>. L</w:t>
      </w:r>
      <w:r>
        <w:t>as finalidades encargadas de brindar los servicios más básicos a la población se encuentran liderando la ejecución a junio</w:t>
      </w:r>
      <w:r w:rsidR="00D2186B">
        <w:t xml:space="preserve"> de 2019</w:t>
      </w:r>
      <w:r>
        <w:t>, tal es el caso de la Urbanización y los Servicios Comunitarios (46.1%), los Servicios Públicos Generales (45.9%), Educación (44.3%), la Protección Social (43.3%) y el Orden Público y la Seguridad Ciudadana (43.2%)</w:t>
      </w:r>
      <w:r w:rsidR="00D2186B">
        <w:t>;</w:t>
      </w:r>
      <w:r>
        <w:t xml:space="preserve"> </w:t>
      </w:r>
      <w:r w:rsidR="00D2186B">
        <w:t>m</w:t>
      </w:r>
      <w:r>
        <w:t>ientras que las finalidades que reportan una ejecución baja son: la Protección Ambiental (24.0%) y la Atención a Desastres y Gestión de Riesgo</w:t>
      </w:r>
      <w:r w:rsidR="00D2186B">
        <w:t>s (27.5%).</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En ese sentido, se puede observar que la finalidad que tiene una mayor importancia en el presupuesto es la </w:t>
      </w:r>
      <w:r w:rsidR="00B80109">
        <w:t xml:space="preserve">de </w:t>
      </w:r>
      <w:r>
        <w:t>Educación (Q</w:t>
      </w:r>
      <w:r w:rsidR="00B80109">
        <w:t>.</w:t>
      </w:r>
      <w:r>
        <w:t>20,448.6 millones)</w:t>
      </w:r>
      <w:r w:rsidR="00B80109">
        <w:t>,</w:t>
      </w:r>
      <w:r>
        <w:t xml:space="preserve"> representando cerca del 23.2% del monto total del presupuesto de 2019</w:t>
      </w:r>
      <w:r w:rsidR="00B80109">
        <w:t>,</w:t>
      </w:r>
      <w:r>
        <w:t xml:space="preserve"> y al finalizar el año se espera que la ejecución en esta finalidad se encuentre por arriba del 95</w:t>
      </w:r>
      <w:r w:rsidR="00B80109">
        <w:t>.0</w:t>
      </w:r>
      <w:r>
        <w:t>% de su asignación, mostrando con ello que una de las prioridades fundamentales en la asignación y ejecu</w:t>
      </w:r>
      <w:r w:rsidR="00B80109">
        <w:t>ción es el sector educación.</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Asimismo, la finalidad de </w:t>
      </w:r>
      <w:r w:rsidR="00B80109">
        <w:t>O</w:t>
      </w:r>
      <w:r>
        <w:t xml:space="preserve">rden </w:t>
      </w:r>
      <w:r w:rsidR="00B80109">
        <w:t>P</w:t>
      </w:r>
      <w:r>
        <w:t xml:space="preserve">úblico y </w:t>
      </w:r>
      <w:r w:rsidR="00B80109">
        <w:t>S</w:t>
      </w:r>
      <w:r>
        <w:t xml:space="preserve">eguridad </w:t>
      </w:r>
      <w:r w:rsidR="00B80109">
        <w:t>C</w:t>
      </w:r>
      <w:r>
        <w:t>iudadana, tiene una asignación de Q</w:t>
      </w:r>
      <w:r w:rsidR="00B80109">
        <w:t>.</w:t>
      </w:r>
      <w:r>
        <w:t>9,943.7 millones, equivalente al 11.3% del presupuesto y muestra una ejecución de 43.2%, mostrando también la prioridad del gobierno en fortalecer la seguridad y la justicia. Al finalizar el año se espera que esta finalidad reporte una ejecución superior al 90</w:t>
      </w:r>
      <w:r w:rsidR="00672AAE">
        <w:t>.0</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Respecto </w:t>
      </w:r>
      <w:r w:rsidR="00672AAE">
        <w:t>de</w:t>
      </w:r>
      <w:r>
        <w:t xml:space="preserve"> las finalidades relacionadas a la Protección Ambiental y la Atención a Desastres y Gestión de Riesgos dado el comportamiento de la ejecución a junio</w:t>
      </w:r>
      <w:r w:rsidR="00672AAE">
        <w:t xml:space="preserve"> de 2019</w:t>
      </w:r>
      <w:r>
        <w:t>, se espera que sean las finalidades que reporten los niveles de ejecución muy po</w:t>
      </w:r>
      <w:r w:rsidR="00672AAE">
        <w:t>r debajo de la ejecución total.</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lastRenderedPageBreak/>
        <w:t>Otra finalidad que cuenta con un presupuesto importante es la relacionada a la Salud, la cual cuenta con un nivel de ejecución de 37.6% y en la estimación de cierre se espera una ejecución cercana al 85</w:t>
      </w:r>
      <w:r w:rsidR="00672AAE">
        <w:t>.0</w:t>
      </w:r>
      <w:r>
        <w:t xml:space="preserve">%, principalmente por </w:t>
      </w:r>
      <w:r w:rsidR="00672AAE">
        <w:t xml:space="preserve">los </w:t>
      </w:r>
      <w:r>
        <w:t>programas del Ministerio Salud Pública</w:t>
      </w:r>
      <w:r w:rsidR="00672AAE">
        <w:t xml:space="preserve"> y Asistencia Social</w:t>
      </w:r>
      <w:r>
        <w:t>, que no reportan el dinamismo esperado.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Por su parte la finalidad de Asuntos Económicos reporta una ejecución del 41.6% y al cierre</w:t>
      </w:r>
      <w:r w:rsidR="00672AAE">
        <w:t xml:space="preserve"> estimado de 2019</w:t>
      </w:r>
      <w:r>
        <w:t xml:space="preserve"> se espera que sea cercana al 85</w:t>
      </w:r>
      <w:r w:rsidR="00672AAE">
        <w:t>.0</w:t>
      </w:r>
      <w:r>
        <w:t>%. En lo que respecta a las Transacciones de la Deuda Pública</w:t>
      </w:r>
      <w:r w:rsidR="00672AAE">
        <w:t>, se</w:t>
      </w:r>
      <w:r>
        <w:t xml:space="preserve"> reporta una ejecución de 45.4% y al cierre </w:t>
      </w:r>
      <w:r w:rsidR="00672AAE">
        <w:t xml:space="preserve">estimado </w:t>
      </w:r>
      <w:r>
        <w:t xml:space="preserve">del año se espera que sea de 92.1%, en </w:t>
      </w:r>
      <w:r w:rsidR="00672AAE">
        <w:t>consonancia</w:t>
      </w:r>
      <w:r>
        <w:t xml:space="preserve"> con el compromiso del gobierno </w:t>
      </w:r>
      <w:r w:rsidR="00672AAE">
        <w:t>de</w:t>
      </w:r>
      <w:r>
        <w:t xml:space="preserve"> hacer frente a sus obligaciones financieras.</w:t>
      </w:r>
    </w:p>
    <w:p w:rsidR="003C1FEE" w:rsidRDefault="003C1FEE" w:rsidP="00EF23D0">
      <w:pPr>
        <w:autoSpaceDE w:val="0"/>
        <w:autoSpaceDN w:val="0"/>
        <w:adjustRightInd w:val="0"/>
        <w:jc w:val="both"/>
      </w:pPr>
    </w:p>
    <w:p w:rsidR="003C1FEE" w:rsidRDefault="003C1FEE" w:rsidP="00EF23D0">
      <w:pPr>
        <w:autoSpaceDE w:val="0"/>
        <w:autoSpaceDN w:val="0"/>
        <w:adjustRightInd w:val="0"/>
        <w:jc w:val="both"/>
      </w:pPr>
    </w:p>
    <w:p w:rsidR="00171BA9" w:rsidRPr="00171BA9" w:rsidRDefault="00171BA9" w:rsidP="00171BA9">
      <w:pPr>
        <w:jc w:val="center"/>
        <w:rPr>
          <w:b/>
          <w:sz w:val="22"/>
          <w:lang w:val="es-MX"/>
        </w:rPr>
      </w:pPr>
      <w:r w:rsidRPr="00171BA9">
        <w:rPr>
          <w:b/>
          <w:sz w:val="22"/>
          <w:lang w:val="es-MX"/>
        </w:rPr>
        <w:t xml:space="preserve">Cuadro </w:t>
      </w:r>
      <w:r w:rsidR="00491C02">
        <w:rPr>
          <w:b/>
          <w:sz w:val="22"/>
          <w:lang w:val="es-MX"/>
        </w:rPr>
        <w:t>1</w:t>
      </w:r>
      <w:r w:rsidR="00E94EA5">
        <w:rPr>
          <w:b/>
          <w:sz w:val="22"/>
          <w:lang w:val="es-MX"/>
        </w:rPr>
        <w:t>7</w:t>
      </w:r>
    </w:p>
    <w:p w:rsidR="00171BA9" w:rsidRPr="00171BA9" w:rsidRDefault="00171BA9" w:rsidP="00171BA9">
      <w:pPr>
        <w:jc w:val="center"/>
        <w:rPr>
          <w:b/>
          <w:sz w:val="22"/>
          <w:lang w:val="es-MX"/>
        </w:rPr>
      </w:pPr>
      <w:r w:rsidRPr="00171BA9">
        <w:rPr>
          <w:b/>
          <w:sz w:val="22"/>
          <w:lang w:val="es-MX"/>
        </w:rPr>
        <w:t>Presupuesto y Estimación del Gasto por Finalidad</w:t>
      </w:r>
    </w:p>
    <w:p w:rsidR="00171BA9" w:rsidRPr="00171BA9" w:rsidRDefault="00171BA9" w:rsidP="00171BA9">
      <w:pPr>
        <w:jc w:val="center"/>
        <w:rPr>
          <w:b/>
          <w:sz w:val="22"/>
          <w:lang w:val="es-MX"/>
        </w:rPr>
      </w:pPr>
      <w:r w:rsidRPr="00171BA9">
        <w:rPr>
          <w:b/>
          <w:sz w:val="22"/>
          <w:lang w:val="es-MX"/>
        </w:rPr>
        <w:t>Ejercicio Fiscal 201</w:t>
      </w:r>
      <w:r>
        <w:rPr>
          <w:b/>
          <w:sz w:val="22"/>
          <w:lang w:val="es-MX"/>
        </w:rPr>
        <w:t>9</w:t>
      </w:r>
    </w:p>
    <w:p w:rsidR="00171BA9" w:rsidRPr="00171BA9" w:rsidRDefault="00171BA9" w:rsidP="00171BA9">
      <w:pPr>
        <w:pStyle w:val="Prrafodelista"/>
        <w:jc w:val="center"/>
        <w:rPr>
          <w:sz w:val="16"/>
        </w:rPr>
      </w:pPr>
      <w:r w:rsidRPr="00171BA9">
        <w:rPr>
          <w:b/>
          <w:sz w:val="22"/>
          <w:lang w:val="es-MX"/>
        </w:rPr>
        <w:t>(Cifras en Millones de Quetzales)</w:t>
      </w:r>
    </w:p>
    <w:p w:rsidR="00417E4F" w:rsidRDefault="00417E4F" w:rsidP="00EF23D0">
      <w:pPr>
        <w:autoSpaceDE w:val="0"/>
        <w:autoSpaceDN w:val="0"/>
        <w:adjustRightInd w:val="0"/>
        <w:jc w:val="both"/>
      </w:pPr>
      <w:r w:rsidRPr="00417E4F">
        <w:rPr>
          <w:noProof/>
          <w:lang w:val="es-GT" w:eastAsia="es-GT"/>
        </w:rPr>
        <w:drawing>
          <wp:inline distT="0" distB="0" distL="0" distR="0" wp14:anchorId="27959392" wp14:editId="304B051B">
            <wp:extent cx="5759354" cy="22518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252415"/>
                    </a:xfrm>
                    <a:prstGeom prst="rect">
                      <a:avLst/>
                    </a:prstGeom>
                    <a:noFill/>
                    <a:ln>
                      <a:noFill/>
                    </a:ln>
                  </pic:spPr>
                </pic:pic>
              </a:graphicData>
            </a:graphic>
          </wp:inline>
        </w:drawing>
      </w:r>
    </w:p>
    <w:p w:rsidR="00491C02" w:rsidRPr="003024D7" w:rsidRDefault="00491C02" w:rsidP="00491C02">
      <w:pPr>
        <w:jc w:val="both"/>
        <w:rPr>
          <w:sz w:val="18"/>
          <w:lang w:val="es-MX"/>
        </w:rPr>
      </w:pPr>
      <w:r w:rsidRPr="003024D7">
        <w:rPr>
          <w:sz w:val="18"/>
          <w:lang w:val="es-MX"/>
        </w:rPr>
        <w:t>Fuente: Ministerio de Finanzas Públicas</w:t>
      </w:r>
      <w:r>
        <w:rPr>
          <w:sz w:val="18"/>
          <w:lang w:val="es-MX"/>
        </w:rPr>
        <w:t>.</w:t>
      </w:r>
    </w:p>
    <w:p w:rsidR="00491C02" w:rsidRPr="00EF23D0" w:rsidRDefault="00491C02" w:rsidP="00491C02">
      <w:pPr>
        <w:autoSpaceDE w:val="0"/>
        <w:autoSpaceDN w:val="0"/>
        <w:adjustRightInd w:val="0"/>
        <w:jc w:val="both"/>
        <w:rPr>
          <w:lang w:val="es-MX"/>
        </w:rPr>
      </w:pPr>
    </w:p>
    <w:p w:rsidR="005C0B4E" w:rsidRDefault="005C0B4E"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6" w:name="_Toc20495579"/>
      <w:r w:rsidRPr="00EF23D0">
        <w:rPr>
          <w:rFonts w:ascii="Times New Roman" w:hAnsi="Times New Roman"/>
          <w:color w:val="000000" w:themeColor="text1"/>
          <w:sz w:val="24"/>
          <w:szCs w:val="24"/>
        </w:rPr>
        <w:t>F.</w:t>
      </w:r>
      <w:r w:rsidRPr="00EF23D0">
        <w:rPr>
          <w:rFonts w:ascii="Times New Roman" w:hAnsi="Times New Roman"/>
          <w:color w:val="000000" w:themeColor="text1"/>
          <w:sz w:val="24"/>
          <w:szCs w:val="24"/>
        </w:rPr>
        <w:tab/>
        <w:t>Déficit Fiscal y su Financiamiento</w:t>
      </w:r>
      <w:bookmarkEnd w:id="26"/>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 xml:space="preserve">Dada la dinámica de ingresos y gastos, el déficit a junio </w:t>
      </w:r>
      <w:r w:rsidR="00792B47">
        <w:t xml:space="preserve">de 2019 </w:t>
      </w:r>
      <w:r>
        <w:t>se ubica en Q</w:t>
      </w:r>
      <w:r w:rsidR="00792B47">
        <w:t>.</w:t>
      </w:r>
      <w:r>
        <w:t>4,497.8 millones (-0.7% del PIB)</w:t>
      </w:r>
      <w:r w:rsidR="00792B47">
        <w:t>;</w:t>
      </w:r>
      <w:r>
        <w:t xml:space="preserve"> se tiene contemplado que el déficit para el cierre del año sea de 2.1%, mientras que el presupuesto aprobado daba cuenta de un déficit de 2.4%.</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 excepción de enero, único mes del año que report</w:t>
      </w:r>
      <w:r w:rsidR="00792B47">
        <w:t>ó</w:t>
      </w:r>
      <w:r>
        <w:t xml:space="preserve"> superávit fiscal, el resto de los meses han reportado déficit fiscal</w:t>
      </w:r>
      <w:r w:rsidR="00792B47">
        <w:t>;</w:t>
      </w:r>
      <w:r>
        <w:t xml:space="preserve"> de esa cuenta al mes de junio</w:t>
      </w:r>
      <w:r w:rsidR="00792B47">
        <w:t xml:space="preserve"> de 2019</w:t>
      </w:r>
      <w:r>
        <w:t xml:space="preserve"> el déficit es bastante amplio, comportamiento que contrasta con lo observado en los últimos años</w:t>
      </w:r>
      <w:r w:rsidR="00792B47">
        <w:t>. E</w:t>
      </w:r>
      <w:r>
        <w:t>n 2016 y 2017</w:t>
      </w:r>
      <w:r w:rsidR="00792B47">
        <w:t xml:space="preserve"> al mes de junio</w:t>
      </w:r>
      <w:r>
        <w:t xml:space="preserve"> se obtuvo superávit fiscal, mientras que en 2018 se reportó déficit fiscal, aunque en un menor nivel.</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Este año el déficit ha estado determinado por el bajo desempeño que se observa en la recaudación tributaria y un gasto público que mues</w:t>
      </w:r>
      <w:r w:rsidR="00792B47">
        <w:t>tra un comportamiento dinámico.</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EF23D0" w:rsidRDefault="00EF23D0" w:rsidP="00EF23D0">
      <w:pPr>
        <w:autoSpaceDE w:val="0"/>
        <w:autoSpaceDN w:val="0"/>
        <w:adjustRightInd w:val="0"/>
        <w:jc w:val="both"/>
      </w:pPr>
      <w:r>
        <w:t>El déficit estimado para el cierre del año considera el efectivo cumplimiento de una serie de supuestos tales como el cumplimiento en el aumento salarial a los maestros contemplado en el Pacto Colectivo</w:t>
      </w:r>
      <w:r w:rsidR="00D16189">
        <w:t xml:space="preserve"> suscrito por el Ministerio de Educación</w:t>
      </w:r>
      <w:r>
        <w:t>, así como que se mantenga el dinamismo en el Ministerio de Comunicaciones</w:t>
      </w:r>
      <w:r w:rsidR="00D16189">
        <w:t>, Infraestructura y Vivienda</w:t>
      </w:r>
      <w:r>
        <w:t>.</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En cuanto al financiamiento del déficit presupuest</w:t>
      </w:r>
      <w:r w:rsidR="00491795">
        <w:t>ario</w:t>
      </w:r>
      <w:r>
        <w:t>, a</w:t>
      </w:r>
      <w:r w:rsidR="00491795">
        <w:t>l mes de</w:t>
      </w:r>
      <w:r>
        <w:t xml:space="preserve"> junio</w:t>
      </w:r>
      <w:r w:rsidR="00491795">
        <w:t xml:space="preserve"> de</w:t>
      </w:r>
      <w:r>
        <w:t xml:space="preserve"> 2019 se obtuvo un flujo negativo en el endeudamiento de préstamos externos neto por el equivalente a Q</w:t>
      </w:r>
      <w:r w:rsidR="00491795">
        <w:t>.</w:t>
      </w:r>
      <w:r>
        <w:t>1,311.9 millones, dado que a la fecha solo se han recibido desembolsos de préstamos por Q</w:t>
      </w:r>
      <w:r w:rsidR="00491795">
        <w:t>.</w:t>
      </w:r>
      <w:r>
        <w:t>135.9 millones, mientras que las amortizaciones han ascendido a Q</w:t>
      </w:r>
      <w:r w:rsidR="00491795">
        <w:t>.</w:t>
      </w:r>
      <w:r>
        <w:t>1,447.8 millones. El financiamiento externo neto es positivo en Q</w:t>
      </w:r>
      <w:r w:rsidR="00491795">
        <w:t>.</w:t>
      </w:r>
      <w:r>
        <w:t>7,955.3 millones dado que en el primer semestre</w:t>
      </w:r>
      <w:r w:rsidR="00491795">
        <w:t xml:space="preserve"> de 2019</w:t>
      </w:r>
      <w:r>
        <w:t xml:space="preserve"> se realizó la colocación de un eu</w:t>
      </w:r>
      <w:r w:rsidR="00491795">
        <w:t>robono por US$1,200.0 millones.</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Asimismo, se han realizado varios eventos de colocación de Bonos del Tesoro los cuales muestran una demanda acumulada de Q</w:t>
      </w:r>
      <w:r w:rsidR="00491795">
        <w:t>.</w:t>
      </w:r>
      <w:r>
        <w:t>53,715.0</w:t>
      </w:r>
      <w:r w:rsidR="00491795">
        <w:t>,</w:t>
      </w:r>
      <w:r>
        <w:t xml:space="preserve"> de los cuales se adjudicaron Q</w:t>
      </w:r>
      <w:r w:rsidR="00491795">
        <w:t>.</w:t>
      </w:r>
      <w:r>
        <w:t>17,428.1 millones, monto que ya consid</w:t>
      </w:r>
      <w:r w:rsidR="00491795">
        <w:t>era la colocación del eurobono.</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Derivado de lo anterior, la colocación de Bonos del Tesoro pendiente de realizar es de Q</w:t>
      </w:r>
      <w:r w:rsidR="00491795">
        <w:t>.</w:t>
      </w:r>
      <w:r>
        <w:t>991.0 millones, equivalente</w:t>
      </w:r>
      <w:r w:rsidR="00491795">
        <w:t>s</w:t>
      </w:r>
      <w:r>
        <w:t xml:space="preserve"> al 5.4% del total de la emisión autorizada por el Congreso de la República.</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p>
    <w:p w:rsidR="00EF23D0" w:rsidRPr="00EF23D0" w:rsidRDefault="00EF23D0" w:rsidP="00EF23D0">
      <w:pPr>
        <w:pStyle w:val="Ttulo2"/>
        <w:numPr>
          <w:ilvl w:val="0"/>
          <w:numId w:val="0"/>
        </w:numPr>
        <w:ind w:left="576" w:hanging="576"/>
        <w:rPr>
          <w:rFonts w:ascii="Times New Roman" w:hAnsi="Times New Roman"/>
          <w:color w:val="000000" w:themeColor="text1"/>
          <w:sz w:val="24"/>
          <w:szCs w:val="24"/>
        </w:rPr>
      </w:pPr>
      <w:bookmarkStart w:id="27" w:name="_Toc20495580"/>
      <w:r w:rsidRPr="00EF23D0">
        <w:rPr>
          <w:rFonts w:ascii="Times New Roman" w:hAnsi="Times New Roman"/>
          <w:color w:val="000000" w:themeColor="text1"/>
          <w:sz w:val="24"/>
          <w:szCs w:val="24"/>
        </w:rPr>
        <w:t>G.</w:t>
      </w:r>
      <w:r w:rsidRPr="00EF23D0">
        <w:rPr>
          <w:rFonts w:ascii="Times New Roman" w:hAnsi="Times New Roman"/>
          <w:color w:val="000000" w:themeColor="text1"/>
          <w:sz w:val="24"/>
          <w:szCs w:val="24"/>
        </w:rPr>
        <w:tab/>
        <w:t>Deuda Pública</w:t>
      </w:r>
      <w:bookmarkEnd w:id="27"/>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La deuda pública en 2018 report</w:t>
      </w:r>
      <w:r w:rsidR="001D4677">
        <w:t>ó</w:t>
      </w:r>
      <w:r>
        <w:t xml:space="preserve"> un saldo de Q</w:t>
      </w:r>
      <w:r w:rsidR="001D4677">
        <w:t>.</w:t>
      </w:r>
      <w:r>
        <w:t xml:space="preserve">146,020.7 millones, de los cuales, por estructura de origen, el 56.4% correspondió a deuda interna y 43.6% a deuda externa. Respecto </w:t>
      </w:r>
      <w:r w:rsidR="001D4677">
        <w:t>de</w:t>
      </w:r>
      <w:r>
        <w:t xml:space="preserve"> la estructura por moneda, el 52.1% correspondió a moneda nacion</w:t>
      </w:r>
      <w:r w:rsidR="001D4677">
        <w:t>al y 47.9% a moneda extranjera.</w:t>
      </w:r>
    </w:p>
    <w:p w:rsidR="00EF23D0" w:rsidRDefault="00EF23D0" w:rsidP="00EF23D0">
      <w:pPr>
        <w:autoSpaceDE w:val="0"/>
        <w:autoSpaceDN w:val="0"/>
        <w:adjustRightInd w:val="0"/>
        <w:jc w:val="both"/>
      </w:pPr>
    </w:p>
    <w:p w:rsidR="00EF23D0" w:rsidRDefault="00EF23D0" w:rsidP="00EF23D0">
      <w:pPr>
        <w:autoSpaceDE w:val="0"/>
        <w:autoSpaceDN w:val="0"/>
        <w:adjustRightInd w:val="0"/>
        <w:jc w:val="both"/>
      </w:pPr>
      <w:r>
        <w:t>De acuerdo a la estimación de cierre para 2019, se espera que el saldo de la deuda pública crezca en Q</w:t>
      </w:r>
      <w:r w:rsidR="001D4677">
        <w:t>.</w:t>
      </w:r>
      <w:r>
        <w:t>13,334.5 millones (9.1%) y la estructura de origen de deuda se modifica levemente</w:t>
      </w:r>
      <w:r w:rsidR="001D4677">
        <w:t>,</w:t>
      </w:r>
      <w:r>
        <w:t xml:space="preserve"> disminuyendo el ratio de deuda interna a 54.7% y por moneda disminuye el porcentaje en moneda local a 50.7%, esto se da como resultado del mayor financiamiento externo que se </w:t>
      </w:r>
      <w:r w:rsidR="001D4677">
        <w:t>estima</w:t>
      </w:r>
      <w:r>
        <w:t xml:space="preserve"> recibir en este año</w:t>
      </w:r>
      <w:r w:rsidR="001D4677">
        <w:t>,</w:t>
      </w:r>
      <w:r>
        <w:t xml:space="preserve"> derivado del efecto de la fuerte colocación de Eurobonos en el mercado internacional de capitales (US$1,200 millones)</w:t>
      </w:r>
      <w:r w:rsidR="001D4677">
        <w:t>,</w:t>
      </w:r>
      <w:r>
        <w:t xml:space="preserve"> la más alta en la historia de la colocaciones de Guatemala en dicho mercado</w:t>
      </w:r>
      <w:r w:rsidR="001D4677">
        <w:t>;</w:t>
      </w:r>
      <w:r>
        <w:t xml:space="preserve"> no obstante</w:t>
      </w:r>
      <w:r w:rsidR="001D4677">
        <w:t>,</w:t>
      </w:r>
      <w:r>
        <w:t xml:space="preserve"> el financiamiento externo neto a través de préstamos externos será negativo derivado que los desembolsos estarán por debajo del monto de amortizaciones a realizar.</w:t>
      </w:r>
    </w:p>
    <w:p w:rsidR="00EF23D0" w:rsidRDefault="00EF23D0" w:rsidP="00EF23D0">
      <w:pPr>
        <w:autoSpaceDE w:val="0"/>
        <w:autoSpaceDN w:val="0"/>
        <w:adjustRightInd w:val="0"/>
        <w:jc w:val="both"/>
      </w:pPr>
    </w:p>
    <w:p w:rsidR="00EF23D0" w:rsidRDefault="001D4677" w:rsidP="00EF23D0">
      <w:pPr>
        <w:autoSpaceDE w:val="0"/>
        <w:autoSpaceDN w:val="0"/>
        <w:adjustRightInd w:val="0"/>
        <w:jc w:val="both"/>
      </w:pPr>
      <w:r>
        <w:t>Con</w:t>
      </w:r>
      <w:r w:rsidR="00EF23D0">
        <w:t xml:space="preserve"> relación a la deuda respecto </w:t>
      </w:r>
      <w:r>
        <w:t>de</w:t>
      </w:r>
      <w:r w:rsidR="00EF23D0">
        <w:t xml:space="preserve">l PIB, se espera que </w:t>
      </w:r>
      <w:r>
        <w:t xml:space="preserve">en </w:t>
      </w:r>
      <w:r w:rsidR="00EF23D0">
        <w:t xml:space="preserve">2019 cierre con un máximo de 25.2%, similar al valor establecido en el presupuesto para dicho año (25.3% del PIB). El nivel de deuda pública respecto </w:t>
      </w:r>
      <w:r>
        <w:t>de</w:t>
      </w:r>
      <w:r w:rsidR="00EF23D0">
        <w:t>l PIB muestra que Guatemala a</w:t>
      </w:r>
      <w:r>
        <w:t>ú</w:t>
      </w:r>
      <w:r w:rsidR="00EF23D0">
        <w:t>n goza de un margen amplio de endeudamiento, de acuerdo a los lineamientos establecidos por organismos internacionales para países con las características de Guatemala (40</w:t>
      </w:r>
      <w:r>
        <w:t>.0</w:t>
      </w:r>
      <w:r w:rsidR="00EF23D0">
        <w:t>% del PIB).</w:t>
      </w:r>
    </w:p>
    <w:p w:rsidR="00EF23D0" w:rsidRDefault="00EF23D0" w:rsidP="00EF23D0">
      <w:pPr>
        <w:autoSpaceDE w:val="0"/>
        <w:autoSpaceDN w:val="0"/>
        <w:adjustRightInd w:val="0"/>
        <w:jc w:val="both"/>
      </w:pPr>
    </w:p>
    <w:p w:rsidR="003C1FEE" w:rsidRDefault="003C1FEE" w:rsidP="00EF23D0">
      <w:pPr>
        <w:autoSpaceDE w:val="0"/>
        <w:autoSpaceDN w:val="0"/>
        <w:adjustRightInd w:val="0"/>
        <w:jc w:val="both"/>
      </w:pPr>
    </w:p>
    <w:p w:rsidR="00B21069" w:rsidRPr="00B21069" w:rsidRDefault="00B21069" w:rsidP="00B21069">
      <w:pPr>
        <w:jc w:val="center"/>
        <w:rPr>
          <w:b/>
          <w:sz w:val="22"/>
          <w:lang w:val="es-MX"/>
        </w:rPr>
      </w:pPr>
      <w:r w:rsidRPr="00B21069">
        <w:rPr>
          <w:b/>
          <w:sz w:val="22"/>
          <w:lang w:val="es-MX"/>
        </w:rPr>
        <w:lastRenderedPageBreak/>
        <w:t xml:space="preserve">Cuadro </w:t>
      </w:r>
      <w:r w:rsidR="00491C02">
        <w:rPr>
          <w:b/>
          <w:sz w:val="22"/>
          <w:lang w:val="es-MX"/>
        </w:rPr>
        <w:t>1</w:t>
      </w:r>
      <w:r w:rsidR="00E94EA5">
        <w:rPr>
          <w:b/>
          <w:sz w:val="22"/>
          <w:lang w:val="es-MX"/>
        </w:rPr>
        <w:t>8</w:t>
      </w:r>
    </w:p>
    <w:p w:rsidR="00B21069" w:rsidRPr="00B21069" w:rsidRDefault="00B21069" w:rsidP="00B21069">
      <w:pPr>
        <w:jc w:val="center"/>
        <w:rPr>
          <w:b/>
          <w:sz w:val="22"/>
          <w:lang w:val="es-MX"/>
        </w:rPr>
      </w:pPr>
      <w:r w:rsidRPr="00B21069">
        <w:rPr>
          <w:b/>
          <w:sz w:val="22"/>
          <w:lang w:val="es-MX"/>
        </w:rPr>
        <w:t>Deuda Pública</w:t>
      </w:r>
    </w:p>
    <w:p w:rsidR="00B21069" w:rsidRPr="00B21069" w:rsidRDefault="00B21069" w:rsidP="00B21069">
      <w:pPr>
        <w:jc w:val="center"/>
        <w:rPr>
          <w:b/>
          <w:sz w:val="22"/>
          <w:lang w:val="es-MX"/>
        </w:rPr>
      </w:pPr>
      <w:r w:rsidRPr="00B21069">
        <w:rPr>
          <w:b/>
          <w:sz w:val="22"/>
          <w:lang w:val="es-MX"/>
        </w:rPr>
        <w:t>Observado en 201</w:t>
      </w:r>
      <w:r>
        <w:rPr>
          <w:b/>
          <w:sz w:val="22"/>
          <w:lang w:val="es-MX"/>
        </w:rPr>
        <w:t>8</w:t>
      </w:r>
      <w:r w:rsidRPr="00B21069">
        <w:rPr>
          <w:b/>
          <w:sz w:val="22"/>
          <w:lang w:val="es-MX"/>
        </w:rPr>
        <w:t xml:space="preserve"> y Estimación de Cierre 201</w:t>
      </w:r>
      <w:r>
        <w:rPr>
          <w:b/>
          <w:sz w:val="22"/>
          <w:lang w:val="es-MX"/>
        </w:rPr>
        <w:t>9</w:t>
      </w:r>
    </w:p>
    <w:p w:rsidR="00B21069" w:rsidRPr="00B21069" w:rsidRDefault="00B21069" w:rsidP="00B21069">
      <w:pPr>
        <w:pStyle w:val="Prrafodelista"/>
        <w:jc w:val="center"/>
        <w:rPr>
          <w:sz w:val="16"/>
        </w:rPr>
      </w:pPr>
      <w:r w:rsidRPr="00B21069">
        <w:rPr>
          <w:b/>
          <w:sz w:val="22"/>
          <w:lang w:val="es-MX"/>
        </w:rPr>
        <w:t>(Cifras en Porcentajes)</w:t>
      </w:r>
    </w:p>
    <w:tbl>
      <w:tblPr>
        <w:tblW w:w="7540" w:type="dxa"/>
        <w:jc w:val="center"/>
        <w:tblInd w:w="55" w:type="dxa"/>
        <w:tblCellMar>
          <w:left w:w="70" w:type="dxa"/>
          <w:right w:w="70" w:type="dxa"/>
        </w:tblCellMar>
        <w:tblLook w:val="04A0" w:firstRow="1" w:lastRow="0" w:firstColumn="1" w:lastColumn="0" w:noHBand="0" w:noVBand="1"/>
      </w:tblPr>
      <w:tblGrid>
        <w:gridCol w:w="3360"/>
        <w:gridCol w:w="1420"/>
        <w:gridCol w:w="1439"/>
        <w:gridCol w:w="1321"/>
      </w:tblGrid>
      <w:tr w:rsidR="00B21069" w:rsidRPr="00B21069" w:rsidTr="004A1D0F">
        <w:trPr>
          <w:trHeight w:val="288"/>
          <w:jc w:val="center"/>
        </w:trPr>
        <w:tc>
          <w:tcPr>
            <w:tcW w:w="3360" w:type="dxa"/>
            <w:tcBorders>
              <w:top w:val="nil"/>
              <w:left w:val="nil"/>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20" w:type="dxa"/>
            <w:tcBorders>
              <w:top w:val="single" w:sz="8" w:space="0" w:color="auto"/>
              <w:left w:val="single" w:sz="8" w:space="0" w:color="auto"/>
              <w:bottom w:val="nil"/>
              <w:right w:val="single" w:sz="8" w:space="0" w:color="auto"/>
            </w:tcBorders>
            <w:shd w:val="clear" w:color="000000" w:fill="9BC2E6"/>
            <w:noWrap/>
            <w:vAlign w:val="bottom"/>
            <w:hideMark/>
          </w:tcPr>
          <w:p w:rsidR="00B21069" w:rsidRPr="00B21069" w:rsidRDefault="00B21069" w:rsidP="00B21069">
            <w:pPr>
              <w:jc w:val="center"/>
              <w:rPr>
                <w:b/>
                <w:bCs/>
                <w:sz w:val="20"/>
                <w:szCs w:val="22"/>
                <w:lang w:val="es-GT" w:eastAsia="es-GT"/>
              </w:rPr>
            </w:pPr>
            <w:r w:rsidRPr="00B21069">
              <w:rPr>
                <w:b/>
                <w:bCs/>
                <w:sz w:val="20"/>
                <w:szCs w:val="22"/>
                <w:lang w:val="es-GT" w:eastAsia="es-GT"/>
              </w:rPr>
              <w:t>2018</w:t>
            </w:r>
          </w:p>
        </w:tc>
        <w:tc>
          <w:tcPr>
            <w:tcW w:w="2760" w:type="dxa"/>
            <w:gridSpan w:val="2"/>
            <w:tcBorders>
              <w:top w:val="single" w:sz="8" w:space="0" w:color="auto"/>
              <w:left w:val="nil"/>
              <w:bottom w:val="single" w:sz="8" w:space="0" w:color="auto"/>
              <w:right w:val="single" w:sz="8" w:space="0" w:color="000000"/>
            </w:tcBorders>
            <w:shd w:val="clear" w:color="000000" w:fill="9BC2E6"/>
            <w:noWrap/>
            <w:vAlign w:val="bottom"/>
            <w:hideMark/>
          </w:tcPr>
          <w:p w:rsidR="00B21069" w:rsidRPr="00B21069" w:rsidRDefault="00B21069" w:rsidP="00B21069">
            <w:pPr>
              <w:jc w:val="center"/>
              <w:rPr>
                <w:b/>
                <w:bCs/>
                <w:sz w:val="20"/>
                <w:szCs w:val="22"/>
                <w:lang w:val="es-GT" w:eastAsia="es-GT"/>
              </w:rPr>
            </w:pPr>
            <w:r w:rsidRPr="00B21069">
              <w:rPr>
                <w:b/>
                <w:bCs/>
                <w:sz w:val="20"/>
                <w:szCs w:val="22"/>
                <w:lang w:val="es-GT" w:eastAsia="es-GT"/>
              </w:rPr>
              <w:t>2019</w:t>
            </w:r>
          </w:p>
        </w:tc>
      </w:tr>
      <w:tr w:rsidR="00B21069" w:rsidRPr="00B21069" w:rsidTr="004A1D0F">
        <w:trPr>
          <w:trHeight w:val="321"/>
          <w:jc w:val="center"/>
        </w:trPr>
        <w:tc>
          <w:tcPr>
            <w:tcW w:w="3360" w:type="dxa"/>
            <w:tcBorders>
              <w:top w:val="nil"/>
              <w:left w:val="nil"/>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20" w:type="dxa"/>
            <w:tcBorders>
              <w:top w:val="nil"/>
              <w:left w:val="single" w:sz="8" w:space="0" w:color="auto"/>
              <w:bottom w:val="nil"/>
              <w:right w:val="single" w:sz="8" w:space="0" w:color="auto"/>
            </w:tcBorders>
            <w:shd w:val="clear" w:color="000000" w:fill="9BC2E6"/>
            <w:noWrap/>
            <w:vAlign w:val="center"/>
            <w:hideMark/>
          </w:tcPr>
          <w:p w:rsidR="00B21069" w:rsidRPr="00B21069" w:rsidRDefault="00B21069" w:rsidP="00B21069">
            <w:pPr>
              <w:jc w:val="center"/>
              <w:rPr>
                <w:b/>
                <w:bCs/>
                <w:sz w:val="20"/>
                <w:szCs w:val="22"/>
                <w:lang w:val="es-GT" w:eastAsia="es-GT"/>
              </w:rPr>
            </w:pPr>
            <w:r w:rsidRPr="00B21069">
              <w:rPr>
                <w:b/>
                <w:bCs/>
                <w:sz w:val="20"/>
                <w:szCs w:val="22"/>
                <w:lang w:val="es-GT" w:eastAsia="es-GT"/>
              </w:rPr>
              <w:t>Observado</w:t>
            </w:r>
          </w:p>
        </w:tc>
        <w:tc>
          <w:tcPr>
            <w:tcW w:w="1439" w:type="dxa"/>
            <w:tcBorders>
              <w:top w:val="nil"/>
              <w:left w:val="nil"/>
              <w:bottom w:val="single" w:sz="8" w:space="0" w:color="auto"/>
              <w:right w:val="single" w:sz="8" w:space="0" w:color="auto"/>
            </w:tcBorders>
            <w:shd w:val="clear" w:color="000000" w:fill="9BC2E6"/>
            <w:noWrap/>
            <w:vAlign w:val="center"/>
            <w:hideMark/>
          </w:tcPr>
          <w:p w:rsidR="00B21069" w:rsidRPr="00B21069" w:rsidRDefault="00B21069" w:rsidP="00B21069">
            <w:pPr>
              <w:jc w:val="center"/>
              <w:rPr>
                <w:b/>
                <w:bCs/>
                <w:sz w:val="20"/>
                <w:szCs w:val="22"/>
                <w:lang w:val="es-GT" w:eastAsia="es-GT"/>
              </w:rPr>
            </w:pPr>
            <w:r w:rsidRPr="00B21069">
              <w:rPr>
                <w:b/>
                <w:bCs/>
                <w:sz w:val="20"/>
                <w:szCs w:val="22"/>
                <w:lang w:val="es-GT" w:eastAsia="es-GT"/>
              </w:rPr>
              <w:t>Presupuesto</w:t>
            </w:r>
          </w:p>
        </w:tc>
        <w:tc>
          <w:tcPr>
            <w:tcW w:w="1321" w:type="dxa"/>
            <w:tcBorders>
              <w:top w:val="nil"/>
              <w:left w:val="nil"/>
              <w:bottom w:val="single" w:sz="8" w:space="0" w:color="auto"/>
              <w:right w:val="single" w:sz="8" w:space="0" w:color="auto"/>
            </w:tcBorders>
            <w:shd w:val="clear" w:color="000000" w:fill="9BC2E6"/>
            <w:noWrap/>
            <w:vAlign w:val="center"/>
            <w:hideMark/>
          </w:tcPr>
          <w:p w:rsidR="00B21069" w:rsidRPr="00B21069" w:rsidRDefault="00B21069" w:rsidP="00B21069">
            <w:pPr>
              <w:jc w:val="center"/>
              <w:rPr>
                <w:b/>
                <w:bCs/>
                <w:sz w:val="20"/>
                <w:szCs w:val="22"/>
                <w:lang w:val="es-GT" w:eastAsia="es-GT"/>
              </w:rPr>
            </w:pPr>
            <w:r w:rsidRPr="00B21069">
              <w:rPr>
                <w:b/>
                <w:bCs/>
                <w:sz w:val="20"/>
                <w:szCs w:val="22"/>
                <w:lang w:val="es-GT" w:eastAsia="es-GT"/>
              </w:rPr>
              <w:t>Estimación</w:t>
            </w:r>
          </w:p>
        </w:tc>
      </w:tr>
      <w:tr w:rsidR="00B21069" w:rsidRPr="00B21069" w:rsidTr="004A1D0F">
        <w:trPr>
          <w:trHeight w:val="198"/>
          <w:jc w:val="center"/>
        </w:trPr>
        <w:tc>
          <w:tcPr>
            <w:tcW w:w="3360" w:type="dxa"/>
            <w:tcBorders>
              <w:top w:val="single" w:sz="8" w:space="0" w:color="auto"/>
              <w:left w:val="single" w:sz="8" w:space="0" w:color="auto"/>
              <w:bottom w:val="nil"/>
              <w:right w:val="nil"/>
            </w:tcBorders>
            <w:shd w:val="clear" w:color="000000" w:fill="FFFFFF"/>
            <w:noWrap/>
            <w:vAlign w:val="bottom"/>
            <w:hideMark/>
          </w:tcPr>
          <w:p w:rsidR="00B21069" w:rsidRPr="00B21069" w:rsidRDefault="00B21069" w:rsidP="00B21069">
            <w:pPr>
              <w:rPr>
                <w:b/>
                <w:bCs/>
                <w:color w:val="000000"/>
                <w:sz w:val="20"/>
                <w:szCs w:val="22"/>
                <w:lang w:val="es-GT" w:eastAsia="es-GT"/>
              </w:rPr>
            </w:pPr>
            <w:r w:rsidRPr="00B21069">
              <w:rPr>
                <w:b/>
                <w:bCs/>
                <w:color w:val="000000"/>
                <w:sz w:val="20"/>
                <w:szCs w:val="22"/>
                <w:lang w:val="es-GT" w:eastAsia="es-GT"/>
              </w:rPr>
              <w:t>Saldo de Deuda Pública</w:t>
            </w:r>
          </w:p>
        </w:tc>
        <w:tc>
          <w:tcPr>
            <w:tcW w:w="1420" w:type="dxa"/>
            <w:tcBorders>
              <w:top w:val="single" w:sz="8" w:space="0" w:color="auto"/>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b/>
                <w:bCs/>
                <w:color w:val="000000"/>
                <w:sz w:val="20"/>
                <w:szCs w:val="22"/>
                <w:lang w:val="es-GT" w:eastAsia="es-GT"/>
              </w:rPr>
            </w:pPr>
            <w:r w:rsidRPr="00B21069">
              <w:rPr>
                <w:b/>
                <w:bCs/>
                <w:color w:val="000000"/>
                <w:sz w:val="20"/>
                <w:szCs w:val="22"/>
                <w:lang w:val="es-GT" w:eastAsia="es-GT"/>
              </w:rPr>
              <w:t>146,020.7</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b/>
                <w:bCs/>
                <w:color w:val="000000"/>
                <w:sz w:val="20"/>
                <w:szCs w:val="22"/>
                <w:lang w:val="es-GT" w:eastAsia="es-GT"/>
              </w:rPr>
            </w:pPr>
            <w:r w:rsidRPr="00B21069">
              <w:rPr>
                <w:b/>
                <w:bCs/>
                <w:color w:val="000000"/>
                <w:sz w:val="20"/>
                <w:szCs w:val="22"/>
                <w:lang w:val="es-GT" w:eastAsia="es-GT"/>
              </w:rPr>
              <w:t>159,702.0</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b/>
                <w:bCs/>
                <w:color w:val="000000"/>
                <w:sz w:val="20"/>
                <w:szCs w:val="22"/>
                <w:lang w:val="es-GT" w:eastAsia="es-GT"/>
              </w:rPr>
            </w:pPr>
            <w:r w:rsidRPr="00B21069">
              <w:rPr>
                <w:b/>
                <w:bCs/>
                <w:color w:val="000000"/>
                <w:sz w:val="20"/>
                <w:szCs w:val="22"/>
                <w:lang w:val="es-GT" w:eastAsia="es-GT"/>
              </w:rPr>
              <w:t>159,024.4</w:t>
            </w:r>
          </w:p>
        </w:tc>
      </w:tr>
      <w:tr w:rsidR="00B21069" w:rsidRPr="00B21069" w:rsidTr="004A1D0F">
        <w:trPr>
          <w:trHeight w:val="264"/>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100" w:firstLine="200"/>
              <w:rPr>
                <w:i/>
                <w:iCs/>
                <w:color w:val="000000"/>
                <w:sz w:val="20"/>
                <w:szCs w:val="22"/>
                <w:lang w:val="es-GT" w:eastAsia="es-GT"/>
              </w:rPr>
            </w:pPr>
            <w:r w:rsidRPr="00B21069">
              <w:rPr>
                <w:i/>
                <w:iCs/>
                <w:color w:val="000000"/>
                <w:sz w:val="20"/>
                <w:szCs w:val="22"/>
                <w:lang w:val="es-GT" w:eastAsia="es-GT"/>
              </w:rPr>
              <w:t>Relación Deuda PIB</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i/>
                <w:iCs/>
                <w:color w:val="000000"/>
                <w:sz w:val="20"/>
                <w:szCs w:val="22"/>
                <w:lang w:val="es-GT" w:eastAsia="es-GT"/>
              </w:rPr>
            </w:pPr>
            <w:r w:rsidRPr="00B21069">
              <w:rPr>
                <w:i/>
                <w:iCs/>
                <w:color w:val="000000"/>
                <w:sz w:val="20"/>
                <w:szCs w:val="22"/>
                <w:lang w:val="es-GT" w:eastAsia="es-GT"/>
              </w:rPr>
              <w:t>24.8</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i/>
                <w:iCs/>
                <w:color w:val="000000"/>
                <w:sz w:val="20"/>
                <w:szCs w:val="22"/>
                <w:lang w:val="es-GT" w:eastAsia="es-GT"/>
              </w:rPr>
            </w:pPr>
            <w:r w:rsidRPr="00B21069">
              <w:rPr>
                <w:i/>
                <w:iCs/>
                <w:color w:val="000000"/>
                <w:sz w:val="20"/>
                <w:szCs w:val="22"/>
                <w:lang w:val="es-GT" w:eastAsia="es-GT"/>
              </w:rPr>
              <w:t>25.3</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i/>
                <w:iCs/>
                <w:color w:val="000000"/>
                <w:sz w:val="20"/>
                <w:szCs w:val="22"/>
                <w:lang w:val="es-GT" w:eastAsia="es-GT"/>
              </w:rPr>
            </w:pPr>
            <w:r w:rsidRPr="00B21069">
              <w:rPr>
                <w:i/>
                <w:iCs/>
                <w:color w:val="000000"/>
                <w:sz w:val="20"/>
                <w:szCs w:val="22"/>
                <w:lang w:val="es-GT" w:eastAsia="es-GT"/>
              </w:rPr>
              <w:t>25.2</w:t>
            </w:r>
          </w:p>
        </w:tc>
      </w:tr>
      <w:tr w:rsidR="00B21069" w:rsidRPr="00B21069" w:rsidTr="004A1D0F">
        <w:trPr>
          <w:trHeight w:val="268"/>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Estructura de la Deuda por Origen</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r>
      <w:tr w:rsidR="00B21069" w:rsidRPr="00B21069" w:rsidTr="004A1D0F">
        <w:trPr>
          <w:trHeight w:val="286"/>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Interna</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56.4</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60.5</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54.7</w:t>
            </w:r>
          </w:p>
        </w:tc>
      </w:tr>
      <w:tr w:rsidR="00B21069" w:rsidRPr="00B21069" w:rsidTr="004A1D0F">
        <w:trPr>
          <w:trHeight w:val="148"/>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Externa</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43.6</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39.5</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45.3</w:t>
            </w:r>
          </w:p>
        </w:tc>
      </w:tr>
      <w:tr w:rsidR="00B21069" w:rsidRPr="00B21069" w:rsidTr="004A1D0F">
        <w:trPr>
          <w:trHeight w:val="194"/>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Estructura  de la Deuda por Moneda</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rPr>
                <w:color w:val="000000"/>
                <w:sz w:val="20"/>
                <w:szCs w:val="22"/>
                <w:lang w:val="es-GT" w:eastAsia="es-GT"/>
              </w:rPr>
            </w:pPr>
            <w:r w:rsidRPr="00B21069">
              <w:rPr>
                <w:color w:val="000000"/>
                <w:sz w:val="20"/>
                <w:szCs w:val="22"/>
                <w:lang w:val="es-GT" w:eastAsia="es-GT"/>
              </w:rPr>
              <w:t> </w:t>
            </w:r>
          </w:p>
        </w:tc>
      </w:tr>
      <w:tr w:rsidR="00B21069" w:rsidRPr="00B21069" w:rsidTr="004A1D0F">
        <w:trPr>
          <w:trHeight w:val="254"/>
          <w:jc w:val="center"/>
        </w:trPr>
        <w:tc>
          <w:tcPr>
            <w:tcW w:w="3360" w:type="dxa"/>
            <w:tcBorders>
              <w:top w:val="nil"/>
              <w:left w:val="single" w:sz="8" w:space="0" w:color="auto"/>
              <w:bottom w:val="nil"/>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Quetzales</w:t>
            </w:r>
          </w:p>
        </w:tc>
        <w:tc>
          <w:tcPr>
            <w:tcW w:w="1420" w:type="dxa"/>
            <w:tcBorders>
              <w:top w:val="nil"/>
              <w:left w:val="single" w:sz="8" w:space="0" w:color="auto"/>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52.1</w:t>
            </w:r>
          </w:p>
        </w:tc>
        <w:tc>
          <w:tcPr>
            <w:tcW w:w="1439"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56.5</w:t>
            </w:r>
          </w:p>
        </w:tc>
        <w:tc>
          <w:tcPr>
            <w:tcW w:w="1321" w:type="dxa"/>
            <w:tcBorders>
              <w:top w:val="nil"/>
              <w:left w:val="nil"/>
              <w:bottom w:val="nil"/>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50.7</w:t>
            </w:r>
          </w:p>
        </w:tc>
      </w:tr>
      <w:tr w:rsidR="00B21069" w:rsidRPr="00B21069" w:rsidTr="004A1D0F">
        <w:trPr>
          <w:trHeight w:val="286"/>
          <w:jc w:val="center"/>
        </w:trPr>
        <w:tc>
          <w:tcPr>
            <w:tcW w:w="3360" w:type="dxa"/>
            <w:tcBorders>
              <w:top w:val="nil"/>
              <w:left w:val="single" w:sz="8" w:space="0" w:color="auto"/>
              <w:bottom w:val="single" w:sz="8" w:space="0" w:color="auto"/>
              <w:right w:val="nil"/>
            </w:tcBorders>
            <w:shd w:val="clear" w:color="000000" w:fill="FFFFFF"/>
            <w:noWrap/>
            <w:vAlign w:val="bottom"/>
            <w:hideMark/>
          </w:tcPr>
          <w:p w:rsidR="00B21069" w:rsidRPr="00B21069" w:rsidRDefault="00B21069" w:rsidP="004A1D0F">
            <w:pPr>
              <w:ind w:firstLineChars="200" w:firstLine="400"/>
              <w:rPr>
                <w:color w:val="000000"/>
                <w:sz w:val="20"/>
                <w:szCs w:val="22"/>
                <w:lang w:val="es-GT" w:eastAsia="es-GT"/>
              </w:rPr>
            </w:pPr>
            <w:r w:rsidRPr="00B21069">
              <w:rPr>
                <w:color w:val="000000"/>
                <w:sz w:val="20"/>
                <w:szCs w:val="22"/>
                <w:lang w:val="es-GT" w:eastAsia="es-GT"/>
              </w:rPr>
              <w:t>Dólares</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47.9</w:t>
            </w:r>
          </w:p>
        </w:tc>
        <w:tc>
          <w:tcPr>
            <w:tcW w:w="1439" w:type="dxa"/>
            <w:tcBorders>
              <w:top w:val="nil"/>
              <w:left w:val="nil"/>
              <w:bottom w:val="single" w:sz="8" w:space="0" w:color="auto"/>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43.5</w:t>
            </w:r>
          </w:p>
        </w:tc>
        <w:tc>
          <w:tcPr>
            <w:tcW w:w="1321" w:type="dxa"/>
            <w:tcBorders>
              <w:top w:val="nil"/>
              <w:left w:val="nil"/>
              <w:bottom w:val="single" w:sz="8" w:space="0" w:color="auto"/>
              <w:right w:val="single" w:sz="8" w:space="0" w:color="auto"/>
            </w:tcBorders>
            <w:shd w:val="clear" w:color="000000" w:fill="FFFFFF"/>
            <w:noWrap/>
            <w:vAlign w:val="bottom"/>
            <w:hideMark/>
          </w:tcPr>
          <w:p w:rsidR="00B21069" w:rsidRPr="00B21069" w:rsidRDefault="00B21069" w:rsidP="00B21069">
            <w:pPr>
              <w:jc w:val="right"/>
              <w:rPr>
                <w:color w:val="000000"/>
                <w:sz w:val="20"/>
                <w:szCs w:val="22"/>
                <w:lang w:val="es-GT" w:eastAsia="es-GT"/>
              </w:rPr>
            </w:pPr>
            <w:r w:rsidRPr="00B21069">
              <w:rPr>
                <w:color w:val="000000"/>
                <w:sz w:val="20"/>
                <w:szCs w:val="22"/>
                <w:lang w:val="es-GT" w:eastAsia="es-GT"/>
              </w:rPr>
              <w:t>49.3</w:t>
            </w:r>
          </w:p>
        </w:tc>
      </w:tr>
    </w:tbl>
    <w:p w:rsidR="00491C02" w:rsidRPr="003024D7" w:rsidRDefault="00491C02" w:rsidP="00491C02">
      <w:pPr>
        <w:jc w:val="both"/>
        <w:rPr>
          <w:sz w:val="18"/>
          <w:lang w:val="es-MX"/>
        </w:rPr>
      </w:pPr>
      <w:r>
        <w:rPr>
          <w:sz w:val="18"/>
          <w:lang w:val="es-MX"/>
        </w:rPr>
        <w:t xml:space="preserve">                </w:t>
      </w:r>
      <w:r w:rsidRPr="003024D7">
        <w:rPr>
          <w:sz w:val="18"/>
          <w:lang w:val="es-MX"/>
        </w:rPr>
        <w:t>Fuente: Ministerio de Finanzas Públicas</w:t>
      </w:r>
      <w:r>
        <w:rPr>
          <w:sz w:val="18"/>
          <w:lang w:val="es-MX"/>
        </w:rPr>
        <w:t>.</w:t>
      </w:r>
    </w:p>
    <w:p w:rsidR="004B5DF5" w:rsidRPr="003C1FEE" w:rsidRDefault="004B5DF5" w:rsidP="00CC1383">
      <w:pPr>
        <w:jc w:val="both"/>
        <w:rPr>
          <w:noProof/>
          <w:lang w:val="es-MX"/>
        </w:rPr>
      </w:pPr>
    </w:p>
    <w:p w:rsidR="003C1FEE" w:rsidRPr="003C1FEE" w:rsidRDefault="003C1FEE" w:rsidP="00CC1383">
      <w:pPr>
        <w:jc w:val="both"/>
        <w:rPr>
          <w:noProof/>
          <w:lang w:val="es-MX"/>
        </w:rPr>
      </w:pPr>
    </w:p>
    <w:p w:rsidR="004B5DF5" w:rsidRPr="00CD0AF0" w:rsidRDefault="004B5DF5" w:rsidP="0059599D">
      <w:pPr>
        <w:pStyle w:val="Ttulo1"/>
        <w:numPr>
          <w:ilvl w:val="0"/>
          <w:numId w:val="2"/>
        </w:numPr>
        <w:tabs>
          <w:tab w:val="num" w:pos="0"/>
        </w:tabs>
        <w:suppressAutoHyphens/>
        <w:ind w:left="709"/>
      </w:pPr>
      <w:bookmarkStart w:id="28" w:name="_Toc494447094"/>
      <w:bookmarkStart w:id="29" w:name="_Toc20495581"/>
      <w:r w:rsidRPr="00CD0AF0">
        <w:t>Aspectos Relevantes de</w:t>
      </w:r>
      <w:r w:rsidR="00B20C2F">
        <w:t>l Primer Semestre</w:t>
      </w:r>
      <w:r w:rsidRPr="00CD0AF0">
        <w:t xml:space="preserve"> 201</w:t>
      </w:r>
      <w:r w:rsidR="009340C5">
        <w:t>9</w:t>
      </w:r>
      <w:bookmarkEnd w:id="28"/>
      <w:r w:rsidR="009340C5">
        <w:t xml:space="preserve"> y su </w:t>
      </w:r>
      <w:r w:rsidR="000D2458">
        <w:t>c</w:t>
      </w:r>
      <w:r w:rsidR="009340C5">
        <w:t xml:space="preserve">ontinuidad </w:t>
      </w:r>
      <w:r w:rsidR="00EA1931">
        <w:t>para</w:t>
      </w:r>
      <w:r w:rsidR="009340C5">
        <w:t xml:space="preserve"> </w:t>
      </w:r>
      <w:r w:rsidR="000D2458">
        <w:t>F</w:t>
      </w:r>
      <w:r w:rsidR="009340C5">
        <w:t xml:space="preserve">in de </w:t>
      </w:r>
      <w:r w:rsidR="000D2458">
        <w:t>A</w:t>
      </w:r>
      <w:r w:rsidR="009340C5">
        <w:t>ño</w:t>
      </w:r>
      <w:bookmarkEnd w:id="29"/>
    </w:p>
    <w:p w:rsidR="004B5DF5" w:rsidRPr="003C1FEE" w:rsidRDefault="004B5DF5" w:rsidP="004B5DF5">
      <w:pPr>
        <w:jc w:val="both"/>
        <w:rPr>
          <w:highlight w:val="green"/>
        </w:rPr>
      </w:pPr>
    </w:p>
    <w:p w:rsidR="004B5DF5" w:rsidRPr="00D845D9" w:rsidRDefault="004B5DF5" w:rsidP="00D845D9">
      <w:pPr>
        <w:pStyle w:val="Ttulo2"/>
        <w:numPr>
          <w:ilvl w:val="1"/>
          <w:numId w:val="25"/>
        </w:numPr>
        <w:rPr>
          <w:rFonts w:ascii="Times New Roman" w:hAnsi="Times New Roman"/>
          <w:color w:val="auto"/>
          <w:sz w:val="24"/>
        </w:rPr>
      </w:pPr>
      <w:bookmarkStart w:id="30" w:name="_Toc20495582"/>
      <w:r w:rsidRPr="00D845D9">
        <w:rPr>
          <w:rFonts w:ascii="Times New Roman" w:hAnsi="Times New Roman"/>
          <w:color w:val="auto"/>
          <w:sz w:val="24"/>
        </w:rPr>
        <w:t>Logros de Transparencia Fiscal</w:t>
      </w:r>
      <w:bookmarkEnd w:id="30"/>
    </w:p>
    <w:p w:rsidR="004B5DF5" w:rsidRPr="003C1FEE" w:rsidRDefault="004B5DF5" w:rsidP="004B5DF5">
      <w:pPr>
        <w:pStyle w:val="Prrafodelista"/>
        <w:ind w:left="284"/>
        <w:jc w:val="both"/>
        <w:rPr>
          <w:b/>
          <w:sz w:val="32"/>
        </w:rPr>
      </w:pPr>
    </w:p>
    <w:p w:rsidR="002E2D91" w:rsidRDefault="00EA1931" w:rsidP="00EA1931">
      <w:pPr>
        <w:jc w:val="both"/>
        <w:rPr>
          <w:lang w:val="es-ES_tradnl"/>
        </w:rPr>
      </w:pPr>
      <w:r w:rsidRPr="006D17DE">
        <w:rPr>
          <w:b/>
          <w:i/>
          <w:lang w:val="es-ES_tradnl"/>
        </w:rPr>
        <w:t>Cuarto Plan de Acción Nacional de Gobierno Abierto 2018-2020.</w:t>
      </w:r>
      <w:r w:rsidRPr="00CD0AF0">
        <w:rPr>
          <w:b/>
          <w:lang w:val="es-ES_tradnl"/>
        </w:rPr>
        <w:t xml:space="preserve"> </w:t>
      </w:r>
      <w:r w:rsidR="00905FA7">
        <w:rPr>
          <w:lang w:val="es-ES_tradnl"/>
        </w:rPr>
        <w:t xml:space="preserve">A finales de 2018 concluyó la etapa de formulación (co-creación) y validación del Cuarto </w:t>
      </w:r>
      <w:r w:rsidRPr="00CD0AF0">
        <w:rPr>
          <w:lang w:val="es-ES_tradnl"/>
        </w:rPr>
        <w:t>Plan de Acción Nacional de Gobierno Abierto 2018-2020</w:t>
      </w:r>
      <w:r w:rsidR="00905FA7">
        <w:rPr>
          <w:lang w:val="es-ES_tradnl"/>
        </w:rPr>
        <w:t>.</w:t>
      </w:r>
      <w:r w:rsidRPr="00CD0AF0">
        <w:rPr>
          <w:lang w:val="es-ES_tradnl"/>
        </w:rPr>
        <w:t xml:space="preserve"> </w:t>
      </w:r>
      <w:r w:rsidR="00905FA7">
        <w:rPr>
          <w:lang w:val="es-ES_tradnl"/>
        </w:rPr>
        <w:t xml:space="preserve">Específicamente, el 20 de noviembre de 2018 se llevó a cabo la </w:t>
      </w:r>
      <w:r w:rsidR="008C62B0">
        <w:rPr>
          <w:lang w:val="es-ES_tradnl"/>
        </w:rPr>
        <w:t xml:space="preserve">reunión de </w:t>
      </w:r>
      <w:r w:rsidR="00905FA7">
        <w:rPr>
          <w:lang w:val="es-ES_tradnl"/>
        </w:rPr>
        <w:t xml:space="preserve">validación técnica de los compromisos asumidos </w:t>
      </w:r>
      <w:r w:rsidR="0038239E">
        <w:rPr>
          <w:lang w:val="es-ES_tradnl"/>
        </w:rPr>
        <w:t>ante</w:t>
      </w:r>
      <w:r w:rsidR="00905FA7">
        <w:rPr>
          <w:lang w:val="es-ES_tradnl"/>
        </w:rPr>
        <w:t xml:space="preserve"> organizaciones de sociedad civil</w:t>
      </w:r>
      <w:r w:rsidR="002E2D91">
        <w:rPr>
          <w:lang w:val="es-ES_tradnl"/>
        </w:rPr>
        <w:t>, por parte de las autoridades superiores de las distintas entidades públicas responsables directas del cumplimiento de compromisos</w:t>
      </w:r>
      <w:r w:rsidR="0038239E">
        <w:rPr>
          <w:lang w:val="es-ES_tradnl"/>
        </w:rPr>
        <w:t>,</w:t>
      </w:r>
      <w:r w:rsidR="002E2D91">
        <w:rPr>
          <w:lang w:val="es-ES_tradnl"/>
        </w:rPr>
        <w:t xml:space="preserve"> metas</w:t>
      </w:r>
      <w:r w:rsidR="0038239E">
        <w:rPr>
          <w:lang w:val="es-ES_tradnl"/>
        </w:rPr>
        <w:t xml:space="preserve"> y actividades</w:t>
      </w:r>
      <w:r w:rsidR="002E2D91">
        <w:rPr>
          <w:lang w:val="es-ES_tradnl"/>
        </w:rPr>
        <w:t>. Asimismo, el 28 de noviembre de ese año, por parte del Presidente Constitucional de la República se realizó la aprobación y lanzamiento oficial del citado Plan, mismo que cobró vigencia con efectos del 1 de diciembre de 2018 y concluye e</w:t>
      </w:r>
      <w:r w:rsidR="00673DBE">
        <w:rPr>
          <w:lang w:val="es-ES_tradnl"/>
        </w:rPr>
        <w:t>l 31 de</w:t>
      </w:r>
      <w:r w:rsidR="002E2D91">
        <w:rPr>
          <w:lang w:val="es-ES_tradnl"/>
        </w:rPr>
        <w:t xml:space="preserve"> </w:t>
      </w:r>
      <w:r w:rsidR="0038239E">
        <w:rPr>
          <w:lang w:val="es-ES_tradnl"/>
        </w:rPr>
        <w:t>agosto</w:t>
      </w:r>
      <w:r w:rsidR="002E2D91">
        <w:rPr>
          <w:lang w:val="es-ES_tradnl"/>
        </w:rPr>
        <w:t xml:space="preserve"> de 2020.</w:t>
      </w:r>
    </w:p>
    <w:p w:rsidR="002E2D91" w:rsidRDefault="002E2D91" w:rsidP="00EA1931">
      <w:pPr>
        <w:jc w:val="both"/>
        <w:rPr>
          <w:lang w:val="es-ES_tradnl"/>
        </w:rPr>
      </w:pPr>
    </w:p>
    <w:p w:rsidR="00EA1931" w:rsidRPr="00CD0AF0" w:rsidRDefault="00EC56BD" w:rsidP="00EA1931">
      <w:pPr>
        <w:jc w:val="both"/>
        <w:rPr>
          <w:lang w:val="es-ES_tradnl"/>
        </w:rPr>
      </w:pPr>
      <w:r>
        <w:rPr>
          <w:lang w:val="es-ES_tradnl"/>
        </w:rPr>
        <w:t xml:space="preserve">Para la conformación del citado Plan </w:t>
      </w:r>
      <w:r w:rsidR="00EA1931" w:rsidRPr="00CD0AF0">
        <w:rPr>
          <w:lang w:val="es-ES_tradnl"/>
        </w:rPr>
        <w:t xml:space="preserve">se llevó a cabo la realización de </w:t>
      </w:r>
      <w:r w:rsidR="00356F12">
        <w:rPr>
          <w:lang w:val="es-ES_tradnl"/>
        </w:rPr>
        <w:t xml:space="preserve">varias reuniones de trabajo </w:t>
      </w:r>
      <w:r w:rsidR="008C62B0">
        <w:rPr>
          <w:lang w:val="es-ES_tradnl"/>
        </w:rPr>
        <w:t>de</w:t>
      </w:r>
      <w:r w:rsidR="00356F12">
        <w:rPr>
          <w:lang w:val="es-ES_tradnl"/>
        </w:rPr>
        <w:t xml:space="preserve"> la Mesa Técnica de Gobierno Abierto (MTGA) y seis</w:t>
      </w:r>
      <w:r w:rsidR="00EA1931" w:rsidRPr="00CD0AF0">
        <w:rPr>
          <w:lang w:val="es-ES_tradnl"/>
        </w:rPr>
        <w:t xml:space="preserve"> Foros de Consulta Ciudadana en el interior del país, para conocer los requerimientos </w:t>
      </w:r>
      <w:r w:rsidR="00356F12">
        <w:rPr>
          <w:lang w:val="es-ES_tradnl"/>
        </w:rPr>
        <w:t xml:space="preserve">y sugerencias </w:t>
      </w:r>
      <w:r w:rsidR="00EA1931" w:rsidRPr="00CD0AF0">
        <w:rPr>
          <w:lang w:val="es-ES_tradnl"/>
        </w:rPr>
        <w:t xml:space="preserve">de la sociedad civil organizada o no, sobre </w:t>
      </w:r>
      <w:r w:rsidR="00902D65">
        <w:rPr>
          <w:lang w:val="es-ES_tradnl"/>
        </w:rPr>
        <w:t>aspectos de</w:t>
      </w:r>
      <w:r w:rsidR="00EA1931" w:rsidRPr="00CD0AF0">
        <w:rPr>
          <w:lang w:val="es-ES_tradnl"/>
        </w:rPr>
        <w:t xml:space="preserve"> Gobierno Abierto. </w:t>
      </w:r>
      <w:r w:rsidR="00902D65">
        <w:rPr>
          <w:lang w:val="es-ES_tradnl"/>
        </w:rPr>
        <w:t>Como p</w:t>
      </w:r>
      <w:r w:rsidR="00356F12">
        <w:rPr>
          <w:lang w:val="es-ES_tradnl"/>
        </w:rPr>
        <w:t xml:space="preserve">roducto de dichas acciones, se formularon y acordaron 24 compromisos </w:t>
      </w:r>
      <w:r w:rsidR="00902D65">
        <w:rPr>
          <w:lang w:val="es-ES_tradnl"/>
        </w:rPr>
        <w:t>con</w:t>
      </w:r>
      <w:r w:rsidR="00A87063">
        <w:rPr>
          <w:lang w:val="es-ES_tradnl"/>
        </w:rPr>
        <w:t xml:space="preserve"> 137 hitos o metas, agrupados en los </w:t>
      </w:r>
      <w:r w:rsidR="00EA1931" w:rsidRPr="00CD0AF0">
        <w:rPr>
          <w:lang w:val="es-ES_tradnl"/>
        </w:rPr>
        <w:t xml:space="preserve">12 </w:t>
      </w:r>
      <w:r w:rsidR="008C62B0">
        <w:rPr>
          <w:lang w:val="es-ES_tradnl"/>
        </w:rPr>
        <w:t>e</w:t>
      </w:r>
      <w:r w:rsidR="00EA1931" w:rsidRPr="00CD0AF0">
        <w:rPr>
          <w:lang w:val="es-ES_tradnl"/>
        </w:rPr>
        <w:t>jes</w:t>
      </w:r>
      <w:r w:rsidR="00A87063">
        <w:rPr>
          <w:lang w:val="es-ES_tradnl"/>
        </w:rPr>
        <w:t xml:space="preserve"> </w:t>
      </w:r>
      <w:r w:rsidR="008C62B0">
        <w:rPr>
          <w:lang w:val="es-ES_tradnl"/>
        </w:rPr>
        <w:t>t</w:t>
      </w:r>
      <w:r w:rsidR="00A87063">
        <w:rPr>
          <w:lang w:val="es-ES_tradnl"/>
        </w:rPr>
        <w:t>emáticos que a continuación se indican</w:t>
      </w:r>
      <w:r w:rsidR="00EA1931" w:rsidRPr="00CD0AF0">
        <w:rPr>
          <w:lang w:val="es-ES_tradnl"/>
        </w:rPr>
        <w:t>:</w:t>
      </w:r>
    </w:p>
    <w:p w:rsidR="00EA1931" w:rsidRPr="00CD0AF0" w:rsidRDefault="00EA1931" w:rsidP="00EA1931">
      <w:pPr>
        <w:jc w:val="both"/>
        <w:rPr>
          <w:lang w:val="es-ES_tradnl"/>
        </w:rPr>
      </w:pPr>
    </w:p>
    <w:p w:rsidR="00E14952" w:rsidRPr="00CD0AF0" w:rsidRDefault="00E14952" w:rsidP="00E14952">
      <w:pPr>
        <w:pStyle w:val="Prrafodelista"/>
        <w:numPr>
          <w:ilvl w:val="0"/>
          <w:numId w:val="12"/>
        </w:numPr>
        <w:jc w:val="both"/>
        <w:rPr>
          <w:lang w:val="es-ES_tradnl"/>
        </w:rPr>
      </w:pPr>
      <w:r w:rsidRPr="00CD0AF0">
        <w:rPr>
          <w:lang w:val="es-ES_tradnl"/>
        </w:rPr>
        <w:t>Ambiente</w:t>
      </w:r>
      <w:r>
        <w:rPr>
          <w:lang w:val="es-ES_tradnl"/>
        </w:rPr>
        <w:t>,</w:t>
      </w:r>
      <w:r w:rsidRPr="00CD0AF0">
        <w:rPr>
          <w:lang w:val="es-ES_tradnl"/>
        </w:rPr>
        <w:t xml:space="preserve"> </w:t>
      </w:r>
      <w:r>
        <w:rPr>
          <w:lang w:val="es-ES_tradnl"/>
        </w:rPr>
        <w:t>R</w:t>
      </w:r>
      <w:r w:rsidRPr="00CD0AF0">
        <w:rPr>
          <w:lang w:val="es-ES_tradnl"/>
        </w:rPr>
        <w:t xml:space="preserve">ecursos </w:t>
      </w:r>
      <w:r>
        <w:rPr>
          <w:lang w:val="es-ES_tradnl"/>
        </w:rPr>
        <w:t>N</w:t>
      </w:r>
      <w:r w:rsidRPr="00CD0AF0">
        <w:rPr>
          <w:lang w:val="es-ES_tradnl"/>
        </w:rPr>
        <w:t>aturales</w:t>
      </w:r>
      <w:r>
        <w:rPr>
          <w:lang w:val="es-ES_tradnl"/>
        </w:rPr>
        <w:t xml:space="preserve"> y Gestión de Riesgo.</w:t>
      </w:r>
    </w:p>
    <w:p w:rsidR="00EA1931" w:rsidRPr="00CD0AF0" w:rsidRDefault="00EA1931" w:rsidP="00EA1931">
      <w:pPr>
        <w:pStyle w:val="Prrafodelista"/>
        <w:numPr>
          <w:ilvl w:val="0"/>
          <w:numId w:val="12"/>
        </w:numPr>
        <w:jc w:val="both"/>
        <w:rPr>
          <w:lang w:val="es-ES_tradnl"/>
        </w:rPr>
      </w:pPr>
      <w:r w:rsidRPr="00CD0AF0">
        <w:rPr>
          <w:lang w:val="es-ES_tradnl"/>
        </w:rPr>
        <w:t>Educación</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Fortalecimiento </w:t>
      </w:r>
      <w:r>
        <w:rPr>
          <w:lang w:val="es-ES_tradnl"/>
        </w:rPr>
        <w:t>I</w:t>
      </w:r>
      <w:r w:rsidRPr="00CD0AF0">
        <w:rPr>
          <w:lang w:val="es-ES_tradnl"/>
        </w:rPr>
        <w:t xml:space="preserve">nstitucional en </w:t>
      </w:r>
      <w:r>
        <w:rPr>
          <w:lang w:val="es-ES_tradnl"/>
        </w:rPr>
        <w:t>S</w:t>
      </w:r>
      <w:r w:rsidRPr="00CD0AF0">
        <w:rPr>
          <w:lang w:val="es-ES_tradnl"/>
        </w:rPr>
        <w:t>eguridad</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Gobierno </w:t>
      </w:r>
      <w:r>
        <w:rPr>
          <w:lang w:val="es-ES_tradnl"/>
        </w:rPr>
        <w:t>E</w:t>
      </w:r>
      <w:r w:rsidRPr="00CD0AF0">
        <w:rPr>
          <w:lang w:val="es-ES_tradnl"/>
        </w:rPr>
        <w:t xml:space="preserve">lectrónico y </w:t>
      </w:r>
      <w:r>
        <w:rPr>
          <w:lang w:val="es-ES_tradnl"/>
        </w:rPr>
        <w:t>S</w:t>
      </w:r>
      <w:r w:rsidRPr="00CD0AF0">
        <w:rPr>
          <w:lang w:val="es-ES_tradnl"/>
        </w:rPr>
        <w:t xml:space="preserve">ervicios </w:t>
      </w:r>
      <w:r>
        <w:rPr>
          <w:lang w:val="es-ES_tradnl"/>
        </w:rPr>
        <w:t>P</w:t>
      </w:r>
      <w:r w:rsidRPr="00CD0AF0">
        <w:rPr>
          <w:lang w:val="es-ES_tradnl"/>
        </w:rPr>
        <w:t xml:space="preserve">úblicos en </w:t>
      </w:r>
      <w:r>
        <w:rPr>
          <w:lang w:val="es-ES_tradnl"/>
        </w:rPr>
        <w:t>L</w:t>
      </w:r>
      <w:r w:rsidRPr="00CD0AF0">
        <w:rPr>
          <w:lang w:val="es-ES_tradnl"/>
        </w:rPr>
        <w:t>ínea</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Gobiernos </w:t>
      </w:r>
      <w:r>
        <w:rPr>
          <w:lang w:val="es-ES_tradnl"/>
        </w:rPr>
        <w:t>L</w:t>
      </w:r>
      <w:r w:rsidRPr="00CD0AF0">
        <w:rPr>
          <w:lang w:val="es-ES_tradnl"/>
        </w:rPr>
        <w:t>ocales</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Innovación en la </w:t>
      </w:r>
      <w:r>
        <w:rPr>
          <w:lang w:val="es-ES_tradnl"/>
        </w:rPr>
        <w:t>G</w:t>
      </w:r>
      <w:r w:rsidRPr="00CD0AF0">
        <w:rPr>
          <w:lang w:val="es-ES_tradnl"/>
        </w:rPr>
        <w:t xml:space="preserve">estión </w:t>
      </w:r>
      <w:r>
        <w:rPr>
          <w:lang w:val="es-ES_tradnl"/>
        </w:rPr>
        <w:t>P</w:t>
      </w:r>
      <w:r w:rsidRPr="00CD0AF0">
        <w:rPr>
          <w:lang w:val="es-ES_tradnl"/>
        </w:rPr>
        <w:t>ública</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Inversión y </w:t>
      </w:r>
      <w:r>
        <w:rPr>
          <w:lang w:val="es-ES_tradnl"/>
        </w:rPr>
        <w:t>E</w:t>
      </w:r>
      <w:r w:rsidRPr="00CD0AF0">
        <w:rPr>
          <w:lang w:val="es-ES_tradnl"/>
        </w:rPr>
        <w:t>mpleo</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Mecanismos de </w:t>
      </w:r>
      <w:r>
        <w:rPr>
          <w:lang w:val="es-ES_tradnl"/>
        </w:rPr>
        <w:t>T</w:t>
      </w:r>
      <w:r w:rsidRPr="00CD0AF0">
        <w:rPr>
          <w:lang w:val="es-ES_tradnl"/>
        </w:rPr>
        <w:t xml:space="preserve">ransparencia y </w:t>
      </w:r>
      <w:r>
        <w:rPr>
          <w:lang w:val="es-ES_tradnl"/>
        </w:rPr>
        <w:t>A</w:t>
      </w:r>
      <w:r w:rsidRPr="00CD0AF0">
        <w:rPr>
          <w:lang w:val="es-ES_tradnl"/>
        </w:rPr>
        <w:t>nticorrupción</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lastRenderedPageBreak/>
        <w:t xml:space="preserve">Protección e </w:t>
      </w:r>
      <w:r>
        <w:rPr>
          <w:lang w:val="es-ES_tradnl"/>
        </w:rPr>
        <w:t>I</w:t>
      </w:r>
      <w:r w:rsidRPr="00CD0AF0">
        <w:rPr>
          <w:lang w:val="es-ES_tradnl"/>
        </w:rPr>
        <w:t xml:space="preserve">nclusión </w:t>
      </w:r>
      <w:r>
        <w:rPr>
          <w:lang w:val="es-ES_tradnl"/>
        </w:rPr>
        <w:t>S</w:t>
      </w:r>
      <w:r w:rsidRPr="00CD0AF0">
        <w:rPr>
          <w:lang w:val="es-ES_tradnl"/>
        </w:rPr>
        <w:t>ocial</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Salud, </w:t>
      </w:r>
      <w:r>
        <w:rPr>
          <w:lang w:val="es-ES_tradnl"/>
        </w:rPr>
        <w:t>S</w:t>
      </w:r>
      <w:r w:rsidRPr="00CD0AF0">
        <w:rPr>
          <w:lang w:val="es-ES_tradnl"/>
        </w:rPr>
        <w:t xml:space="preserve">eguridad </w:t>
      </w:r>
      <w:r>
        <w:rPr>
          <w:lang w:val="es-ES_tradnl"/>
        </w:rPr>
        <w:t>A</w:t>
      </w:r>
      <w:r w:rsidRPr="00CD0AF0">
        <w:rPr>
          <w:lang w:val="es-ES_tradnl"/>
        </w:rPr>
        <w:t xml:space="preserve">limentaria y </w:t>
      </w:r>
      <w:r>
        <w:rPr>
          <w:lang w:val="es-ES_tradnl"/>
        </w:rPr>
        <w:t>N</w:t>
      </w:r>
      <w:r w:rsidRPr="00CD0AF0">
        <w:rPr>
          <w:lang w:val="es-ES_tradnl"/>
        </w:rPr>
        <w:t>utricional</w:t>
      </w:r>
      <w:r>
        <w:rPr>
          <w:lang w:val="es-ES_tradnl"/>
        </w:rPr>
        <w:t>.</w:t>
      </w:r>
    </w:p>
    <w:p w:rsidR="00E14952" w:rsidRDefault="00E14952" w:rsidP="00E14952">
      <w:pPr>
        <w:pStyle w:val="Prrafodelista"/>
        <w:numPr>
          <w:ilvl w:val="0"/>
          <w:numId w:val="12"/>
        </w:numPr>
        <w:jc w:val="both"/>
        <w:rPr>
          <w:lang w:val="es-ES_tradnl"/>
        </w:rPr>
      </w:pPr>
      <w:r w:rsidRPr="00CD0AF0">
        <w:rPr>
          <w:lang w:val="es-ES_tradnl"/>
        </w:rPr>
        <w:t xml:space="preserve">Transparencia en los </w:t>
      </w:r>
      <w:r>
        <w:rPr>
          <w:lang w:val="es-ES_tradnl"/>
        </w:rPr>
        <w:t>P</w:t>
      </w:r>
      <w:r w:rsidRPr="00CD0AF0">
        <w:rPr>
          <w:lang w:val="es-ES_tradnl"/>
        </w:rPr>
        <w:t xml:space="preserve">rocesos </w:t>
      </w:r>
      <w:r>
        <w:rPr>
          <w:lang w:val="es-ES_tradnl"/>
        </w:rPr>
        <w:t>E</w:t>
      </w:r>
      <w:r w:rsidRPr="00CD0AF0">
        <w:rPr>
          <w:lang w:val="es-ES_tradnl"/>
        </w:rPr>
        <w:t>lectorales</w:t>
      </w:r>
      <w:r>
        <w:rPr>
          <w:lang w:val="es-ES_tradnl"/>
        </w:rPr>
        <w:t>.</w:t>
      </w:r>
    </w:p>
    <w:p w:rsidR="00E14952" w:rsidRPr="00CD0AF0" w:rsidRDefault="00E14952" w:rsidP="00E14952">
      <w:pPr>
        <w:pStyle w:val="Prrafodelista"/>
        <w:numPr>
          <w:ilvl w:val="0"/>
          <w:numId w:val="12"/>
        </w:numPr>
        <w:jc w:val="both"/>
        <w:rPr>
          <w:lang w:val="es-ES_tradnl"/>
        </w:rPr>
      </w:pPr>
      <w:r w:rsidRPr="00CD0AF0">
        <w:rPr>
          <w:lang w:val="es-ES_tradnl"/>
        </w:rPr>
        <w:t xml:space="preserve">Transparencia </w:t>
      </w:r>
      <w:r>
        <w:rPr>
          <w:lang w:val="es-ES_tradnl"/>
        </w:rPr>
        <w:t>F</w:t>
      </w:r>
      <w:r w:rsidRPr="00CD0AF0">
        <w:rPr>
          <w:lang w:val="es-ES_tradnl"/>
        </w:rPr>
        <w:t xml:space="preserve">iscal, </w:t>
      </w:r>
      <w:r>
        <w:rPr>
          <w:lang w:val="es-ES_tradnl"/>
        </w:rPr>
        <w:t>C</w:t>
      </w:r>
      <w:r w:rsidRPr="00CD0AF0">
        <w:rPr>
          <w:lang w:val="es-ES_tradnl"/>
        </w:rPr>
        <w:t xml:space="preserve">ompras y </w:t>
      </w:r>
      <w:r>
        <w:rPr>
          <w:lang w:val="es-ES_tradnl"/>
        </w:rPr>
        <w:t>C</w:t>
      </w:r>
      <w:r w:rsidRPr="00CD0AF0">
        <w:rPr>
          <w:lang w:val="es-ES_tradnl"/>
        </w:rPr>
        <w:t xml:space="preserve">ontrataciones </w:t>
      </w:r>
      <w:r>
        <w:rPr>
          <w:lang w:val="es-ES_tradnl"/>
        </w:rPr>
        <w:t>P</w:t>
      </w:r>
      <w:r w:rsidRPr="00CD0AF0">
        <w:rPr>
          <w:lang w:val="es-ES_tradnl"/>
        </w:rPr>
        <w:t>úblicas</w:t>
      </w:r>
      <w:r>
        <w:rPr>
          <w:lang w:val="es-ES_tradnl"/>
        </w:rPr>
        <w:t>.</w:t>
      </w:r>
    </w:p>
    <w:p w:rsidR="00EA1931" w:rsidRPr="003C1FEE" w:rsidRDefault="00EA1931" w:rsidP="00EA1931">
      <w:pPr>
        <w:ind w:left="360"/>
        <w:jc w:val="both"/>
        <w:rPr>
          <w:sz w:val="22"/>
          <w:lang w:val="es-ES_tradnl"/>
        </w:rPr>
      </w:pPr>
    </w:p>
    <w:p w:rsidR="00726316" w:rsidRDefault="007E2526" w:rsidP="00EA1931">
      <w:pPr>
        <w:jc w:val="both"/>
        <w:rPr>
          <w:lang w:val="es-ES_tradnl"/>
        </w:rPr>
      </w:pPr>
      <w:r>
        <w:rPr>
          <w:lang w:val="es-ES_tradnl"/>
        </w:rPr>
        <w:t xml:space="preserve">Desde que inicia la vigencia del </w:t>
      </w:r>
      <w:r w:rsidR="00EA1931" w:rsidRPr="00CD0AF0">
        <w:rPr>
          <w:lang w:val="es-ES_tradnl"/>
        </w:rPr>
        <w:t>Cuarto Plan de Acción Nacional</w:t>
      </w:r>
      <w:r>
        <w:rPr>
          <w:lang w:val="es-ES_tradnl"/>
        </w:rPr>
        <w:t xml:space="preserve"> de Gobierno Abierto 2018-2020, las instituciones públicas empezaron a planificar, socializar e implementar acciones para el cumplimiento de sus actividades, metas y compromisos</w:t>
      </w:r>
      <w:r w:rsidR="00276DE0">
        <w:rPr>
          <w:lang w:val="es-ES_tradnl"/>
        </w:rPr>
        <w:t xml:space="preserve">. En el caso particular del Ministerio de Finanzas Públicas, entidad responsable directa del cumplimiento de los tres compromisos que integran el eje de Transparencia Fiscal, Compras y Contrataciones Públicas, </w:t>
      </w:r>
      <w:r w:rsidR="00F609DD">
        <w:rPr>
          <w:lang w:val="es-ES_tradnl"/>
        </w:rPr>
        <w:t xml:space="preserve">el 19 de marzo de 2019 </w:t>
      </w:r>
      <w:r w:rsidR="000753F2">
        <w:rPr>
          <w:lang w:val="es-ES_tradnl"/>
        </w:rPr>
        <w:t xml:space="preserve">se llevó a cabo la </w:t>
      </w:r>
      <w:r w:rsidR="00726316">
        <w:rPr>
          <w:lang w:val="es-ES_tradnl"/>
        </w:rPr>
        <w:t>fase</w:t>
      </w:r>
      <w:r w:rsidR="000753F2">
        <w:rPr>
          <w:lang w:val="es-ES_tradnl"/>
        </w:rPr>
        <w:t xml:space="preserve"> de socialización con organizaciones de sociedad civil, del Plan y Cronograma </w:t>
      </w:r>
      <w:r w:rsidR="00726316">
        <w:rPr>
          <w:lang w:val="es-ES_tradnl"/>
        </w:rPr>
        <w:t xml:space="preserve">de cada uno de sus compromisos en una de las reuniones ordinarias del Comité de Usuarios de Datos Abiertos del MINFIN, y las distintas dependencias directamente responsables del cumplimiento de dichos compromisos han venido implementando acciones durante el primer semestre del presente año, </w:t>
      </w:r>
      <w:r w:rsidR="00BA21C2">
        <w:rPr>
          <w:lang w:val="es-ES_tradnl"/>
        </w:rPr>
        <w:t xml:space="preserve">lo </w:t>
      </w:r>
      <w:r w:rsidR="00726316">
        <w:rPr>
          <w:lang w:val="es-ES_tradnl"/>
        </w:rPr>
        <w:t>que ha permitido reportar un 46.5% de avance.</w:t>
      </w:r>
    </w:p>
    <w:p w:rsidR="00726316" w:rsidRPr="003C1FEE" w:rsidRDefault="00726316" w:rsidP="00EA1931">
      <w:pPr>
        <w:jc w:val="both"/>
        <w:rPr>
          <w:sz w:val="22"/>
          <w:lang w:val="es-ES_tradnl"/>
        </w:rPr>
      </w:pPr>
    </w:p>
    <w:p w:rsidR="00BA4480" w:rsidRDefault="00BA4480" w:rsidP="00EA1931">
      <w:pPr>
        <w:jc w:val="both"/>
        <w:rPr>
          <w:lang w:val="es-ES_tradnl"/>
        </w:rPr>
      </w:pPr>
      <w:r>
        <w:rPr>
          <w:lang w:val="es-ES_tradnl"/>
        </w:rPr>
        <w:t>Tomando en consideración que el Cuarto Plan de Acción Nacional de Gobierno Abierto 2018-2020 se constituye en un compromiso de Estado ante las organizaciones de sociedad civil</w:t>
      </w:r>
      <w:r w:rsidR="00D96286">
        <w:rPr>
          <w:lang w:val="es-ES_tradnl"/>
        </w:rPr>
        <w:t xml:space="preserve"> y ante la Alianza para el Gobierno Abierto (OGP)</w:t>
      </w:r>
      <w:r>
        <w:rPr>
          <w:lang w:val="es-ES_tradnl"/>
        </w:rPr>
        <w:t xml:space="preserve">, se estima que las instituciones públicas continuarán con </w:t>
      </w:r>
      <w:r w:rsidR="003D0EE1">
        <w:rPr>
          <w:lang w:val="es-ES_tradnl"/>
        </w:rPr>
        <w:t xml:space="preserve">el desarrollo normal para </w:t>
      </w:r>
      <w:r>
        <w:rPr>
          <w:lang w:val="es-ES_tradnl"/>
        </w:rPr>
        <w:t xml:space="preserve">la implementación de </w:t>
      </w:r>
      <w:r w:rsidR="00976CAC">
        <w:rPr>
          <w:lang w:val="es-ES_tradnl"/>
        </w:rPr>
        <w:t xml:space="preserve">las </w:t>
      </w:r>
      <w:r>
        <w:rPr>
          <w:lang w:val="es-ES_tradnl"/>
        </w:rPr>
        <w:t>acciones que les permita alcanzar la totalidad del cumplimiento de cada uno de sus compromisos y metas. La coyuntura política no debiera afectar el desarrollo</w:t>
      </w:r>
      <w:r w:rsidR="00D96286">
        <w:rPr>
          <w:lang w:val="es-ES_tradnl"/>
        </w:rPr>
        <w:t>,</w:t>
      </w:r>
      <w:r>
        <w:rPr>
          <w:lang w:val="es-ES_tradnl"/>
        </w:rPr>
        <w:t xml:space="preserve"> ejecución</w:t>
      </w:r>
      <w:r w:rsidR="00D96286">
        <w:rPr>
          <w:lang w:val="es-ES_tradnl"/>
        </w:rPr>
        <w:t xml:space="preserve"> y cumplimiento</w:t>
      </w:r>
      <w:r>
        <w:rPr>
          <w:lang w:val="es-ES_tradnl"/>
        </w:rPr>
        <w:t xml:space="preserve"> del Plan en lo que resta de 2019, ya que las autoridades superiores de cada entidad pública se comprometieron ante las organizaciones de sociedad civil y ante la población guatemalteca, a cumplir los compromisos acordados conjuntamente.</w:t>
      </w:r>
    </w:p>
    <w:p w:rsidR="003D0EE1" w:rsidRPr="003C1FEE" w:rsidRDefault="003D0EE1" w:rsidP="00EA1931">
      <w:pPr>
        <w:jc w:val="both"/>
        <w:rPr>
          <w:sz w:val="22"/>
          <w:lang w:val="es-ES_tradnl"/>
        </w:rPr>
      </w:pPr>
    </w:p>
    <w:p w:rsidR="004B5DF5" w:rsidRPr="00D845D9" w:rsidRDefault="004B5DF5" w:rsidP="00D845D9">
      <w:pPr>
        <w:pStyle w:val="Ttulo2"/>
        <w:numPr>
          <w:ilvl w:val="1"/>
          <w:numId w:val="25"/>
        </w:numPr>
        <w:rPr>
          <w:rFonts w:ascii="Times New Roman" w:hAnsi="Times New Roman"/>
          <w:color w:val="auto"/>
          <w:sz w:val="24"/>
        </w:rPr>
      </w:pPr>
      <w:bookmarkStart w:id="31" w:name="_Toc20495583"/>
      <w:r w:rsidRPr="00D845D9">
        <w:rPr>
          <w:rFonts w:ascii="Times New Roman" w:hAnsi="Times New Roman"/>
          <w:color w:val="auto"/>
          <w:sz w:val="24"/>
        </w:rPr>
        <w:t>Compromisos y Metas a cargo del Ministerio de Finanzas Públicas</w:t>
      </w:r>
      <w:r w:rsidR="00877757">
        <w:rPr>
          <w:rFonts w:ascii="Times New Roman" w:hAnsi="Times New Roman"/>
          <w:color w:val="auto"/>
          <w:sz w:val="24"/>
        </w:rPr>
        <w:t xml:space="preserve"> en el Cuarto Plan de Acción Nacional de Gobierno Abierto 2018-2020</w:t>
      </w:r>
      <w:bookmarkEnd w:id="31"/>
    </w:p>
    <w:p w:rsidR="004B5DF5" w:rsidRPr="00877757" w:rsidRDefault="004B5DF5" w:rsidP="004B5DF5">
      <w:pPr>
        <w:jc w:val="both"/>
        <w:rPr>
          <w:rFonts w:eastAsia="Calibri"/>
          <w:b/>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 xml:space="preserve">Acciones para </w:t>
      </w:r>
      <w:r w:rsidR="003D0EE1">
        <w:rPr>
          <w:rFonts w:eastAsia="Calibri"/>
          <w:b/>
          <w:lang w:val="es-MX"/>
        </w:rPr>
        <w:t xml:space="preserve">seguir </w:t>
      </w:r>
      <w:r w:rsidRPr="0069616A">
        <w:rPr>
          <w:rFonts w:eastAsia="Calibri"/>
          <w:b/>
          <w:lang w:val="es-MX"/>
        </w:rPr>
        <w:t>avanza</w:t>
      </w:r>
      <w:r w:rsidR="003D0EE1">
        <w:rPr>
          <w:rFonts w:eastAsia="Calibri"/>
          <w:b/>
          <w:lang w:val="es-MX"/>
        </w:rPr>
        <w:t>ndo en la adopción de estándares internacionales de transparencia fiscal, compras y contrataciones</w:t>
      </w:r>
      <w:r w:rsidR="00C86C2A">
        <w:rPr>
          <w:rFonts w:eastAsia="Calibri"/>
          <w:b/>
          <w:lang w:val="es-MX"/>
        </w:rPr>
        <w:t xml:space="preserve"> públicas</w:t>
      </w:r>
    </w:p>
    <w:p w:rsidR="004B5DF5" w:rsidRPr="00CD0AF0" w:rsidRDefault="003D0EE1" w:rsidP="004B5DF5">
      <w:pPr>
        <w:numPr>
          <w:ilvl w:val="1"/>
          <w:numId w:val="6"/>
        </w:numPr>
        <w:contextualSpacing/>
        <w:jc w:val="both"/>
        <w:rPr>
          <w:rFonts w:eastAsia="Calibri"/>
          <w:lang w:val="es-MX"/>
        </w:rPr>
      </w:pPr>
      <w:r>
        <w:rPr>
          <w:rFonts w:eastAsia="Calibri"/>
          <w:lang w:val="es-MX"/>
        </w:rPr>
        <w:t xml:space="preserve">Talleres de sensibilización y capacitación sobre el </w:t>
      </w:r>
      <w:r w:rsidR="00936464">
        <w:rPr>
          <w:rFonts w:eastAsia="Calibri"/>
          <w:lang w:val="es-MX"/>
        </w:rPr>
        <w:t xml:space="preserve">uso del </w:t>
      </w:r>
      <w:r>
        <w:rPr>
          <w:rFonts w:eastAsia="Calibri"/>
          <w:lang w:val="es-MX"/>
        </w:rPr>
        <w:t>módulo de Subasta Electrónica Inversa</w:t>
      </w:r>
      <w:r w:rsidR="00D96286">
        <w:rPr>
          <w:rFonts w:eastAsia="Calibri"/>
          <w:lang w:val="es-MX"/>
        </w:rPr>
        <w:t xml:space="preserve"> (SEI).</w:t>
      </w:r>
    </w:p>
    <w:p w:rsidR="004B5DF5" w:rsidRPr="00CD0AF0" w:rsidRDefault="003D0EE1" w:rsidP="004B5DF5">
      <w:pPr>
        <w:numPr>
          <w:ilvl w:val="1"/>
          <w:numId w:val="6"/>
        </w:numPr>
        <w:contextualSpacing/>
        <w:jc w:val="both"/>
        <w:rPr>
          <w:rFonts w:eastAsia="Calibri"/>
          <w:lang w:val="es-MX"/>
        </w:rPr>
      </w:pPr>
      <w:r>
        <w:rPr>
          <w:rFonts w:eastAsia="Calibri"/>
          <w:lang w:val="es-MX"/>
        </w:rPr>
        <w:t>Propuesta de iniciativa de ley y reglamento para un registro de beneficiario final</w:t>
      </w:r>
      <w:r w:rsidR="00C86C2A">
        <w:rPr>
          <w:rFonts w:eastAsia="Calibri"/>
          <w:lang w:val="es-MX"/>
        </w:rPr>
        <w:t>,</w:t>
      </w:r>
      <w:r>
        <w:rPr>
          <w:rFonts w:eastAsia="Calibri"/>
          <w:lang w:val="es-MX"/>
        </w:rPr>
        <w:t xml:space="preserve"> según estándares del Foro Global de la OCDE y GAFILAT</w:t>
      </w:r>
      <w:r w:rsidR="00AA3B13">
        <w:rPr>
          <w:rFonts w:eastAsia="Calibri"/>
          <w:lang w:val="es-MX"/>
        </w:rPr>
        <w:t>.</w:t>
      </w:r>
    </w:p>
    <w:p w:rsidR="004B5DF5" w:rsidRPr="00CD0AF0" w:rsidRDefault="003D0EE1" w:rsidP="004B5DF5">
      <w:pPr>
        <w:numPr>
          <w:ilvl w:val="1"/>
          <w:numId w:val="6"/>
        </w:numPr>
        <w:contextualSpacing/>
        <w:jc w:val="both"/>
        <w:rPr>
          <w:rFonts w:eastAsia="Calibri"/>
          <w:lang w:val="es-MX"/>
        </w:rPr>
      </w:pPr>
      <w:r>
        <w:rPr>
          <w:rFonts w:eastAsia="Calibri"/>
          <w:lang w:val="es-MX"/>
        </w:rPr>
        <w:t>Estándar de datos abiertos para las contrataciones abiertas</w:t>
      </w:r>
      <w:r w:rsidR="00AA3B13">
        <w:rPr>
          <w:rFonts w:eastAsia="Calibri"/>
          <w:lang w:val="es-MX"/>
        </w:rPr>
        <w:t>.</w:t>
      </w:r>
    </w:p>
    <w:p w:rsidR="004B5DF5" w:rsidRPr="00CD0AF0" w:rsidRDefault="003D0EE1" w:rsidP="004B5DF5">
      <w:pPr>
        <w:numPr>
          <w:ilvl w:val="1"/>
          <w:numId w:val="6"/>
        </w:numPr>
        <w:contextualSpacing/>
        <w:jc w:val="both"/>
        <w:rPr>
          <w:rFonts w:eastAsia="Calibri"/>
          <w:lang w:val="es-MX"/>
        </w:rPr>
      </w:pPr>
      <w:r>
        <w:rPr>
          <w:rFonts w:eastAsia="Calibri"/>
          <w:lang w:val="es-MX"/>
        </w:rPr>
        <w:t>Publicación de las principales iniciativas y estándares internacionales de transparencia fiscal</w:t>
      </w:r>
      <w:r w:rsidR="00AA3B13">
        <w:rPr>
          <w:rFonts w:eastAsia="Calibri"/>
          <w:lang w:val="es-MX"/>
        </w:rPr>
        <w:t>.</w:t>
      </w:r>
    </w:p>
    <w:p w:rsidR="004B5DF5" w:rsidRPr="00CD0AF0" w:rsidRDefault="003D0EE1" w:rsidP="004B5DF5">
      <w:pPr>
        <w:numPr>
          <w:ilvl w:val="1"/>
          <w:numId w:val="6"/>
        </w:numPr>
        <w:contextualSpacing/>
        <w:jc w:val="both"/>
        <w:rPr>
          <w:rFonts w:eastAsia="Calibri"/>
          <w:lang w:val="es-MX"/>
        </w:rPr>
      </w:pPr>
      <w:r>
        <w:rPr>
          <w:rFonts w:eastAsia="Calibri"/>
          <w:lang w:val="es-MX"/>
        </w:rPr>
        <w:t>Plan de Acción para implementar las recomendaciones de cada iniciativa</w:t>
      </w:r>
      <w:r w:rsidR="00ED52A9">
        <w:rPr>
          <w:rFonts w:eastAsia="Calibri"/>
          <w:lang w:val="es-MX"/>
        </w:rPr>
        <w:t xml:space="preserve"> y estándar internacional</w:t>
      </w:r>
      <w:r>
        <w:rPr>
          <w:rFonts w:eastAsia="Calibri"/>
          <w:lang w:val="es-MX"/>
        </w:rPr>
        <w:t xml:space="preserve"> de transparencia fiscal</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 xml:space="preserve">Acciones para avanzar en </w:t>
      </w:r>
      <w:r w:rsidR="00C86C2A">
        <w:rPr>
          <w:rFonts w:eastAsia="Calibri"/>
          <w:b/>
          <w:lang w:val="es-MX"/>
        </w:rPr>
        <w:t>la presentación y disponibilidad de información presupuestaria</w:t>
      </w:r>
    </w:p>
    <w:p w:rsidR="004B5DF5" w:rsidRPr="00CD0AF0" w:rsidRDefault="00C86C2A" w:rsidP="004B5DF5">
      <w:pPr>
        <w:numPr>
          <w:ilvl w:val="0"/>
          <w:numId w:val="9"/>
        </w:numPr>
        <w:contextualSpacing/>
        <w:jc w:val="both"/>
        <w:rPr>
          <w:rFonts w:eastAsia="Calibri"/>
          <w:lang w:val="es-MX"/>
        </w:rPr>
      </w:pPr>
      <w:r>
        <w:rPr>
          <w:rFonts w:eastAsia="Calibri"/>
          <w:lang w:val="es-MX"/>
        </w:rPr>
        <w:t xml:space="preserve">Elaborar </w:t>
      </w:r>
      <w:r w:rsidR="00936464">
        <w:rPr>
          <w:rFonts w:eastAsia="Calibri"/>
          <w:lang w:val="es-MX"/>
        </w:rPr>
        <w:t xml:space="preserve">una </w:t>
      </w:r>
      <w:r>
        <w:rPr>
          <w:rFonts w:eastAsia="Calibri"/>
          <w:lang w:val="es-MX"/>
        </w:rPr>
        <w:t>hoja de ruta para presentar información presupuestaria a través de</w:t>
      </w:r>
      <w:r w:rsidR="00250267">
        <w:rPr>
          <w:rFonts w:eastAsia="Calibri"/>
          <w:lang w:val="es-MX"/>
        </w:rPr>
        <w:t xml:space="preserve"> un</w:t>
      </w:r>
      <w:r>
        <w:rPr>
          <w:rFonts w:eastAsia="Calibri"/>
          <w:lang w:val="es-MX"/>
        </w:rPr>
        <w:t xml:space="preserve"> Observatorio del Gasto Público</w:t>
      </w:r>
      <w:r w:rsidR="00AA3B13">
        <w:rPr>
          <w:rFonts w:eastAsia="Calibri"/>
          <w:lang w:val="es-MX"/>
        </w:rPr>
        <w:t>.</w:t>
      </w:r>
    </w:p>
    <w:p w:rsidR="00C86C2A" w:rsidRDefault="00C86C2A" w:rsidP="00C86C2A">
      <w:pPr>
        <w:numPr>
          <w:ilvl w:val="0"/>
          <w:numId w:val="9"/>
        </w:numPr>
        <w:contextualSpacing/>
        <w:jc w:val="both"/>
        <w:rPr>
          <w:rFonts w:eastAsia="Calibri"/>
          <w:lang w:val="es-MX"/>
        </w:rPr>
      </w:pPr>
      <w:r>
        <w:rPr>
          <w:rFonts w:eastAsia="Calibri"/>
          <w:lang w:val="es-MX"/>
        </w:rPr>
        <w:lastRenderedPageBreak/>
        <w:t>Elaboración y publicación de informes para el monitoreo y seguimiento de la ejecución de préstamos externos</w:t>
      </w:r>
      <w:r w:rsidR="00250267">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 xml:space="preserve">Acciones para </w:t>
      </w:r>
      <w:r w:rsidR="00250267">
        <w:rPr>
          <w:rFonts w:eastAsia="Calibri"/>
          <w:b/>
          <w:lang w:val="es-MX"/>
        </w:rPr>
        <w:t>diseñar y desarrollar una herramienta informática que permita a las instituciones públicas proveer información de los beneficiarios de los bienes y servicios públicos, a través de la apertura de la meta física “personas”, con características de sexo, edad y etnia</w:t>
      </w:r>
    </w:p>
    <w:p w:rsidR="004B5DF5" w:rsidRPr="00CD0AF0" w:rsidRDefault="00250267" w:rsidP="004B5DF5">
      <w:pPr>
        <w:numPr>
          <w:ilvl w:val="0"/>
          <w:numId w:val="10"/>
        </w:numPr>
        <w:contextualSpacing/>
        <w:jc w:val="both"/>
        <w:rPr>
          <w:rFonts w:eastAsia="Calibri"/>
          <w:lang w:val="es-MX"/>
        </w:rPr>
      </w:pPr>
      <w:r>
        <w:rPr>
          <w:rFonts w:eastAsia="Calibri"/>
          <w:lang w:val="es-MX"/>
        </w:rPr>
        <w:t xml:space="preserve">Elaboración de un Plan de Trabajo para la provisión de </w:t>
      </w:r>
      <w:r w:rsidR="00D96286">
        <w:rPr>
          <w:rFonts w:eastAsia="Calibri"/>
          <w:lang w:val="es-MX"/>
        </w:rPr>
        <w:t>una</w:t>
      </w:r>
      <w:r>
        <w:rPr>
          <w:rFonts w:eastAsia="Calibri"/>
          <w:lang w:val="es-MX"/>
        </w:rPr>
        <w:t xml:space="preserve"> herramienta informática</w:t>
      </w:r>
      <w:r w:rsidR="00D96286">
        <w:rPr>
          <w:rFonts w:eastAsia="Calibri"/>
          <w:lang w:val="es-MX"/>
        </w:rPr>
        <w:t xml:space="preserve"> que brinde dicha información desagregada.</w:t>
      </w:r>
    </w:p>
    <w:p w:rsidR="004B5DF5" w:rsidRPr="00CD0AF0" w:rsidRDefault="00250267" w:rsidP="004B5DF5">
      <w:pPr>
        <w:numPr>
          <w:ilvl w:val="0"/>
          <w:numId w:val="10"/>
        </w:numPr>
        <w:contextualSpacing/>
        <w:jc w:val="both"/>
        <w:rPr>
          <w:rFonts w:eastAsia="Calibri"/>
          <w:lang w:val="es-MX"/>
        </w:rPr>
      </w:pPr>
      <w:r>
        <w:rPr>
          <w:rFonts w:eastAsia="Calibri"/>
          <w:lang w:val="es-MX"/>
        </w:rPr>
        <w:t>Diseño y desarrollo de la herramienta informática</w:t>
      </w:r>
      <w:r w:rsidR="00AA3B13">
        <w:rPr>
          <w:rFonts w:eastAsia="Calibri"/>
          <w:lang w:val="es-MX"/>
        </w:rPr>
        <w:t>.</w:t>
      </w:r>
    </w:p>
    <w:p w:rsidR="004B5DF5" w:rsidRPr="00CD0AF0" w:rsidRDefault="00250267" w:rsidP="004B5DF5">
      <w:pPr>
        <w:numPr>
          <w:ilvl w:val="0"/>
          <w:numId w:val="10"/>
        </w:numPr>
        <w:contextualSpacing/>
        <w:jc w:val="both"/>
        <w:rPr>
          <w:rFonts w:eastAsia="Calibri"/>
          <w:lang w:val="es-MX"/>
        </w:rPr>
      </w:pPr>
      <w:r>
        <w:rPr>
          <w:rFonts w:eastAsia="Calibri"/>
          <w:lang w:val="es-MX"/>
        </w:rPr>
        <w:t xml:space="preserve">Elaboración e implementación de un programa de capacitación y sensibilización sobre el uso y utilidad de </w:t>
      </w:r>
      <w:r w:rsidR="00D96286">
        <w:rPr>
          <w:rFonts w:eastAsia="Calibri"/>
          <w:lang w:val="es-MX"/>
        </w:rPr>
        <w:t>la</w:t>
      </w:r>
      <w:r>
        <w:rPr>
          <w:rFonts w:eastAsia="Calibri"/>
          <w:lang w:val="es-MX"/>
        </w:rPr>
        <w:t xml:space="preserve"> herramienta informática</w:t>
      </w:r>
      <w:r w:rsidR="00AA3B13">
        <w:rPr>
          <w:rFonts w:eastAsia="Calibri"/>
          <w:lang w:val="es-MX"/>
        </w:rPr>
        <w:t>.</w:t>
      </w:r>
    </w:p>
    <w:p w:rsidR="004B5DF5" w:rsidRPr="00CD0AF0" w:rsidRDefault="00FB44FD" w:rsidP="004B5DF5">
      <w:pPr>
        <w:numPr>
          <w:ilvl w:val="0"/>
          <w:numId w:val="10"/>
        </w:numPr>
        <w:contextualSpacing/>
        <w:jc w:val="both"/>
        <w:rPr>
          <w:rFonts w:eastAsia="Calibri"/>
          <w:lang w:val="es-MX"/>
        </w:rPr>
      </w:pPr>
      <w:r>
        <w:rPr>
          <w:rFonts w:eastAsia="Calibri"/>
          <w:lang w:val="es-MX"/>
        </w:rPr>
        <w:t xml:space="preserve">Publicación de </w:t>
      </w:r>
      <w:r w:rsidR="00D96286">
        <w:rPr>
          <w:rFonts w:eastAsia="Calibri"/>
          <w:lang w:val="es-MX"/>
        </w:rPr>
        <w:t xml:space="preserve">la </w:t>
      </w:r>
      <w:r>
        <w:rPr>
          <w:rFonts w:eastAsia="Calibri"/>
          <w:lang w:val="es-MX"/>
        </w:rPr>
        <w:t>información que las instituciones públicas registren en la herramienta informática</w:t>
      </w:r>
      <w:r w:rsidR="00936464">
        <w:rPr>
          <w:rFonts w:eastAsia="Calibri"/>
          <w:lang w:val="es-MX"/>
        </w:rPr>
        <w:t xml:space="preserve"> puesta en funcionamiento.</w:t>
      </w:r>
    </w:p>
    <w:p w:rsidR="004B5DF5" w:rsidRDefault="004B5DF5" w:rsidP="004B5DF5">
      <w:pPr>
        <w:ind w:left="1440"/>
        <w:contextualSpacing/>
        <w:jc w:val="both"/>
        <w:rPr>
          <w:rFonts w:eastAsia="Calibri"/>
          <w:lang w:val="es-MX"/>
        </w:rPr>
      </w:pPr>
    </w:p>
    <w:p w:rsidR="003C1FEE" w:rsidRPr="00CD0AF0" w:rsidRDefault="003C1FEE" w:rsidP="004B5DF5">
      <w:pPr>
        <w:ind w:left="1440"/>
        <w:contextualSpacing/>
        <w:jc w:val="both"/>
        <w:rPr>
          <w:rFonts w:eastAsia="Calibri"/>
          <w:lang w:val="es-MX"/>
        </w:rPr>
      </w:pPr>
    </w:p>
    <w:p w:rsidR="00910D4D" w:rsidRDefault="00D96286" w:rsidP="004B5DF5">
      <w:pPr>
        <w:jc w:val="both"/>
        <w:rPr>
          <w:rFonts w:eastAsia="Calibri"/>
          <w:lang w:val="es-MX"/>
        </w:rPr>
      </w:pPr>
      <w:r>
        <w:rPr>
          <w:rFonts w:eastAsia="Calibri"/>
          <w:lang w:val="es-MX"/>
        </w:rPr>
        <w:t>Independientemente que 8 de las 11 metas que integran los compromisos del eje de Transparencia Fiscal, Compras y Contrataciones Públicas</w:t>
      </w:r>
      <w:r w:rsidR="00910D4D">
        <w:rPr>
          <w:rFonts w:eastAsia="Calibri"/>
          <w:lang w:val="es-MX"/>
        </w:rPr>
        <w:t xml:space="preserve"> (72.7%)</w:t>
      </w:r>
      <w:r>
        <w:rPr>
          <w:rFonts w:eastAsia="Calibri"/>
          <w:lang w:val="es-MX"/>
        </w:rPr>
        <w:t xml:space="preserve">, </w:t>
      </w:r>
      <w:r w:rsidR="00910D4D">
        <w:rPr>
          <w:rFonts w:eastAsia="Calibri"/>
          <w:lang w:val="es-MX"/>
        </w:rPr>
        <w:t>concluyen su vigencia en agosto de 2020, las dependencias responsables directas de su cumplimiento han venido realizando actividades d</w:t>
      </w:r>
      <w:r w:rsidR="004B5DF5" w:rsidRPr="00CD0AF0">
        <w:rPr>
          <w:rFonts w:eastAsia="Calibri"/>
          <w:lang w:val="es-MX"/>
        </w:rPr>
        <w:t>urante el primer semestre del presente año</w:t>
      </w:r>
      <w:r w:rsidR="00910D4D">
        <w:rPr>
          <w:rFonts w:eastAsia="Calibri"/>
          <w:lang w:val="es-MX"/>
        </w:rPr>
        <w:t>, lo que ha permitido que las mismas se encuentren en estado “Iniciado” y “</w:t>
      </w:r>
      <w:r w:rsidR="00E31FB5">
        <w:rPr>
          <w:rFonts w:eastAsia="Calibri"/>
          <w:lang w:val="es-MX"/>
        </w:rPr>
        <w:t>S</w:t>
      </w:r>
      <w:r w:rsidR="00910D4D">
        <w:rPr>
          <w:rFonts w:eastAsia="Calibri"/>
          <w:lang w:val="es-MX"/>
        </w:rPr>
        <w:t>ustancial”</w:t>
      </w:r>
      <w:r w:rsidR="00E31FB5">
        <w:rPr>
          <w:rFonts w:eastAsia="Calibri"/>
          <w:lang w:val="es-MX"/>
        </w:rPr>
        <w:t xml:space="preserve"> y que a nivel global de dicho eje se tenga un 46.5% de cumplimiento</w:t>
      </w:r>
      <w:r w:rsidR="00910D4D">
        <w:rPr>
          <w:rFonts w:eastAsia="Calibri"/>
          <w:lang w:val="es-MX"/>
        </w:rPr>
        <w:t xml:space="preserve">, y se espera reportar un mayor grado de avance al </w:t>
      </w:r>
      <w:r w:rsidR="00E31FB5">
        <w:rPr>
          <w:rFonts w:eastAsia="Calibri"/>
          <w:lang w:val="es-MX"/>
        </w:rPr>
        <w:t>finalizar</w:t>
      </w:r>
      <w:r w:rsidR="00910D4D">
        <w:rPr>
          <w:rFonts w:eastAsia="Calibri"/>
          <w:lang w:val="es-MX"/>
        </w:rPr>
        <w:t xml:space="preserve"> el año 2019.</w:t>
      </w:r>
    </w:p>
    <w:p w:rsidR="00DA6BDB" w:rsidRDefault="00DA6BDB" w:rsidP="004B5DF5">
      <w:pPr>
        <w:jc w:val="both"/>
        <w:rPr>
          <w:rFonts w:eastAsia="Calibri"/>
          <w:lang w:val="es-MX"/>
        </w:rPr>
      </w:pPr>
    </w:p>
    <w:p w:rsidR="002B5EF3" w:rsidRPr="00B21069" w:rsidRDefault="002B5EF3" w:rsidP="002B5EF3">
      <w:pPr>
        <w:jc w:val="center"/>
        <w:rPr>
          <w:b/>
          <w:sz w:val="22"/>
          <w:lang w:val="es-MX"/>
        </w:rPr>
      </w:pPr>
      <w:r w:rsidRPr="00B21069">
        <w:rPr>
          <w:b/>
          <w:sz w:val="22"/>
          <w:lang w:val="es-MX"/>
        </w:rPr>
        <w:t xml:space="preserve">Cuadro </w:t>
      </w:r>
      <w:r>
        <w:rPr>
          <w:b/>
          <w:sz w:val="22"/>
          <w:lang w:val="es-MX"/>
        </w:rPr>
        <w:t>1</w:t>
      </w:r>
      <w:r>
        <w:rPr>
          <w:b/>
          <w:sz w:val="22"/>
          <w:lang w:val="es-MX"/>
        </w:rPr>
        <w:t>9</w:t>
      </w:r>
    </w:p>
    <w:p w:rsidR="00DA6BDB" w:rsidRPr="002B5EF3" w:rsidRDefault="00DA6BDB" w:rsidP="00DA6BDB">
      <w:pPr>
        <w:tabs>
          <w:tab w:val="left" w:pos="0"/>
        </w:tabs>
        <w:spacing w:after="120" w:line="200" w:lineRule="exact"/>
        <w:ind w:right="91"/>
        <w:jc w:val="center"/>
        <w:rPr>
          <w:sz w:val="22"/>
          <w:szCs w:val="20"/>
          <w:lang w:eastAsia="en-US"/>
        </w:rPr>
      </w:pPr>
      <w:r w:rsidRPr="002B5EF3">
        <w:rPr>
          <w:b/>
          <w:sz w:val="22"/>
        </w:rPr>
        <w:t>Situación de los Planes de Acción Nacional de Gobierno Abierto</w:t>
      </w:r>
    </w:p>
    <w:tbl>
      <w:tblPr>
        <w:tblStyle w:val="Tablaconcuadrcula1"/>
        <w:tblW w:w="9640" w:type="dxa"/>
        <w:tblInd w:w="-318" w:type="dxa"/>
        <w:tblBorders>
          <w:insideH w:val="none" w:sz="0" w:space="0" w:color="auto"/>
          <w:insideV w:val="none" w:sz="0" w:space="0" w:color="auto"/>
        </w:tblBorders>
        <w:tblLook w:val="04A0" w:firstRow="1" w:lastRow="0" w:firstColumn="1" w:lastColumn="0" w:noHBand="0" w:noVBand="1"/>
      </w:tblPr>
      <w:tblGrid>
        <w:gridCol w:w="2401"/>
        <w:gridCol w:w="2561"/>
        <w:gridCol w:w="2410"/>
        <w:gridCol w:w="2268"/>
      </w:tblGrid>
      <w:tr w:rsidR="00DA6BDB" w:rsidRPr="00C9779E" w:rsidTr="00E425C1">
        <w:tc>
          <w:tcPr>
            <w:tcW w:w="2401" w:type="dxa"/>
            <w:tcBorders>
              <w:top w:val="single" w:sz="4" w:space="0" w:color="auto"/>
              <w:bottom w:val="single" w:sz="4" w:space="0" w:color="auto"/>
              <w:right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1</w:t>
            </w:r>
            <w:r w:rsidRPr="00C9779E">
              <w:rPr>
                <w:b/>
                <w:sz w:val="22"/>
                <w:szCs w:val="22"/>
                <w:vertAlign w:val="superscript"/>
              </w:rPr>
              <w:t>er</w:t>
            </w:r>
            <w:r w:rsidRPr="00C9779E">
              <w:rPr>
                <w:b/>
                <w:sz w:val="22"/>
                <w:szCs w:val="22"/>
              </w:rPr>
              <w:t xml:space="preserve"> Plan 2012-2014</w:t>
            </w:r>
          </w:p>
        </w:tc>
        <w:tc>
          <w:tcPr>
            <w:tcW w:w="2561" w:type="dxa"/>
            <w:tcBorders>
              <w:top w:val="single" w:sz="4" w:space="0" w:color="auto"/>
              <w:left w:val="single" w:sz="4" w:space="0" w:color="auto"/>
              <w:bottom w:val="single" w:sz="4" w:space="0" w:color="auto"/>
              <w:right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2</w:t>
            </w:r>
            <w:r w:rsidRPr="00C9779E">
              <w:rPr>
                <w:b/>
                <w:sz w:val="22"/>
                <w:szCs w:val="22"/>
                <w:vertAlign w:val="superscript"/>
              </w:rPr>
              <w:t>do</w:t>
            </w:r>
            <w:r w:rsidRPr="00C9779E">
              <w:rPr>
                <w:b/>
                <w:sz w:val="22"/>
                <w:szCs w:val="22"/>
              </w:rPr>
              <w:t xml:space="preserve"> Plan 2014-2016</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3</w:t>
            </w:r>
            <w:r w:rsidRPr="00C9779E">
              <w:rPr>
                <w:b/>
                <w:sz w:val="22"/>
                <w:szCs w:val="22"/>
                <w:vertAlign w:val="superscript"/>
              </w:rPr>
              <w:t>er</w:t>
            </w:r>
            <w:r w:rsidRPr="00C9779E">
              <w:rPr>
                <w:b/>
                <w:sz w:val="22"/>
                <w:szCs w:val="22"/>
              </w:rPr>
              <w:t xml:space="preserve"> Plan 2016-2018</w:t>
            </w:r>
          </w:p>
        </w:tc>
        <w:tc>
          <w:tcPr>
            <w:tcW w:w="2268" w:type="dxa"/>
            <w:tcBorders>
              <w:top w:val="single" w:sz="4" w:space="0" w:color="auto"/>
              <w:left w:val="single" w:sz="4" w:space="0" w:color="auto"/>
              <w:bottom w:val="single" w:sz="4" w:space="0" w:color="auto"/>
            </w:tcBorders>
            <w:shd w:val="clear" w:color="auto" w:fill="99CCFF"/>
          </w:tcPr>
          <w:p w:rsidR="00DA6BDB" w:rsidRPr="00C9779E" w:rsidRDefault="00DA6BDB" w:rsidP="00E425C1">
            <w:pPr>
              <w:jc w:val="center"/>
              <w:rPr>
                <w:b/>
                <w:sz w:val="22"/>
                <w:szCs w:val="22"/>
              </w:rPr>
            </w:pPr>
            <w:r w:rsidRPr="00C9779E">
              <w:rPr>
                <w:b/>
                <w:sz w:val="22"/>
                <w:szCs w:val="22"/>
              </w:rPr>
              <w:t>4</w:t>
            </w:r>
            <w:r w:rsidRPr="00C9779E">
              <w:rPr>
                <w:b/>
                <w:sz w:val="22"/>
                <w:szCs w:val="22"/>
                <w:vertAlign w:val="superscript"/>
              </w:rPr>
              <w:t>to</w:t>
            </w:r>
            <w:r w:rsidRPr="00C9779E">
              <w:rPr>
                <w:b/>
                <w:sz w:val="22"/>
                <w:szCs w:val="22"/>
              </w:rPr>
              <w:t xml:space="preserve"> Plan 2018-2020</w:t>
            </w:r>
          </w:p>
        </w:tc>
      </w:tr>
      <w:tr w:rsidR="00DA6BDB" w:rsidRPr="00C9779E" w:rsidTr="00E425C1">
        <w:tc>
          <w:tcPr>
            <w:tcW w:w="2401" w:type="dxa"/>
            <w:tcBorders>
              <w:top w:val="single" w:sz="4" w:space="0" w:color="auto"/>
              <w:right w:val="single" w:sz="4" w:space="0" w:color="auto"/>
            </w:tcBorders>
          </w:tcPr>
          <w:p w:rsidR="00DA6BDB" w:rsidRPr="00C9779E" w:rsidRDefault="00DA6BDB" w:rsidP="00E425C1">
            <w:pPr>
              <w:rPr>
                <w:sz w:val="22"/>
                <w:szCs w:val="22"/>
              </w:rPr>
            </w:pPr>
          </w:p>
        </w:tc>
        <w:tc>
          <w:tcPr>
            <w:tcW w:w="2561" w:type="dxa"/>
            <w:tcBorders>
              <w:top w:val="single" w:sz="4" w:space="0" w:color="auto"/>
              <w:left w:val="single" w:sz="4" w:space="0" w:color="auto"/>
              <w:right w:val="single" w:sz="4" w:space="0" w:color="auto"/>
            </w:tcBorders>
          </w:tcPr>
          <w:p w:rsidR="00DA6BDB" w:rsidRPr="00C9779E" w:rsidRDefault="00DA6BDB" w:rsidP="00E425C1">
            <w:pPr>
              <w:rPr>
                <w:sz w:val="22"/>
                <w:szCs w:val="22"/>
              </w:rPr>
            </w:pPr>
          </w:p>
        </w:tc>
        <w:tc>
          <w:tcPr>
            <w:tcW w:w="2410" w:type="dxa"/>
            <w:tcBorders>
              <w:top w:val="single" w:sz="4" w:space="0" w:color="auto"/>
              <w:left w:val="single" w:sz="4" w:space="0" w:color="auto"/>
              <w:right w:val="single" w:sz="4" w:space="0" w:color="auto"/>
            </w:tcBorders>
          </w:tcPr>
          <w:p w:rsidR="00DA6BDB" w:rsidRPr="00C9779E" w:rsidRDefault="00DA6BDB" w:rsidP="00E425C1">
            <w:pPr>
              <w:rPr>
                <w:sz w:val="22"/>
                <w:szCs w:val="22"/>
              </w:rPr>
            </w:pPr>
          </w:p>
        </w:tc>
        <w:tc>
          <w:tcPr>
            <w:tcW w:w="2268" w:type="dxa"/>
            <w:tcBorders>
              <w:top w:val="single" w:sz="4" w:space="0" w:color="auto"/>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2 Ejes temáticos</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5 Ejes temáticos</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5 Ejes temáticos</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12 Ejes temáticos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3 Compromisos (14 hitos o metas)</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48 Compromisos</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22 Compromisos</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24 Compromisos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(todos de Transparencia Fiscal)</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22 propuestos por entidades de Gobierno</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(7 de Transparencia Fiscal)</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(3 de Transparencia Fiscal)</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26 propuestos por OSC</w:t>
            </w: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(12 de Transparencia Fiscal)</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3 Foros de Consulta Ciudadana en el interior</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6 Foros de Consulta Ciudadana</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Un comité técnico por cada eje temático</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3 Rondas de Mesas de Trabajo</w:t>
            </w:r>
          </w:p>
          <w:p w:rsidR="00DA6BDB" w:rsidRPr="00C9779E" w:rsidRDefault="00DA6BDB" w:rsidP="00E425C1">
            <w:pPr>
              <w:rPr>
                <w:sz w:val="22"/>
                <w:szCs w:val="22"/>
              </w:rPr>
            </w:pPr>
            <w:r w:rsidRPr="00C9779E">
              <w:rPr>
                <w:sz w:val="22"/>
                <w:szCs w:val="22"/>
              </w:rPr>
              <w:t>Varias reuniones técnicas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Propuestas solo del Gobierno</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Coyuntura política de 2015</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Existió autoevaluación por parte del Gobierno</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Revisión a la metodología propuesta por organizaciones de sociedad civil</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No participó sociedad civil</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COPRET suspende funciones en 2015</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Evaluación del MRI (es el investigador independiente)</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Evaluación en línea</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lastRenderedPageBreak/>
              <w:t>COPRET no consultó con entidades públicas ni con sociedad civil</w:t>
            </w: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Revisión del Comité Técnico</w:t>
            </w:r>
          </w:p>
          <w:p w:rsidR="00DA6BDB" w:rsidRPr="00C9779E" w:rsidRDefault="00DA6BDB" w:rsidP="00E425C1">
            <w:pPr>
              <w:rPr>
                <w:sz w:val="22"/>
                <w:szCs w:val="22"/>
              </w:rPr>
            </w:pPr>
            <w:r w:rsidRPr="00C9779E">
              <w:rPr>
                <w:sz w:val="22"/>
                <w:szCs w:val="22"/>
              </w:rPr>
              <w:t>Revisión del Comité de Estilo</w:t>
            </w:r>
          </w:p>
          <w:p w:rsidR="00DA6BDB" w:rsidRPr="00C9779E" w:rsidRDefault="00DA6BDB" w:rsidP="00E425C1">
            <w:pPr>
              <w:rPr>
                <w:sz w:val="22"/>
                <w:szCs w:val="22"/>
              </w:rPr>
            </w:pPr>
            <w:r w:rsidRPr="00C9779E">
              <w:rPr>
                <w:sz w:val="22"/>
                <w:szCs w:val="22"/>
              </w:rPr>
              <w:t>Revisión de la OGP</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Contenido irrelevante para la sociedad civil</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No existe evaluación oficial del Plan por parte del Gobierno</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96.68% de avance en los compromisos de transparencia fiscal</w:t>
            </w: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Impacto Medio</w:t>
            </w: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90.22 % de avance global de todo el Plan</w:t>
            </w: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p>
        </w:tc>
        <w:tc>
          <w:tcPr>
            <w:tcW w:w="2561" w:type="dxa"/>
            <w:tcBorders>
              <w:left w:val="single" w:sz="4" w:space="0" w:color="auto"/>
              <w:right w:val="single" w:sz="4" w:space="0" w:color="auto"/>
            </w:tcBorders>
          </w:tcPr>
          <w:p w:rsidR="00DA6BDB" w:rsidRPr="00C9779E" w:rsidRDefault="00DA6BDB" w:rsidP="00E425C1">
            <w:pPr>
              <w:rPr>
                <w:sz w:val="22"/>
                <w:szCs w:val="22"/>
              </w:rPr>
            </w:pPr>
          </w:p>
        </w:tc>
        <w:tc>
          <w:tcPr>
            <w:tcW w:w="2410" w:type="dxa"/>
            <w:tcBorders>
              <w:left w:val="single" w:sz="4" w:space="0" w:color="auto"/>
              <w:right w:val="single" w:sz="4" w:space="0" w:color="auto"/>
            </w:tcBorders>
          </w:tcPr>
          <w:p w:rsidR="00DA6BDB" w:rsidRPr="00C9779E" w:rsidRDefault="00DA6BDB" w:rsidP="00E425C1">
            <w:pPr>
              <w:rPr>
                <w:sz w:val="22"/>
                <w:szCs w:val="22"/>
              </w:rPr>
            </w:pPr>
          </w:p>
        </w:tc>
        <w:tc>
          <w:tcPr>
            <w:tcW w:w="2268" w:type="dxa"/>
            <w:tcBorders>
              <w:left w:val="single" w:sz="4" w:space="0" w:color="auto"/>
            </w:tcBorders>
          </w:tcPr>
          <w:p w:rsidR="00DA6BDB" w:rsidRPr="00C9779E" w:rsidRDefault="00DA6BDB" w:rsidP="00E425C1">
            <w:pPr>
              <w:rPr>
                <w:sz w:val="22"/>
                <w:szCs w:val="22"/>
              </w:rPr>
            </w:pP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Evaluación de 14 hitos (según MRI):</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MINFIN rescata sus compromisos de Transparencia Fiscal:</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Informe Final en página de Gobierno Abierto para comentarios de la ciudadanía</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20 de noviembre validación técnica por autoridades superiores de entidades públicas</w:t>
            </w:r>
          </w:p>
        </w:tc>
      </w:tr>
      <w:tr w:rsidR="00DA6BDB" w:rsidRPr="00C9779E" w:rsidTr="00E425C1">
        <w:tc>
          <w:tcPr>
            <w:tcW w:w="2401" w:type="dxa"/>
            <w:tcBorders>
              <w:right w:val="single" w:sz="4" w:space="0" w:color="auto"/>
            </w:tcBorders>
          </w:tcPr>
          <w:p w:rsidR="00DA6BDB" w:rsidRPr="00C9779E" w:rsidRDefault="00DA6BDB" w:rsidP="00E425C1">
            <w:pPr>
              <w:rPr>
                <w:sz w:val="22"/>
                <w:szCs w:val="22"/>
              </w:rPr>
            </w:pPr>
            <w:r w:rsidRPr="00C9779E">
              <w:rPr>
                <w:sz w:val="22"/>
                <w:szCs w:val="22"/>
              </w:rPr>
              <w:t>No iniciados</w:t>
            </w:r>
            <w:r w:rsidRPr="00C9779E">
              <w:rPr>
                <w:sz w:val="22"/>
                <w:szCs w:val="22"/>
              </w:rPr>
              <w:tab/>
              <w:t xml:space="preserve">  2</w:t>
            </w:r>
          </w:p>
          <w:p w:rsidR="00DA6BDB" w:rsidRPr="00C9779E" w:rsidRDefault="00DA6BDB" w:rsidP="00E425C1">
            <w:pPr>
              <w:rPr>
                <w:sz w:val="22"/>
                <w:szCs w:val="22"/>
              </w:rPr>
            </w:pPr>
            <w:r w:rsidRPr="00C9779E">
              <w:rPr>
                <w:sz w:val="22"/>
                <w:szCs w:val="22"/>
              </w:rPr>
              <w:t>Limitados</w:t>
            </w:r>
            <w:r w:rsidRPr="00C9779E">
              <w:rPr>
                <w:sz w:val="22"/>
                <w:szCs w:val="22"/>
              </w:rPr>
              <w:tab/>
              <w:t>10</w:t>
            </w:r>
          </w:p>
          <w:p w:rsidR="00DA6BDB" w:rsidRPr="00C9779E" w:rsidRDefault="00DA6BDB" w:rsidP="00E425C1">
            <w:pPr>
              <w:rPr>
                <w:sz w:val="22"/>
                <w:szCs w:val="22"/>
              </w:rPr>
            </w:pPr>
            <w:r w:rsidRPr="00C9779E">
              <w:rPr>
                <w:sz w:val="22"/>
                <w:szCs w:val="22"/>
              </w:rPr>
              <w:t>Sustantivos</w:t>
            </w:r>
            <w:r w:rsidRPr="00C9779E">
              <w:rPr>
                <w:sz w:val="22"/>
                <w:szCs w:val="22"/>
              </w:rPr>
              <w:tab/>
              <w:t xml:space="preserve">  2</w:t>
            </w:r>
          </w:p>
          <w:p w:rsidR="00DA6BDB" w:rsidRPr="00C9779E" w:rsidRDefault="00DA6BDB" w:rsidP="00E425C1">
            <w:pPr>
              <w:rPr>
                <w:sz w:val="22"/>
                <w:szCs w:val="22"/>
              </w:rPr>
            </w:pPr>
            <w:r w:rsidRPr="00C9779E">
              <w:rPr>
                <w:sz w:val="22"/>
                <w:szCs w:val="22"/>
              </w:rPr>
              <w:t>Completos</w:t>
            </w:r>
            <w:r w:rsidRPr="00C9779E">
              <w:rPr>
                <w:sz w:val="22"/>
                <w:szCs w:val="22"/>
              </w:rPr>
              <w:tab/>
              <w:t xml:space="preserve">  0</w:t>
            </w:r>
          </w:p>
        </w:tc>
        <w:tc>
          <w:tcPr>
            <w:tcW w:w="2561"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Iniciados</w:t>
            </w:r>
            <w:r w:rsidRPr="00C9779E">
              <w:rPr>
                <w:sz w:val="22"/>
                <w:szCs w:val="22"/>
              </w:rPr>
              <w:tab/>
              <w:t>2</w:t>
            </w:r>
          </w:p>
          <w:p w:rsidR="00DA6BDB" w:rsidRPr="00C9779E" w:rsidRDefault="00DA6BDB" w:rsidP="00E425C1">
            <w:pPr>
              <w:rPr>
                <w:sz w:val="22"/>
                <w:szCs w:val="22"/>
              </w:rPr>
            </w:pPr>
            <w:r w:rsidRPr="00C9779E">
              <w:rPr>
                <w:sz w:val="22"/>
                <w:szCs w:val="22"/>
              </w:rPr>
              <w:t>En curso</w:t>
            </w:r>
            <w:r w:rsidRPr="00C9779E">
              <w:rPr>
                <w:sz w:val="22"/>
                <w:szCs w:val="22"/>
              </w:rPr>
              <w:tab/>
              <w:t>5</w:t>
            </w:r>
          </w:p>
          <w:p w:rsidR="00DA6BDB" w:rsidRPr="00C9779E" w:rsidRDefault="00DA6BDB" w:rsidP="00E425C1">
            <w:pPr>
              <w:rPr>
                <w:sz w:val="22"/>
                <w:szCs w:val="22"/>
              </w:rPr>
            </w:pPr>
            <w:r w:rsidRPr="00C9779E">
              <w:rPr>
                <w:sz w:val="22"/>
                <w:szCs w:val="22"/>
              </w:rPr>
              <w:t>Sustanciales</w:t>
            </w:r>
            <w:r w:rsidRPr="00C9779E">
              <w:rPr>
                <w:sz w:val="22"/>
                <w:szCs w:val="22"/>
              </w:rPr>
              <w:tab/>
              <w:t>3</w:t>
            </w:r>
          </w:p>
          <w:p w:rsidR="00DA6BDB" w:rsidRPr="00C9779E" w:rsidRDefault="00DA6BDB" w:rsidP="00E425C1">
            <w:pPr>
              <w:rPr>
                <w:sz w:val="22"/>
                <w:szCs w:val="22"/>
              </w:rPr>
            </w:pPr>
            <w:r w:rsidRPr="00C9779E">
              <w:rPr>
                <w:sz w:val="22"/>
                <w:szCs w:val="22"/>
              </w:rPr>
              <w:t>Completos</w:t>
            </w:r>
            <w:r w:rsidRPr="00C9779E">
              <w:rPr>
                <w:sz w:val="22"/>
                <w:szCs w:val="22"/>
              </w:rPr>
              <w:tab/>
              <w:t>2</w:t>
            </w:r>
          </w:p>
        </w:tc>
        <w:tc>
          <w:tcPr>
            <w:tcW w:w="2410" w:type="dxa"/>
            <w:tcBorders>
              <w:left w:val="single" w:sz="4" w:space="0" w:color="auto"/>
              <w:right w:val="single" w:sz="4" w:space="0" w:color="auto"/>
            </w:tcBorders>
          </w:tcPr>
          <w:p w:rsidR="00DA6BDB" w:rsidRPr="00C9779E" w:rsidRDefault="00DA6BDB" w:rsidP="00E425C1">
            <w:pPr>
              <w:rPr>
                <w:sz w:val="22"/>
                <w:szCs w:val="22"/>
              </w:rPr>
            </w:pPr>
            <w:r w:rsidRPr="00C9779E">
              <w:rPr>
                <w:sz w:val="22"/>
                <w:szCs w:val="22"/>
              </w:rPr>
              <w:t>Buen ejercicio de co-creación entre el Gobierno y organizaciones de la sociedad civil</w:t>
            </w:r>
          </w:p>
        </w:tc>
        <w:tc>
          <w:tcPr>
            <w:tcW w:w="2268" w:type="dxa"/>
            <w:tcBorders>
              <w:left w:val="single" w:sz="4" w:space="0" w:color="auto"/>
            </w:tcBorders>
          </w:tcPr>
          <w:p w:rsidR="00DA6BDB" w:rsidRPr="00C9779E" w:rsidRDefault="00DA6BDB" w:rsidP="00E425C1">
            <w:pPr>
              <w:rPr>
                <w:sz w:val="22"/>
                <w:szCs w:val="22"/>
              </w:rPr>
            </w:pPr>
            <w:r w:rsidRPr="00C9779E">
              <w:rPr>
                <w:sz w:val="22"/>
                <w:szCs w:val="22"/>
              </w:rPr>
              <w:t>28 de noviembre lanzamiento oficial por parte del Presidente de la República</w:t>
            </w:r>
          </w:p>
        </w:tc>
      </w:tr>
      <w:tr w:rsidR="00DA6BDB" w:rsidRPr="00C9779E" w:rsidTr="00E425C1">
        <w:tc>
          <w:tcPr>
            <w:tcW w:w="2401" w:type="dxa"/>
            <w:tcBorders>
              <w:bottom w:val="single" w:sz="4" w:space="0" w:color="auto"/>
              <w:right w:val="single" w:sz="4" w:space="0" w:color="auto"/>
            </w:tcBorders>
          </w:tcPr>
          <w:p w:rsidR="00DA6BDB" w:rsidRPr="00C9779E" w:rsidRDefault="00DA6BDB" w:rsidP="00E425C1">
            <w:pPr>
              <w:rPr>
                <w:sz w:val="14"/>
                <w:szCs w:val="22"/>
              </w:rPr>
            </w:pPr>
          </w:p>
        </w:tc>
        <w:tc>
          <w:tcPr>
            <w:tcW w:w="2561" w:type="dxa"/>
            <w:tcBorders>
              <w:left w:val="single" w:sz="4" w:space="0" w:color="auto"/>
              <w:bottom w:val="single" w:sz="4" w:space="0" w:color="auto"/>
              <w:right w:val="single" w:sz="4" w:space="0" w:color="auto"/>
            </w:tcBorders>
          </w:tcPr>
          <w:p w:rsidR="00DA6BDB" w:rsidRPr="00C9779E" w:rsidRDefault="00DA6BDB" w:rsidP="00E425C1">
            <w:pPr>
              <w:rPr>
                <w:sz w:val="14"/>
                <w:szCs w:val="22"/>
              </w:rPr>
            </w:pPr>
          </w:p>
        </w:tc>
        <w:tc>
          <w:tcPr>
            <w:tcW w:w="2410" w:type="dxa"/>
            <w:tcBorders>
              <w:left w:val="single" w:sz="4" w:space="0" w:color="auto"/>
              <w:bottom w:val="single" w:sz="4" w:space="0" w:color="auto"/>
              <w:right w:val="single" w:sz="4" w:space="0" w:color="auto"/>
            </w:tcBorders>
          </w:tcPr>
          <w:p w:rsidR="00DA6BDB" w:rsidRPr="00C9779E" w:rsidRDefault="00DA6BDB" w:rsidP="00E425C1">
            <w:pPr>
              <w:rPr>
                <w:sz w:val="14"/>
                <w:szCs w:val="22"/>
              </w:rPr>
            </w:pPr>
          </w:p>
        </w:tc>
        <w:tc>
          <w:tcPr>
            <w:tcW w:w="2268" w:type="dxa"/>
            <w:tcBorders>
              <w:left w:val="single" w:sz="4" w:space="0" w:color="auto"/>
              <w:bottom w:val="single" w:sz="4" w:space="0" w:color="auto"/>
            </w:tcBorders>
          </w:tcPr>
          <w:p w:rsidR="00DA6BDB" w:rsidRPr="00C9779E" w:rsidRDefault="00DA6BDB" w:rsidP="00E425C1">
            <w:pPr>
              <w:rPr>
                <w:sz w:val="14"/>
                <w:szCs w:val="22"/>
              </w:rPr>
            </w:pPr>
          </w:p>
        </w:tc>
      </w:tr>
    </w:tbl>
    <w:p w:rsidR="00910D4D" w:rsidRPr="008078F8" w:rsidRDefault="008078F8" w:rsidP="008078F8">
      <w:pPr>
        <w:pStyle w:val="Ttulo2"/>
        <w:numPr>
          <w:ilvl w:val="1"/>
          <w:numId w:val="25"/>
        </w:numPr>
        <w:rPr>
          <w:rFonts w:ascii="Times New Roman" w:hAnsi="Times New Roman"/>
          <w:color w:val="auto"/>
          <w:sz w:val="24"/>
        </w:rPr>
      </w:pPr>
      <w:bookmarkStart w:id="32" w:name="_Toc20495584"/>
      <w:r>
        <w:rPr>
          <w:rFonts w:ascii="Times New Roman" w:hAnsi="Times New Roman"/>
          <w:color w:val="auto"/>
          <w:sz w:val="24"/>
        </w:rPr>
        <w:t xml:space="preserve">Otras </w:t>
      </w:r>
      <w:r w:rsidR="000D2458">
        <w:rPr>
          <w:rFonts w:ascii="Times New Roman" w:hAnsi="Times New Roman"/>
          <w:color w:val="auto"/>
          <w:sz w:val="24"/>
        </w:rPr>
        <w:t>A</w:t>
      </w:r>
      <w:r>
        <w:rPr>
          <w:rFonts w:ascii="Times New Roman" w:hAnsi="Times New Roman"/>
          <w:color w:val="auto"/>
          <w:sz w:val="24"/>
        </w:rPr>
        <w:t xml:space="preserve">cciones sobre </w:t>
      </w:r>
      <w:r w:rsidR="000D2458">
        <w:rPr>
          <w:rFonts w:ascii="Times New Roman" w:hAnsi="Times New Roman"/>
          <w:color w:val="auto"/>
          <w:sz w:val="24"/>
        </w:rPr>
        <w:t>T</w:t>
      </w:r>
      <w:r>
        <w:rPr>
          <w:rFonts w:ascii="Times New Roman" w:hAnsi="Times New Roman"/>
          <w:color w:val="auto"/>
          <w:sz w:val="24"/>
        </w:rPr>
        <w:t xml:space="preserve">ransparencia </w:t>
      </w:r>
      <w:r w:rsidR="000D2458">
        <w:rPr>
          <w:rFonts w:ascii="Times New Roman" w:hAnsi="Times New Roman"/>
          <w:color w:val="auto"/>
          <w:sz w:val="24"/>
        </w:rPr>
        <w:t>F</w:t>
      </w:r>
      <w:r>
        <w:rPr>
          <w:rFonts w:ascii="Times New Roman" w:hAnsi="Times New Roman"/>
          <w:color w:val="auto"/>
          <w:sz w:val="24"/>
        </w:rPr>
        <w:t>iscal</w:t>
      </w:r>
      <w:bookmarkEnd w:id="32"/>
    </w:p>
    <w:p w:rsidR="008078F8" w:rsidRDefault="008078F8" w:rsidP="004B5DF5">
      <w:pPr>
        <w:jc w:val="both"/>
        <w:rPr>
          <w:b/>
          <w:i/>
          <w:lang w:val="es-ES_tradnl"/>
        </w:rPr>
      </w:pPr>
    </w:p>
    <w:p w:rsidR="004B5DF5" w:rsidRPr="00CD0AF0" w:rsidRDefault="004B5DF5" w:rsidP="004B5DF5">
      <w:pPr>
        <w:jc w:val="both"/>
        <w:rPr>
          <w:lang w:val="es-ES_tradnl"/>
        </w:rPr>
      </w:pPr>
      <w:r w:rsidRPr="006D17DE">
        <w:rPr>
          <w:b/>
          <w:i/>
          <w:lang w:val="es-ES_tradnl"/>
        </w:rPr>
        <w:t>Talleres de Presupuesto Abierto 20</w:t>
      </w:r>
      <w:r w:rsidR="00AA04AD">
        <w:rPr>
          <w:b/>
          <w:i/>
          <w:lang w:val="es-ES_tradnl"/>
        </w:rPr>
        <w:t>20</w:t>
      </w:r>
      <w:r w:rsidRPr="00CD0AF0">
        <w:rPr>
          <w:b/>
          <w:lang w:val="es-ES_tradnl"/>
        </w:rPr>
        <w:t>.</w:t>
      </w:r>
      <w:r w:rsidRPr="00CD0AF0">
        <w:rPr>
          <w:lang w:val="es-ES_tradnl"/>
        </w:rPr>
        <w:t xml:space="preserve"> </w:t>
      </w:r>
      <w:r w:rsidR="00AA04AD">
        <w:rPr>
          <w:lang w:val="es-ES_tradnl"/>
        </w:rPr>
        <w:t>A partir del año 2017, por medio del Acuerdo Ministerial No. 194-2017 se institucionalizaron los Talleres de Presupuesto Abierto a desarrollarse durante e</w:t>
      </w:r>
      <w:r w:rsidRPr="00CD0AF0">
        <w:rPr>
          <w:lang w:val="es-ES_tradnl"/>
        </w:rPr>
        <w:t xml:space="preserve">l proceso de </w:t>
      </w:r>
      <w:r w:rsidR="00AA04AD">
        <w:rPr>
          <w:lang w:val="es-ES_tradnl"/>
        </w:rPr>
        <w:t xml:space="preserve">la </w:t>
      </w:r>
      <w:r w:rsidRPr="00CD0AF0">
        <w:rPr>
          <w:lang w:val="es-ES_tradnl"/>
        </w:rPr>
        <w:t>formulación</w:t>
      </w:r>
      <w:r w:rsidR="00AA04AD">
        <w:rPr>
          <w:lang w:val="es-ES_tradnl"/>
        </w:rPr>
        <w:t xml:space="preserve"> presupuestaria. En ese sentido, </w:t>
      </w:r>
      <w:r w:rsidR="00F42501">
        <w:rPr>
          <w:lang w:val="es-ES_tradnl"/>
        </w:rPr>
        <w:t>durante el mes de junio de 2019</w:t>
      </w:r>
      <w:r w:rsidR="00976CAC">
        <w:rPr>
          <w:lang w:val="es-ES_tradnl"/>
        </w:rPr>
        <w:t>,</w:t>
      </w:r>
      <w:r w:rsidR="00AA04AD">
        <w:rPr>
          <w:lang w:val="es-ES_tradnl"/>
        </w:rPr>
        <w:t xml:space="preserve"> la formulación </w:t>
      </w:r>
      <w:r w:rsidRPr="00CD0AF0">
        <w:rPr>
          <w:lang w:val="es-ES_tradnl"/>
        </w:rPr>
        <w:t>del Proyecto de Presupuesto General de Ingresos y Egresos del Estado para el Ejercicio Fiscal 20</w:t>
      </w:r>
      <w:r w:rsidR="00AA04AD">
        <w:rPr>
          <w:lang w:val="es-ES_tradnl"/>
        </w:rPr>
        <w:t>20 y Multianual 2020-2024 se abrió</w:t>
      </w:r>
      <w:r w:rsidRPr="00CD0AF0">
        <w:rPr>
          <w:lang w:val="es-ES_tradnl"/>
        </w:rPr>
        <w:t xml:space="preserve"> a la participación de organizaciones de sociedad civil, sector privado, sector académico, tanques de pensamiento, observadores internacionales y ciudadanos en general, para que emitieran comentarios y recomendaciones. </w:t>
      </w:r>
      <w:r w:rsidR="00F42501">
        <w:rPr>
          <w:lang w:val="es-ES_tradnl"/>
        </w:rPr>
        <w:t>S</w:t>
      </w:r>
      <w:r w:rsidRPr="00CD0AF0">
        <w:rPr>
          <w:lang w:val="es-ES_tradnl"/>
        </w:rPr>
        <w:t xml:space="preserve">e inició con la realización de un taller organizado por el Ministerio de Finanzas Públicas, Banco de Guatemala y Superintendencia de Administración Tributaria (SAT) para dar a conocer las proyecciones macroeconómicas y las estimaciones de ingresos tributarios que sirvieron de base para la elaboración de un presupuesto exploratorio y entrega de los techos presupuestarios institucionales. Seguidamente se realizaron talleres de presupuesto abierto para que los Ministerios de Estado y otras entidades públicas, tales como el Organismo Judicial y el Ministerio Público, dieran a conocer sus programas de trabajo y sus requerimientos presupuestarios. </w:t>
      </w:r>
      <w:r w:rsidR="00976CAC">
        <w:rPr>
          <w:lang w:val="es-ES_tradnl"/>
        </w:rPr>
        <w:t>Estos talleres se desarrollaron bajo la modalidad de ejes prioritarios con el acompañamiento de organismos internacionales</w:t>
      </w:r>
      <w:r w:rsidR="00EF477B">
        <w:rPr>
          <w:lang w:val="es-ES_tradnl"/>
        </w:rPr>
        <w:t>: a) Desarrollo Humano (Ministerios de Educación</w:t>
      </w:r>
      <w:r w:rsidR="00802A89">
        <w:rPr>
          <w:lang w:val="es-ES_tradnl"/>
        </w:rPr>
        <w:t>;</w:t>
      </w:r>
      <w:r w:rsidR="00EF477B">
        <w:rPr>
          <w:lang w:val="es-ES_tradnl"/>
        </w:rPr>
        <w:t xml:space="preserve"> de Desarrollo Social</w:t>
      </w:r>
      <w:r w:rsidR="00802A89">
        <w:rPr>
          <w:lang w:val="es-ES_tradnl"/>
        </w:rPr>
        <w:t>;</w:t>
      </w:r>
      <w:r w:rsidR="00EF477B">
        <w:rPr>
          <w:lang w:val="es-ES_tradnl"/>
        </w:rPr>
        <w:t xml:space="preserve"> de Agricultura, Ganadería y Alimentación</w:t>
      </w:r>
      <w:r w:rsidR="00802A89">
        <w:rPr>
          <w:lang w:val="es-ES_tradnl"/>
        </w:rPr>
        <w:t>;</w:t>
      </w:r>
      <w:r w:rsidR="00EF477B">
        <w:rPr>
          <w:lang w:val="es-ES_tradnl"/>
        </w:rPr>
        <w:t xml:space="preserve"> y de Salud Pública y Asistencia Social); b) Economía y Prosperidad (Ministerios de Economía</w:t>
      </w:r>
      <w:r w:rsidR="00802A89">
        <w:rPr>
          <w:lang w:val="es-ES_tradnl"/>
        </w:rPr>
        <w:t>;</w:t>
      </w:r>
      <w:r w:rsidR="00EF477B">
        <w:rPr>
          <w:lang w:val="es-ES_tradnl"/>
        </w:rPr>
        <w:t xml:space="preserve"> de Energía y Minas</w:t>
      </w:r>
      <w:r w:rsidR="00802A89">
        <w:rPr>
          <w:lang w:val="es-ES_tradnl"/>
        </w:rPr>
        <w:t>;</w:t>
      </w:r>
      <w:r w:rsidR="00EF477B">
        <w:rPr>
          <w:lang w:val="es-ES_tradnl"/>
        </w:rPr>
        <w:t xml:space="preserve"> de Comunicaciones, Infraestructura y Vivienda</w:t>
      </w:r>
      <w:r w:rsidR="00802A89">
        <w:rPr>
          <w:lang w:val="es-ES_tradnl"/>
        </w:rPr>
        <w:t>;</w:t>
      </w:r>
      <w:r w:rsidR="00EF477B">
        <w:rPr>
          <w:lang w:val="es-ES_tradnl"/>
        </w:rPr>
        <w:t xml:space="preserve"> y la Agencia Nacional de Alianzas para el Desarrollo de Infraestructura Económica); c) Seguridad y Justicia (Ministerio Público</w:t>
      </w:r>
      <w:r w:rsidR="00802A89">
        <w:rPr>
          <w:lang w:val="es-ES_tradnl"/>
        </w:rPr>
        <w:t>;</w:t>
      </w:r>
      <w:r w:rsidR="00EF477B">
        <w:rPr>
          <w:lang w:val="es-ES_tradnl"/>
        </w:rPr>
        <w:t xml:space="preserve"> de Gobernación</w:t>
      </w:r>
      <w:r w:rsidR="00802A89">
        <w:rPr>
          <w:lang w:val="es-ES_tradnl"/>
        </w:rPr>
        <w:t>;</w:t>
      </w:r>
      <w:r w:rsidR="00EF477B">
        <w:rPr>
          <w:lang w:val="es-ES_tradnl"/>
        </w:rPr>
        <w:t xml:space="preserve"> de la Defensa Nacional</w:t>
      </w:r>
      <w:r w:rsidR="00802A89">
        <w:rPr>
          <w:lang w:val="es-ES_tradnl"/>
        </w:rPr>
        <w:t>;</w:t>
      </w:r>
      <w:r w:rsidR="00EF477B">
        <w:rPr>
          <w:lang w:val="es-ES_tradnl"/>
        </w:rPr>
        <w:t xml:space="preserve"> y Organismo Judicial). </w:t>
      </w:r>
      <w:r w:rsidR="00F42501">
        <w:rPr>
          <w:lang w:val="es-ES_tradnl"/>
        </w:rPr>
        <w:t xml:space="preserve">Para el segundo semestre se tiene previsto </w:t>
      </w:r>
      <w:r w:rsidRPr="00CD0AF0">
        <w:rPr>
          <w:lang w:val="es-ES_tradnl"/>
        </w:rPr>
        <w:t xml:space="preserve">la realización de un taller sobre </w:t>
      </w:r>
      <w:r w:rsidR="00BE34C3">
        <w:rPr>
          <w:lang w:val="es-ES_tradnl"/>
        </w:rPr>
        <w:t>A</w:t>
      </w:r>
      <w:r w:rsidR="00BE34C3" w:rsidRPr="00CD0AF0">
        <w:rPr>
          <w:lang w:val="es-ES_tradnl"/>
        </w:rPr>
        <w:t xml:space="preserve">nálisis y </w:t>
      </w:r>
      <w:r w:rsidR="00BE34C3">
        <w:rPr>
          <w:lang w:val="es-ES_tradnl"/>
        </w:rPr>
        <w:t>G</w:t>
      </w:r>
      <w:r w:rsidR="00BE34C3" w:rsidRPr="00CD0AF0">
        <w:rPr>
          <w:lang w:val="es-ES_tradnl"/>
        </w:rPr>
        <w:t xml:space="preserve">estión de </w:t>
      </w:r>
      <w:r w:rsidR="00BE34C3">
        <w:rPr>
          <w:lang w:val="es-ES_tradnl"/>
        </w:rPr>
        <w:t>R</w:t>
      </w:r>
      <w:r w:rsidR="00BE34C3" w:rsidRPr="00CD0AF0">
        <w:rPr>
          <w:lang w:val="es-ES_tradnl"/>
        </w:rPr>
        <w:t xml:space="preserve">iesgos </w:t>
      </w:r>
      <w:r w:rsidR="00BE34C3">
        <w:rPr>
          <w:lang w:val="es-ES_tradnl"/>
        </w:rPr>
        <w:t>F</w:t>
      </w:r>
      <w:r w:rsidR="00BE34C3" w:rsidRPr="00CD0AF0">
        <w:rPr>
          <w:lang w:val="es-ES_tradnl"/>
        </w:rPr>
        <w:t>iscales</w:t>
      </w:r>
      <w:r w:rsidR="003E35B2">
        <w:rPr>
          <w:lang w:val="es-ES_tradnl"/>
        </w:rPr>
        <w:t xml:space="preserve"> que </w:t>
      </w:r>
      <w:r w:rsidR="00073CB5">
        <w:rPr>
          <w:lang w:val="es-ES_tradnl"/>
        </w:rPr>
        <w:t>proporcione insumos para la elaboración e</w:t>
      </w:r>
      <w:r w:rsidR="003E35B2">
        <w:rPr>
          <w:lang w:val="es-ES_tradnl"/>
        </w:rPr>
        <w:t xml:space="preserve"> inclusión de una separata en </w:t>
      </w:r>
      <w:r w:rsidR="00351989">
        <w:rPr>
          <w:lang w:val="es-ES_tradnl"/>
        </w:rPr>
        <w:t>la formulación d</w:t>
      </w:r>
      <w:r w:rsidR="003E35B2">
        <w:rPr>
          <w:lang w:val="es-ES_tradnl"/>
        </w:rPr>
        <w:t>el Proyecto de Presupuesto General de Ingresos y Egresos del Estado para el Ejercicio Fiscal 20</w:t>
      </w:r>
      <w:r w:rsidR="00F42501">
        <w:rPr>
          <w:lang w:val="es-ES_tradnl"/>
        </w:rPr>
        <w:t>20</w:t>
      </w:r>
      <w:r w:rsidR="003E35B2">
        <w:rPr>
          <w:lang w:val="es-ES_tradnl"/>
        </w:rPr>
        <w:t>;</w:t>
      </w:r>
      <w:r w:rsidR="00BE34C3">
        <w:rPr>
          <w:lang w:val="es-ES_tradnl"/>
        </w:rPr>
        <w:t xml:space="preserve"> </w:t>
      </w:r>
      <w:r w:rsidR="00BE34C3" w:rsidRPr="00CD0AF0">
        <w:rPr>
          <w:lang w:val="es-ES_tradnl"/>
        </w:rPr>
        <w:t xml:space="preserve">así como </w:t>
      </w:r>
      <w:r w:rsidR="00351989">
        <w:rPr>
          <w:lang w:val="es-ES_tradnl"/>
        </w:rPr>
        <w:t xml:space="preserve">la realización de </w:t>
      </w:r>
      <w:r w:rsidR="00BE34C3" w:rsidRPr="00CD0AF0">
        <w:rPr>
          <w:lang w:val="es-ES_tradnl"/>
        </w:rPr>
        <w:t xml:space="preserve">un taller sobre </w:t>
      </w:r>
      <w:r w:rsidRPr="00CD0AF0">
        <w:rPr>
          <w:lang w:val="es-ES_tradnl"/>
        </w:rPr>
        <w:t xml:space="preserve">el Programa de Inversión </w:t>
      </w:r>
      <w:r w:rsidRPr="00CD0AF0">
        <w:rPr>
          <w:lang w:val="es-ES_tradnl"/>
        </w:rPr>
        <w:lastRenderedPageBreak/>
        <w:t>Pública (Listado Geográfico de Obras) y aportes</w:t>
      </w:r>
      <w:r w:rsidR="003E35B2">
        <w:rPr>
          <w:lang w:val="es-ES_tradnl"/>
        </w:rPr>
        <w:t xml:space="preserve"> que se trasladan</w:t>
      </w:r>
      <w:r w:rsidRPr="00CD0AF0">
        <w:rPr>
          <w:lang w:val="es-ES_tradnl"/>
        </w:rPr>
        <w:t xml:space="preserve"> a Organizaciones No Gubernamentales</w:t>
      </w:r>
      <w:r w:rsidR="003E35B2">
        <w:rPr>
          <w:lang w:val="es-ES_tradnl"/>
        </w:rPr>
        <w:t xml:space="preserve"> (ONG).</w:t>
      </w:r>
    </w:p>
    <w:p w:rsidR="004B5DF5" w:rsidRDefault="004B5DF5" w:rsidP="004B5DF5">
      <w:pPr>
        <w:jc w:val="both"/>
        <w:rPr>
          <w:lang w:val="es-ES_tradnl"/>
        </w:rPr>
      </w:pPr>
    </w:p>
    <w:p w:rsidR="00073CB5" w:rsidRPr="00C87E7F" w:rsidRDefault="00073CB5" w:rsidP="004B5DF5">
      <w:pPr>
        <w:jc w:val="both"/>
        <w:rPr>
          <w:sz w:val="14"/>
          <w:lang w:val="es-ES_tradnl"/>
        </w:rPr>
      </w:pPr>
    </w:p>
    <w:p w:rsidR="004B5DF5" w:rsidRPr="00CD0AF0" w:rsidRDefault="004B5DF5" w:rsidP="004B5DF5">
      <w:pPr>
        <w:jc w:val="both"/>
        <w:rPr>
          <w:lang w:val="es-ES_tradnl"/>
        </w:rPr>
      </w:pPr>
      <w:r w:rsidRPr="006D17DE">
        <w:rPr>
          <w:b/>
          <w:i/>
          <w:lang w:val="es-ES_tradnl"/>
        </w:rPr>
        <w:t>Seguimiento a las recomendaciones del Fondo Monetario Internacional (FMI) en su Informe de Evaluación de Transparencia Fiscal</w:t>
      </w:r>
      <w:r w:rsidRPr="00CD0AF0">
        <w:rPr>
          <w:b/>
          <w:lang w:val="es-ES_tradnl"/>
        </w:rPr>
        <w:t>.</w:t>
      </w:r>
      <w:r w:rsidR="006D17DE">
        <w:rPr>
          <w:b/>
          <w:lang w:val="es-ES_tradnl"/>
        </w:rPr>
        <w:t xml:space="preserve"> </w:t>
      </w:r>
      <w:r w:rsidRPr="00CD0AF0">
        <w:rPr>
          <w:lang w:val="es-ES_tradnl"/>
        </w:rPr>
        <w:t xml:space="preserve"> El Fondo Monetario Internacional (FMI), a principios de 2016 practicó en el país la Evaluación de Transparencia Fiscal, habiendo formulado una serie de recomendaciones relacionadas con informes fiscales, estimaciones presupuestarias y gestión de riesgos fiscales. Para el seguimiento de dichas recomendaciones, se conformó un equipo de trabajo y se ha realizado una serie de talleres con participación de organizaciones de sociedad civil que han formulado valiosos aportes sobre la forma de implementar gradualmente dichas recomendaciones.</w:t>
      </w:r>
    </w:p>
    <w:p w:rsidR="004B5DF5" w:rsidRPr="00CD0AF0" w:rsidRDefault="004B5DF5" w:rsidP="004B5DF5">
      <w:pPr>
        <w:jc w:val="both"/>
        <w:rPr>
          <w:lang w:val="es-ES_tradnl"/>
        </w:rPr>
      </w:pPr>
    </w:p>
    <w:p w:rsidR="004B5DF5" w:rsidRPr="00CD0AF0" w:rsidRDefault="004B5DF5" w:rsidP="004B5DF5">
      <w:pPr>
        <w:jc w:val="both"/>
        <w:rPr>
          <w:lang w:val="es-ES_tradnl"/>
        </w:rPr>
      </w:pPr>
      <w:r w:rsidRPr="00CD0AF0">
        <w:rPr>
          <w:lang w:val="es-ES_tradnl"/>
        </w:rPr>
        <w:t>En la formulación del Proyecto de Presupuesto General de Ingresos y Egresos del Estado, por tercer año consecutivo se ha incorporado una separata o informe ejecutivo sobre el análisis y gestión de riesgos fiscales, para que se conozcan los principales riesgos que pueden afectar las finanzas públicas, su impacto en monto y como porcentaje del PIB</w:t>
      </w:r>
      <w:r w:rsidR="00802A89">
        <w:rPr>
          <w:lang w:val="es-ES_tradnl"/>
        </w:rPr>
        <w:t>,</w:t>
      </w:r>
      <w:r w:rsidRPr="00CD0AF0">
        <w:rPr>
          <w:lang w:val="es-ES_tradnl"/>
        </w:rPr>
        <w:t xml:space="preserve"> y las posibles medidas de mitigación que se pueden adoptar para contrarrestar sus efectos.</w:t>
      </w:r>
    </w:p>
    <w:p w:rsidR="004B5DF5" w:rsidRDefault="004B5DF5" w:rsidP="004B5DF5">
      <w:pPr>
        <w:jc w:val="both"/>
        <w:rPr>
          <w:lang w:val="es-ES_tradnl"/>
        </w:rPr>
      </w:pPr>
    </w:p>
    <w:p w:rsidR="008078F8" w:rsidRPr="00C87E7F" w:rsidRDefault="008078F8" w:rsidP="004B5DF5">
      <w:pPr>
        <w:jc w:val="both"/>
        <w:rPr>
          <w:sz w:val="14"/>
          <w:lang w:val="es-ES_tradnl"/>
        </w:rPr>
      </w:pPr>
    </w:p>
    <w:p w:rsidR="00D3038B" w:rsidRDefault="00935169" w:rsidP="004B5DF5">
      <w:pPr>
        <w:jc w:val="both"/>
        <w:rPr>
          <w:lang w:val="es-ES_tradnl"/>
        </w:rPr>
      </w:pPr>
      <w:r>
        <w:rPr>
          <w:b/>
          <w:i/>
          <w:lang w:val="es-ES_tradnl"/>
        </w:rPr>
        <w:t>Diseño del Sistema de Transferencias, Subsidios y Subvenciones (TSS)</w:t>
      </w:r>
      <w:r w:rsidR="004B5DF5" w:rsidRPr="00CD0AF0">
        <w:rPr>
          <w:lang w:val="es-ES_tradnl"/>
        </w:rPr>
        <w:t>.</w:t>
      </w:r>
      <w:r w:rsidR="006D17DE">
        <w:rPr>
          <w:lang w:val="es-ES_tradnl"/>
        </w:rPr>
        <w:t xml:space="preserve"> </w:t>
      </w:r>
      <w:r>
        <w:rPr>
          <w:lang w:val="es-ES_tradnl"/>
        </w:rPr>
        <w:t xml:space="preserve">Dentro del Presupuesto General de Ingresos y Egresos del Estado de cada ejercicio fiscal, se programan asignaciones por concepto de transferencias corrientes y/o de capital a favor de entidades del sector privado y de organismos regionales e internacionales. De conformidad con la Ley Orgánica del Presupuesto, Decreto No. 101-97 del Congreso de la República, y del Reglamento de Manejo de Subsidios y Subvenciones, Acuerdo Gubernativo No. 55-2016, tanto las entidades públicas otorgantes de los recursos, como las entidades receptoras de los mismos, deben presentar informes mensuales de avance físico y financiero destacando los objetivos, metas, resultados, indicadores, impactos y beneficiarios </w:t>
      </w:r>
      <w:r w:rsidR="00802A89">
        <w:rPr>
          <w:lang w:val="es-ES_tradnl"/>
        </w:rPr>
        <w:t>atendidos con</w:t>
      </w:r>
      <w:r>
        <w:rPr>
          <w:lang w:val="es-ES_tradnl"/>
        </w:rPr>
        <w:t xml:space="preserve"> tales intervenciones públicas. En ese sentido, en el primer semestre de 2019 se concluyó el diseño e implementación del Sistema de Transferencias, Subsidios y Subvenciones </w:t>
      </w:r>
      <w:r w:rsidR="00322B9E">
        <w:rPr>
          <w:lang w:val="es-ES_tradnl"/>
        </w:rPr>
        <w:t>(TSS) y se procedió a capacitar a las instituciones públicas que otorgan recursos del Estado en concepto de transferencias corrientes y de capital</w:t>
      </w:r>
      <w:r w:rsidR="000E0470">
        <w:rPr>
          <w:lang w:val="es-ES_tradnl"/>
        </w:rPr>
        <w:t>. A</w:t>
      </w:r>
      <w:r w:rsidR="00322B9E">
        <w:rPr>
          <w:lang w:val="es-ES_tradnl"/>
        </w:rPr>
        <w:t>simismo, cada entidad pública ha</w:t>
      </w:r>
      <w:r w:rsidR="000E0470">
        <w:rPr>
          <w:lang w:val="es-ES_tradnl"/>
        </w:rPr>
        <w:t xml:space="preserve"> venido</w:t>
      </w:r>
      <w:r w:rsidR="00322B9E">
        <w:rPr>
          <w:lang w:val="es-ES_tradnl"/>
        </w:rPr>
        <w:t xml:space="preserve"> capacita</w:t>
      </w:r>
      <w:r w:rsidR="000E0470">
        <w:rPr>
          <w:lang w:val="es-ES_tradnl"/>
        </w:rPr>
        <w:t>n</w:t>
      </w:r>
      <w:r w:rsidR="00322B9E">
        <w:rPr>
          <w:lang w:val="es-ES_tradnl"/>
        </w:rPr>
        <w:t>do sobre el uso</w:t>
      </w:r>
      <w:r w:rsidR="00711173">
        <w:rPr>
          <w:lang w:val="es-ES_tradnl"/>
        </w:rPr>
        <w:t xml:space="preserve"> y funcionamiento </w:t>
      </w:r>
      <w:r w:rsidR="00322B9E">
        <w:rPr>
          <w:lang w:val="es-ES_tradnl"/>
        </w:rPr>
        <w:t>de dicho Sistema a sus entidades recept</w:t>
      </w:r>
      <w:r w:rsidR="00D3038B">
        <w:rPr>
          <w:lang w:val="es-ES_tradnl"/>
        </w:rPr>
        <w:t>oras y se estima que durante el segundo semestre del</w:t>
      </w:r>
      <w:r w:rsidR="00711173">
        <w:rPr>
          <w:lang w:val="es-ES_tradnl"/>
        </w:rPr>
        <w:t xml:space="preserve"> presente</w:t>
      </w:r>
      <w:r w:rsidR="00D3038B">
        <w:rPr>
          <w:lang w:val="es-ES_tradnl"/>
        </w:rPr>
        <w:t xml:space="preserve"> año, entre en pleno funcionamiento el uso de esta plataforma informática.</w:t>
      </w:r>
    </w:p>
    <w:p w:rsidR="00D3038B" w:rsidRDefault="00D3038B" w:rsidP="004B5DF5">
      <w:pPr>
        <w:jc w:val="both"/>
        <w:rPr>
          <w:lang w:val="es-ES_tradnl"/>
        </w:rPr>
      </w:pPr>
    </w:p>
    <w:p w:rsidR="00D3038B" w:rsidRPr="00C87E7F" w:rsidRDefault="00D3038B" w:rsidP="004B5DF5">
      <w:pPr>
        <w:jc w:val="both"/>
        <w:rPr>
          <w:sz w:val="14"/>
          <w:lang w:val="es-ES_tradnl"/>
        </w:rPr>
      </w:pPr>
    </w:p>
    <w:p w:rsidR="004B5DF5" w:rsidRPr="00CD0AF0" w:rsidRDefault="004B5DF5" w:rsidP="004B5DF5">
      <w:pPr>
        <w:jc w:val="both"/>
        <w:rPr>
          <w:lang w:val="es-ES_tradnl"/>
        </w:rPr>
      </w:pPr>
      <w:r w:rsidRPr="006D17DE">
        <w:rPr>
          <w:b/>
          <w:i/>
          <w:lang w:val="es-ES_tradnl"/>
        </w:rPr>
        <w:t>Mejora en la calificación del Índice de Presupuesto Abierto (OBI por sus siglas en inglés).</w:t>
      </w:r>
      <w:r w:rsidRPr="00CD0AF0">
        <w:rPr>
          <w:lang w:val="es-ES_tradnl"/>
        </w:rPr>
        <w:t xml:space="preserve">  En la penúltima evaluación de</w:t>
      </w:r>
      <w:r w:rsidR="00C96986">
        <w:rPr>
          <w:lang w:val="es-ES_tradnl"/>
        </w:rPr>
        <w:t>l Índice de Presupuesto Abierto (OBI), a cargo de</w:t>
      </w:r>
      <w:r w:rsidRPr="00CD0AF0">
        <w:rPr>
          <w:lang w:val="es-ES_tradnl"/>
        </w:rPr>
        <w:t xml:space="preserve"> la International Budget Partnership (IBP), Guatemala obtuvo una calificación de 46 puntos.</w:t>
      </w:r>
      <w:r w:rsidR="00C96986">
        <w:rPr>
          <w:lang w:val="es-ES_tradnl"/>
        </w:rPr>
        <w:t xml:space="preserve"> </w:t>
      </w:r>
      <w:r w:rsidRPr="00CD0AF0">
        <w:rPr>
          <w:lang w:val="es-ES_tradnl"/>
        </w:rPr>
        <w:t>Luego de haber normado e institucionalizado este proceso mediante la emisión del Acuerdo Ministerial No. 194-2017, en la calificación presentada en enero de 2018 por parte del ente evaluador, se obtuvo una calificación de 61 puntos</w:t>
      </w:r>
      <w:r w:rsidR="00C96986">
        <w:rPr>
          <w:lang w:val="es-ES_tradnl"/>
        </w:rPr>
        <w:t>, lo</w:t>
      </w:r>
      <w:r w:rsidRPr="00CD0AF0">
        <w:rPr>
          <w:lang w:val="es-ES_tradnl"/>
        </w:rPr>
        <w:t xml:space="preserve"> que sitúa a Guatemala </w:t>
      </w:r>
      <w:r w:rsidR="00C96986">
        <w:rPr>
          <w:lang w:val="es-ES_tradnl"/>
        </w:rPr>
        <w:t>en el primer lugar a nivel de Centro América y quinto lugar</w:t>
      </w:r>
      <w:r w:rsidRPr="00CD0AF0">
        <w:rPr>
          <w:lang w:val="es-ES_tradnl"/>
        </w:rPr>
        <w:t xml:space="preserve"> a nivel de América Latina, permitiendo también mejorar en el ranking mundial</w:t>
      </w:r>
      <w:r w:rsidR="00C96986">
        <w:rPr>
          <w:lang w:val="es-ES_tradnl"/>
        </w:rPr>
        <w:t>, al ubicarse en la frontera inferior del grupo de países con “información sustancial disponible”</w:t>
      </w:r>
      <w:r w:rsidRPr="00CD0AF0">
        <w:rPr>
          <w:lang w:val="es-ES_tradnl"/>
        </w:rPr>
        <w:t xml:space="preserve">. Esta normativa de observancia general para las dependencias del MINFIN a cargo de la elaboración y publicación de los 8 documentos clave </w:t>
      </w:r>
      <w:r w:rsidRPr="00CD0AF0">
        <w:rPr>
          <w:lang w:val="es-ES_tradnl"/>
        </w:rPr>
        <w:lastRenderedPageBreak/>
        <w:t>del ciclo presupuestario que evalúa el Índice de Presupuesto Abierto, regula que se tomen en consideración los estándares y lineamientos contenidos en la Guía para la Transparencia en los Documentos Presupuestarios del Gobierno y en la Encuesta de Presupuesto Abierto, ambos emitidos por la International Budget Partnership (IBP).</w:t>
      </w:r>
      <w:r w:rsidR="00B730B7">
        <w:rPr>
          <w:lang w:val="es-ES_tradnl"/>
        </w:rPr>
        <w:t xml:space="preserve"> Estos ocho documentos presupuestarios son: </w:t>
      </w:r>
      <w:r w:rsidR="00B730B7" w:rsidRPr="00B730B7">
        <w:rPr>
          <w:lang w:val="es-ES_tradnl"/>
        </w:rPr>
        <w:t xml:space="preserve">1) Proyecto de Presupuesto del Ejecutivo </w:t>
      </w:r>
      <w:r w:rsidR="00802A89">
        <w:rPr>
          <w:lang w:val="es-ES_tradnl"/>
        </w:rPr>
        <w:t>-</w:t>
      </w:r>
      <w:r w:rsidR="00B730B7" w:rsidRPr="00B730B7">
        <w:rPr>
          <w:lang w:val="es-ES_tradnl"/>
        </w:rPr>
        <w:t>EBP</w:t>
      </w:r>
      <w:r w:rsidR="00802A89">
        <w:rPr>
          <w:lang w:val="es-ES_tradnl"/>
        </w:rPr>
        <w:t>-</w:t>
      </w:r>
      <w:r w:rsidR="00B730B7" w:rsidRPr="00B730B7">
        <w:rPr>
          <w:lang w:val="es-ES_tradnl"/>
        </w:rPr>
        <w:t xml:space="preserve">; 2) Documento Preliminar de Presupuesto </w:t>
      </w:r>
      <w:r w:rsidR="00802A89">
        <w:rPr>
          <w:lang w:val="es-ES_tradnl"/>
        </w:rPr>
        <w:t>-</w:t>
      </w:r>
      <w:r w:rsidR="00B730B7" w:rsidRPr="00B730B7">
        <w:rPr>
          <w:lang w:val="es-ES_tradnl"/>
        </w:rPr>
        <w:t>PBS</w:t>
      </w:r>
      <w:r w:rsidR="00802A89">
        <w:rPr>
          <w:lang w:val="es-ES_tradnl"/>
        </w:rPr>
        <w:t>-</w:t>
      </w:r>
      <w:r w:rsidR="00B730B7" w:rsidRPr="00B730B7">
        <w:rPr>
          <w:lang w:val="es-ES_tradnl"/>
        </w:rPr>
        <w:t xml:space="preserve">; 3) Presupuesto Aprobado </w:t>
      </w:r>
      <w:r w:rsidR="00802A89">
        <w:rPr>
          <w:lang w:val="es-ES_tradnl"/>
        </w:rPr>
        <w:t>-</w:t>
      </w:r>
      <w:r w:rsidR="00B730B7" w:rsidRPr="00B730B7">
        <w:rPr>
          <w:lang w:val="es-ES_tradnl"/>
        </w:rPr>
        <w:t>EB</w:t>
      </w:r>
      <w:r w:rsidR="00802A89">
        <w:rPr>
          <w:lang w:val="es-ES_tradnl"/>
        </w:rPr>
        <w:t>-</w:t>
      </w:r>
      <w:r w:rsidR="00B730B7" w:rsidRPr="00B730B7">
        <w:rPr>
          <w:lang w:val="es-ES_tradnl"/>
        </w:rPr>
        <w:t xml:space="preserve">; </w:t>
      </w:r>
      <w:r w:rsidR="00802A89">
        <w:rPr>
          <w:lang w:val="es-ES_tradnl"/>
        </w:rPr>
        <w:t xml:space="preserve"> </w:t>
      </w:r>
      <w:r w:rsidR="00B730B7" w:rsidRPr="00B730B7">
        <w:rPr>
          <w:lang w:val="es-ES_tradnl"/>
        </w:rPr>
        <w:t xml:space="preserve">4) Presupuesto Ciudadano </w:t>
      </w:r>
      <w:r w:rsidR="00802A89">
        <w:rPr>
          <w:lang w:val="es-ES_tradnl"/>
        </w:rPr>
        <w:t>-</w:t>
      </w:r>
      <w:r w:rsidR="00B730B7" w:rsidRPr="00B730B7">
        <w:rPr>
          <w:lang w:val="es-ES_tradnl"/>
        </w:rPr>
        <w:t>CB</w:t>
      </w:r>
      <w:r w:rsidR="00802A89">
        <w:rPr>
          <w:lang w:val="es-ES_tradnl"/>
        </w:rPr>
        <w:t>-</w:t>
      </w:r>
      <w:r w:rsidR="00B730B7" w:rsidRPr="00B730B7">
        <w:rPr>
          <w:lang w:val="es-ES_tradnl"/>
        </w:rPr>
        <w:t xml:space="preserve">; 5) Informes Entregados Durante el Año </w:t>
      </w:r>
      <w:r w:rsidR="00802A89">
        <w:rPr>
          <w:lang w:val="es-ES_tradnl"/>
        </w:rPr>
        <w:t>-</w:t>
      </w:r>
      <w:r w:rsidR="00B730B7" w:rsidRPr="00B730B7">
        <w:rPr>
          <w:lang w:val="es-ES_tradnl"/>
        </w:rPr>
        <w:t>IYR</w:t>
      </w:r>
      <w:r w:rsidR="00802A89">
        <w:rPr>
          <w:lang w:val="es-ES_tradnl"/>
        </w:rPr>
        <w:t>-</w:t>
      </w:r>
      <w:r w:rsidR="00B730B7" w:rsidRPr="00B730B7">
        <w:rPr>
          <w:lang w:val="es-ES_tradnl"/>
        </w:rPr>
        <w:t xml:space="preserve">; </w:t>
      </w:r>
      <w:r w:rsidR="00802A89">
        <w:rPr>
          <w:lang w:val="es-ES_tradnl"/>
        </w:rPr>
        <w:t xml:space="preserve"> </w:t>
      </w:r>
      <w:r w:rsidR="00B730B7" w:rsidRPr="00B730B7">
        <w:rPr>
          <w:lang w:val="es-ES_tradnl"/>
        </w:rPr>
        <w:t xml:space="preserve">6) Revisión de Mitad de Año </w:t>
      </w:r>
      <w:r w:rsidR="00802A89">
        <w:rPr>
          <w:lang w:val="es-ES_tradnl"/>
        </w:rPr>
        <w:t>-</w:t>
      </w:r>
      <w:r w:rsidR="00B730B7" w:rsidRPr="00B730B7">
        <w:rPr>
          <w:lang w:val="es-ES_tradnl"/>
        </w:rPr>
        <w:t>MYR</w:t>
      </w:r>
      <w:r w:rsidR="00802A89">
        <w:rPr>
          <w:lang w:val="es-ES_tradnl"/>
        </w:rPr>
        <w:t>-</w:t>
      </w:r>
      <w:r w:rsidR="00B730B7" w:rsidRPr="00B730B7">
        <w:rPr>
          <w:lang w:val="es-ES_tradnl"/>
        </w:rPr>
        <w:t xml:space="preserve">; 7) Informe de Fin de Año </w:t>
      </w:r>
      <w:r w:rsidR="00802A89">
        <w:rPr>
          <w:lang w:val="es-ES_tradnl"/>
        </w:rPr>
        <w:t>-</w:t>
      </w:r>
      <w:r w:rsidR="00B730B7" w:rsidRPr="00B730B7">
        <w:rPr>
          <w:lang w:val="es-ES_tradnl"/>
        </w:rPr>
        <w:t>YER</w:t>
      </w:r>
      <w:r w:rsidR="00802A89">
        <w:rPr>
          <w:lang w:val="es-ES_tradnl"/>
        </w:rPr>
        <w:t>-</w:t>
      </w:r>
      <w:r w:rsidR="00B730B7" w:rsidRPr="00B730B7">
        <w:rPr>
          <w:lang w:val="es-ES_tradnl"/>
        </w:rPr>
        <w:t xml:space="preserve">; y 8) Informe de Auditoría </w:t>
      </w:r>
      <w:r w:rsidR="00802A89">
        <w:rPr>
          <w:lang w:val="es-ES_tradnl"/>
        </w:rPr>
        <w:t>-</w:t>
      </w:r>
      <w:r w:rsidR="00B730B7" w:rsidRPr="00B730B7">
        <w:rPr>
          <w:lang w:val="es-ES_tradnl"/>
        </w:rPr>
        <w:t>AR</w:t>
      </w:r>
      <w:r w:rsidR="00802A89">
        <w:rPr>
          <w:lang w:val="es-ES_tradnl"/>
        </w:rPr>
        <w:t>-</w:t>
      </w:r>
      <w:r w:rsidR="00B730B7">
        <w:rPr>
          <w:lang w:val="es-ES_tradnl"/>
        </w:rPr>
        <w:t>. Durante el primer semestre de 2019, se realizó por parte de la Dirección de Transparencia Fiscal un Informe de Autoevaluación tomando como base los lineamientos y estándares de la Encuesta de Presupuesto Abierto (OBS) para cada uno de los documentos presupuestarios producidos por el Ministerio de Finanzas Públicas entre 2017 y 2018, y con base en los resultados obtenidos de este ensayo, se espera que la próxima calificación que emitirá el evaluador independiente presente nuevamente un incremento.</w:t>
      </w:r>
    </w:p>
    <w:p w:rsidR="004B5DF5" w:rsidRDefault="004B5DF5" w:rsidP="004B5DF5">
      <w:pPr>
        <w:jc w:val="both"/>
        <w:rPr>
          <w:lang w:val="es-ES_tradnl"/>
        </w:rPr>
      </w:pPr>
    </w:p>
    <w:p w:rsidR="00E425C1" w:rsidRPr="00C87E7F" w:rsidRDefault="00E425C1" w:rsidP="004B5DF5">
      <w:pPr>
        <w:jc w:val="both"/>
        <w:rPr>
          <w:sz w:val="14"/>
          <w:lang w:val="es-ES_tradnl"/>
        </w:rPr>
      </w:pPr>
    </w:p>
    <w:p w:rsidR="001473BD" w:rsidRDefault="004B5DF5" w:rsidP="00B413F2">
      <w:pPr>
        <w:jc w:val="both"/>
        <w:rPr>
          <w:lang w:val="es-ES_tradnl"/>
        </w:rPr>
      </w:pPr>
      <w:r w:rsidRPr="006D17DE">
        <w:rPr>
          <w:b/>
          <w:i/>
          <w:lang w:val="es-ES_tradnl"/>
        </w:rPr>
        <w:t>Reformas a</w:t>
      </w:r>
      <w:r w:rsidR="00B413F2">
        <w:rPr>
          <w:b/>
          <w:i/>
          <w:lang w:val="es-ES_tradnl"/>
        </w:rPr>
        <w:t xml:space="preserve"> </w:t>
      </w:r>
      <w:r w:rsidRPr="006D17DE">
        <w:rPr>
          <w:b/>
          <w:i/>
          <w:lang w:val="es-ES_tradnl"/>
        </w:rPr>
        <w:t>l</w:t>
      </w:r>
      <w:r w:rsidR="00B413F2">
        <w:rPr>
          <w:b/>
          <w:i/>
          <w:lang w:val="es-ES_tradnl"/>
        </w:rPr>
        <w:t xml:space="preserve">a Ley de </w:t>
      </w:r>
      <w:r w:rsidRPr="006D17DE">
        <w:rPr>
          <w:b/>
          <w:i/>
          <w:lang w:val="es-ES_tradnl"/>
        </w:rPr>
        <w:t>Contrataciones del Estado</w:t>
      </w:r>
      <w:r w:rsidRPr="006D17DE">
        <w:rPr>
          <w:i/>
          <w:lang w:val="es-ES_tradnl"/>
        </w:rPr>
        <w:t>.</w:t>
      </w:r>
      <w:r w:rsidRPr="00CD0AF0">
        <w:rPr>
          <w:lang w:val="es-ES_tradnl"/>
        </w:rPr>
        <w:t xml:space="preserve"> </w:t>
      </w:r>
      <w:r w:rsidR="00B413F2">
        <w:rPr>
          <w:lang w:val="es-ES_tradnl"/>
        </w:rPr>
        <w:t xml:space="preserve">Las </w:t>
      </w:r>
      <w:r w:rsidRPr="00CD0AF0">
        <w:rPr>
          <w:lang w:val="es-ES_tradnl"/>
        </w:rPr>
        <w:t xml:space="preserve">dos últimas reformas a la Ley de Contrataciones del Estado, Decretos Nos. 9-2015 y 46-2016 del Congreso de la República de Guatemala, </w:t>
      </w:r>
      <w:r w:rsidR="00B413F2">
        <w:rPr>
          <w:lang w:val="es-ES_tradnl"/>
        </w:rPr>
        <w:t xml:space="preserve">han </w:t>
      </w:r>
      <w:r w:rsidR="001473BD">
        <w:rPr>
          <w:lang w:val="es-ES_tradnl"/>
        </w:rPr>
        <w:t>llevado a</w:t>
      </w:r>
      <w:r w:rsidR="00B413F2">
        <w:rPr>
          <w:lang w:val="es-ES_tradnl"/>
        </w:rPr>
        <w:t xml:space="preserve"> </w:t>
      </w:r>
      <w:r w:rsidRPr="00CD0AF0">
        <w:rPr>
          <w:lang w:val="es-ES_tradnl"/>
        </w:rPr>
        <w:t xml:space="preserve">implementar una serie de acciones que apuntan a la transparencia y adopción de un sistema de contrataciones abiertas. En ese sentido, se procedió a la estandarización de formatos por modalidad de compra y tipo de bien o servicio; se implementó el Módulo de Subasta Electrónica Inversa que ya ha representado economías al Gobierno de la República en los procesos de contrataciones; se elaboró un plan de trabajo a mediano plazo para la conceptualización, diseño y desarrollo de las </w:t>
      </w:r>
      <w:r w:rsidR="00B413F2">
        <w:rPr>
          <w:lang w:val="es-ES_tradnl"/>
        </w:rPr>
        <w:t>modificaciones al</w:t>
      </w:r>
      <w:r w:rsidRPr="00CD0AF0">
        <w:rPr>
          <w:lang w:val="es-ES_tradnl"/>
        </w:rPr>
        <w:t xml:space="preserve"> Sistema GUATECOMPRAS, situación que le permitirá pasar de un sistema estadístico que solamente muestra la publicación y adjudicación de los eventos de contrataciones, y pasará a convertirse en un sistema transaccional que registrará todas las etapas del ciclo de las compras y contrataciones públicas, que incluye la planeación, ejecución y evaluación.</w:t>
      </w:r>
    </w:p>
    <w:p w:rsidR="001473BD" w:rsidRDefault="001473BD" w:rsidP="00B413F2">
      <w:pPr>
        <w:jc w:val="both"/>
        <w:rPr>
          <w:lang w:val="es-ES_tradnl"/>
        </w:rPr>
      </w:pPr>
    </w:p>
    <w:p w:rsidR="00B413F2" w:rsidRDefault="00B413F2" w:rsidP="00B413F2">
      <w:pPr>
        <w:jc w:val="both"/>
        <w:rPr>
          <w:lang w:val="es-ES_tradnl"/>
        </w:rPr>
      </w:pPr>
      <w:r>
        <w:rPr>
          <w:lang w:val="es-ES_tradnl"/>
        </w:rPr>
        <w:t xml:space="preserve">Asimismo, el </w:t>
      </w:r>
      <w:r w:rsidRPr="00B413F2">
        <w:rPr>
          <w:lang w:val="es-ES_tradnl"/>
        </w:rPr>
        <w:t>artículo 71 de la Ley de Contrataciones del Estado establece</w:t>
      </w:r>
      <w:r>
        <w:rPr>
          <w:lang w:val="es-ES_tradnl"/>
        </w:rPr>
        <w:t xml:space="preserve"> la creación del </w:t>
      </w:r>
      <w:r w:rsidRPr="00B413F2">
        <w:rPr>
          <w:lang w:val="es-ES_tradnl"/>
        </w:rPr>
        <w:t>Registro General de Adquisiciones del Estado</w:t>
      </w:r>
      <w:r>
        <w:rPr>
          <w:lang w:val="es-ES_tradnl"/>
        </w:rPr>
        <w:t xml:space="preserve"> (RGAE)</w:t>
      </w:r>
      <w:r w:rsidRPr="00B413F2">
        <w:rPr>
          <w:lang w:val="es-ES_tradnl"/>
        </w:rPr>
        <w:t xml:space="preserve">, cuyo objeto es registrar a las personas individuales o jurídicas, nacionales o extranjeras, para poder ser habilitadas como contratistas o proveedores del Estado, en las modalidades de adquisición pública establecidas en dicha Ley y que además será electrónico. </w:t>
      </w:r>
      <w:r>
        <w:rPr>
          <w:lang w:val="es-ES_tradnl"/>
        </w:rPr>
        <w:t>E</w:t>
      </w:r>
      <w:r w:rsidRPr="00B413F2">
        <w:rPr>
          <w:lang w:val="es-ES_tradnl"/>
        </w:rPr>
        <w:t xml:space="preserve">l Registro General de Adquisiciones del Estado entró en funcionamiento el 15 de noviembre de 2018, </w:t>
      </w:r>
      <w:r w:rsidR="001473BD">
        <w:rPr>
          <w:lang w:val="es-ES_tradnl"/>
        </w:rPr>
        <w:t xml:space="preserve">y </w:t>
      </w:r>
      <w:r>
        <w:rPr>
          <w:lang w:val="es-ES_tradnl"/>
        </w:rPr>
        <w:t xml:space="preserve">ya </w:t>
      </w:r>
      <w:r w:rsidRPr="00B413F2">
        <w:rPr>
          <w:lang w:val="es-ES_tradnl"/>
        </w:rPr>
        <w:t xml:space="preserve">cuenta con su propio Reglamento contenido en el Acuerdo Gubernativo </w:t>
      </w:r>
      <w:r>
        <w:rPr>
          <w:lang w:val="es-ES_tradnl"/>
        </w:rPr>
        <w:t xml:space="preserve">No. </w:t>
      </w:r>
      <w:r w:rsidRPr="00B413F2">
        <w:rPr>
          <w:lang w:val="es-ES_tradnl"/>
        </w:rPr>
        <w:t xml:space="preserve">170-2018, así como su metodología de precalificación, contenida en el Acuerdo Ministerial </w:t>
      </w:r>
      <w:r>
        <w:rPr>
          <w:lang w:val="es-ES_tradnl"/>
        </w:rPr>
        <w:t xml:space="preserve">No. </w:t>
      </w:r>
      <w:r w:rsidRPr="00B413F2">
        <w:rPr>
          <w:lang w:val="es-ES_tradnl"/>
        </w:rPr>
        <w:t>563-2018. El pleno funcionamiento del Registro General de Adquisiciones del Estado se concretó al obtener por parte del Ministerio de Finanzas Públicas los recursos humanos, presupuestarios y tecnológicos necesarios para cumplir eficientemente con sus funciones conforme su mandato de creación</w:t>
      </w:r>
      <w:r>
        <w:rPr>
          <w:lang w:val="es-ES_tradnl"/>
        </w:rPr>
        <w:t xml:space="preserve">, situación que le </w:t>
      </w:r>
      <w:r w:rsidRPr="00B413F2">
        <w:rPr>
          <w:lang w:val="es-ES_tradnl"/>
        </w:rPr>
        <w:t xml:space="preserve">permitió absorber eficientemente los anteriores </w:t>
      </w:r>
      <w:r w:rsidR="001473BD">
        <w:rPr>
          <w:lang w:val="es-ES_tradnl"/>
        </w:rPr>
        <w:t>r</w:t>
      </w:r>
      <w:r w:rsidRPr="00B413F2">
        <w:rPr>
          <w:lang w:val="es-ES_tradnl"/>
        </w:rPr>
        <w:t>egistros, a saber</w:t>
      </w:r>
      <w:r>
        <w:rPr>
          <w:lang w:val="es-ES_tradnl"/>
        </w:rPr>
        <w:t>:</w:t>
      </w:r>
      <w:r w:rsidRPr="00B413F2">
        <w:rPr>
          <w:lang w:val="es-ES_tradnl"/>
        </w:rPr>
        <w:t xml:space="preserve"> Registro de Precalificados de </w:t>
      </w:r>
      <w:r>
        <w:rPr>
          <w:lang w:val="es-ES_tradnl"/>
        </w:rPr>
        <w:t>O</w:t>
      </w:r>
      <w:r w:rsidRPr="00B413F2">
        <w:rPr>
          <w:lang w:val="es-ES_tradnl"/>
        </w:rPr>
        <w:t xml:space="preserve">bras, anteriormente a cargo del Ministerio de Comunicaciones, Infraestructura y Vivienda; el Registro de </w:t>
      </w:r>
      <w:r>
        <w:rPr>
          <w:lang w:val="es-ES_tradnl"/>
        </w:rPr>
        <w:t>P</w:t>
      </w:r>
      <w:r w:rsidRPr="00B413F2">
        <w:rPr>
          <w:lang w:val="es-ES_tradnl"/>
        </w:rPr>
        <w:t xml:space="preserve">recalificados de </w:t>
      </w:r>
      <w:r>
        <w:rPr>
          <w:lang w:val="es-ES_tradnl"/>
        </w:rPr>
        <w:t>C</w:t>
      </w:r>
      <w:r w:rsidRPr="00B413F2">
        <w:rPr>
          <w:lang w:val="es-ES_tradnl"/>
        </w:rPr>
        <w:t>onsultores</w:t>
      </w:r>
      <w:r w:rsidR="001473BD">
        <w:rPr>
          <w:lang w:val="es-ES_tradnl"/>
        </w:rPr>
        <w:t>, antes</w:t>
      </w:r>
      <w:r w:rsidRPr="00B413F2">
        <w:rPr>
          <w:lang w:val="es-ES_tradnl"/>
        </w:rPr>
        <w:t xml:space="preserve"> a cargo de la Secretar</w:t>
      </w:r>
      <w:r>
        <w:rPr>
          <w:lang w:val="es-ES_tradnl"/>
        </w:rPr>
        <w:t>í</w:t>
      </w:r>
      <w:r w:rsidRPr="00B413F2">
        <w:rPr>
          <w:lang w:val="es-ES_tradnl"/>
        </w:rPr>
        <w:t xml:space="preserve">a de </w:t>
      </w:r>
      <w:r>
        <w:rPr>
          <w:lang w:val="es-ES_tradnl"/>
        </w:rPr>
        <w:t xml:space="preserve">Planificación y </w:t>
      </w:r>
      <w:r w:rsidRPr="00B413F2">
        <w:rPr>
          <w:lang w:val="es-ES_tradnl"/>
        </w:rPr>
        <w:t xml:space="preserve">Programación de la Presidencia; y </w:t>
      </w:r>
      <w:r>
        <w:rPr>
          <w:lang w:val="es-ES_tradnl"/>
        </w:rPr>
        <w:t>el Registro de P</w:t>
      </w:r>
      <w:r w:rsidRPr="00B413F2">
        <w:rPr>
          <w:lang w:val="es-ES_tradnl"/>
        </w:rPr>
        <w:t xml:space="preserve">roveedores de </w:t>
      </w:r>
      <w:r>
        <w:rPr>
          <w:lang w:val="es-ES_tradnl"/>
        </w:rPr>
        <w:t>B</w:t>
      </w:r>
      <w:r w:rsidRPr="00B413F2">
        <w:rPr>
          <w:lang w:val="es-ES_tradnl"/>
        </w:rPr>
        <w:t xml:space="preserve">ienes, </w:t>
      </w:r>
      <w:r>
        <w:rPr>
          <w:lang w:val="es-ES_tradnl"/>
        </w:rPr>
        <w:t>S</w:t>
      </w:r>
      <w:r w:rsidRPr="00B413F2">
        <w:rPr>
          <w:lang w:val="es-ES_tradnl"/>
        </w:rPr>
        <w:t xml:space="preserve">uministros y </w:t>
      </w:r>
      <w:r>
        <w:rPr>
          <w:lang w:val="es-ES_tradnl"/>
        </w:rPr>
        <w:t>S</w:t>
      </w:r>
      <w:r w:rsidRPr="00B413F2">
        <w:rPr>
          <w:lang w:val="es-ES_tradnl"/>
        </w:rPr>
        <w:t>ervicios</w:t>
      </w:r>
      <w:r w:rsidR="001473BD">
        <w:rPr>
          <w:lang w:val="es-ES_tradnl"/>
        </w:rPr>
        <w:t>, antes en el</w:t>
      </w:r>
      <w:r w:rsidRPr="00B413F2">
        <w:rPr>
          <w:lang w:val="es-ES_tradnl"/>
        </w:rPr>
        <w:t xml:space="preserve"> Sistema de GUATECOMPRAS.</w:t>
      </w:r>
      <w:r>
        <w:rPr>
          <w:lang w:val="es-ES_tradnl"/>
        </w:rPr>
        <w:t xml:space="preserve"> </w:t>
      </w:r>
      <w:r w:rsidRPr="00B413F2">
        <w:rPr>
          <w:lang w:val="es-ES_tradnl"/>
        </w:rPr>
        <w:t xml:space="preserve">El funcionamiento electrónico del Registro ha representado una herramienta importante y ágil para los </w:t>
      </w:r>
      <w:r>
        <w:rPr>
          <w:lang w:val="es-ES_tradnl"/>
        </w:rPr>
        <w:t>p</w:t>
      </w:r>
      <w:r w:rsidRPr="00B413F2">
        <w:rPr>
          <w:lang w:val="es-ES_tradnl"/>
        </w:rPr>
        <w:t xml:space="preserve">roveedores y las </w:t>
      </w:r>
      <w:r>
        <w:rPr>
          <w:lang w:val="es-ES_tradnl"/>
        </w:rPr>
        <w:t>e</w:t>
      </w:r>
      <w:r w:rsidRPr="00B413F2">
        <w:rPr>
          <w:lang w:val="es-ES_tradnl"/>
        </w:rPr>
        <w:t xml:space="preserve">ntidades del Estado contenidas en el </w:t>
      </w:r>
      <w:r>
        <w:rPr>
          <w:lang w:val="es-ES_tradnl"/>
        </w:rPr>
        <w:t>a</w:t>
      </w:r>
      <w:r w:rsidRPr="00B413F2">
        <w:rPr>
          <w:lang w:val="es-ES_tradnl"/>
        </w:rPr>
        <w:t xml:space="preserve">rtículo 1 de la Ley de Contrataciones </w:t>
      </w:r>
      <w:r w:rsidRPr="00B413F2">
        <w:rPr>
          <w:lang w:val="es-ES_tradnl"/>
        </w:rPr>
        <w:lastRenderedPageBreak/>
        <w:t>del Estado</w:t>
      </w:r>
      <w:r w:rsidR="001473BD">
        <w:rPr>
          <w:lang w:val="es-ES_tradnl"/>
        </w:rPr>
        <w:t>,</w:t>
      </w:r>
      <w:r w:rsidRPr="00B413F2">
        <w:rPr>
          <w:lang w:val="es-ES_tradnl"/>
        </w:rPr>
        <w:t xml:space="preserve"> alcanzando en los primeros </w:t>
      </w:r>
      <w:r>
        <w:rPr>
          <w:lang w:val="es-ES_tradnl"/>
        </w:rPr>
        <w:t>9</w:t>
      </w:r>
      <w:r w:rsidRPr="00B413F2">
        <w:rPr>
          <w:lang w:val="es-ES_tradnl"/>
        </w:rPr>
        <w:t xml:space="preserve"> meses de funcionamiento más de 90,000 operaciones </w:t>
      </w:r>
      <w:r w:rsidR="001473BD">
        <w:rPr>
          <w:lang w:val="es-ES_tradnl"/>
        </w:rPr>
        <w:t>r</w:t>
      </w:r>
      <w:r w:rsidRPr="00B413F2">
        <w:rPr>
          <w:lang w:val="es-ES_tradnl"/>
        </w:rPr>
        <w:t>egistrales, con emisión de resoluciones y constancias electrónicas con firma electrónica avanzada, lo que ha reducido costos, desplazamientos y tiempos importantes en la atención a los proveedores.</w:t>
      </w:r>
    </w:p>
    <w:p w:rsidR="00B413F2" w:rsidRDefault="00B413F2" w:rsidP="00B413F2">
      <w:pPr>
        <w:jc w:val="both"/>
        <w:rPr>
          <w:lang w:val="es-ES_tradnl"/>
        </w:rPr>
      </w:pPr>
    </w:p>
    <w:p w:rsidR="004B5DF5" w:rsidRPr="00CD0AF0" w:rsidRDefault="004B5DF5" w:rsidP="004B5DF5">
      <w:pPr>
        <w:jc w:val="both"/>
        <w:rPr>
          <w:lang w:val="es-ES_tradnl"/>
        </w:rPr>
      </w:pPr>
      <w:r w:rsidRPr="00CD0AF0">
        <w:rPr>
          <w:lang w:val="es-ES_tradnl"/>
        </w:rPr>
        <w:t>Adicionalmente, cuando se</w:t>
      </w:r>
      <w:r w:rsidR="00F408E6">
        <w:rPr>
          <w:lang w:val="es-ES_tradnl"/>
        </w:rPr>
        <w:t xml:space="preserve"> adopte el estándar de datos abiertos en las contrataciones públicas y se</w:t>
      </w:r>
      <w:r w:rsidRPr="00CD0AF0">
        <w:rPr>
          <w:lang w:val="es-ES_tradnl"/>
        </w:rPr>
        <w:t xml:space="preserve"> concluyan</w:t>
      </w:r>
      <w:r w:rsidR="00F408E6">
        <w:rPr>
          <w:lang w:val="es-ES_tradnl"/>
        </w:rPr>
        <w:t xml:space="preserve"> los cambios</w:t>
      </w:r>
      <w:r w:rsidR="001473BD">
        <w:rPr>
          <w:lang w:val="es-ES_tradnl"/>
        </w:rPr>
        <w:t xml:space="preserve"> programados</w:t>
      </w:r>
      <w:r w:rsidR="00F408E6">
        <w:rPr>
          <w:lang w:val="es-ES_tradnl"/>
        </w:rPr>
        <w:t xml:space="preserve"> al sistema GUATECOMPRAS,</w:t>
      </w:r>
      <w:r w:rsidRPr="00CD0AF0">
        <w:rPr>
          <w:lang w:val="es-ES_tradnl"/>
        </w:rPr>
        <w:t xml:space="preserve"> Guatemala estará en condiciones de adherirse a la Iniciativa de Contrataciones Abiertas (OCP por sus siglas en inglés), que </w:t>
      </w:r>
      <w:r w:rsidR="00F408E6">
        <w:rPr>
          <w:lang w:val="es-ES_tradnl"/>
        </w:rPr>
        <w:t xml:space="preserve">fue uno de los compromisos acordados en </w:t>
      </w:r>
      <w:r w:rsidRPr="00CD0AF0">
        <w:rPr>
          <w:lang w:val="es-ES_tradnl"/>
        </w:rPr>
        <w:t>el Tercer Plan de Acción Nacional de Gobierno Abierto 2016-2018.</w:t>
      </w:r>
    </w:p>
    <w:p w:rsidR="004B5DF5" w:rsidRDefault="004B5DF5" w:rsidP="004B5DF5">
      <w:pPr>
        <w:jc w:val="both"/>
        <w:rPr>
          <w:lang w:val="es-ES_tradnl"/>
        </w:rPr>
      </w:pPr>
    </w:p>
    <w:p w:rsidR="00B77826" w:rsidRPr="00C87E7F" w:rsidRDefault="00B77826" w:rsidP="004B5DF5">
      <w:pPr>
        <w:jc w:val="both"/>
        <w:rPr>
          <w:sz w:val="14"/>
          <w:lang w:val="es-ES_tradnl"/>
        </w:rPr>
      </w:pPr>
    </w:p>
    <w:p w:rsidR="00B77826" w:rsidRDefault="00B77826" w:rsidP="004B5DF5">
      <w:pPr>
        <w:jc w:val="both"/>
        <w:rPr>
          <w:lang w:val="es-ES_tradnl"/>
        </w:rPr>
      </w:pPr>
      <w:r w:rsidRPr="00B77826">
        <w:rPr>
          <w:b/>
          <w:i/>
          <w:lang w:val="es-ES_tradnl"/>
        </w:rPr>
        <w:t>Gestión de Riesgos Fiscales.</w:t>
      </w:r>
      <w:r>
        <w:rPr>
          <w:lang w:val="es-ES_tradnl"/>
        </w:rPr>
        <w:t xml:space="preserve"> </w:t>
      </w:r>
      <w:r w:rsidRPr="00B77826">
        <w:rPr>
          <w:lang w:val="es-ES_tradnl"/>
        </w:rPr>
        <w:t>Por tercer año consecutivo, en la etapa de formulación del Proyecto de Presupuesto General de Ingresos y Egresos del Estado, se ha incorporado una separata o informe ejecutivo sobre el análisis y gestión de riesgos fiscales, para que se conozcan los principales riesgos que pueden afectar las finanzas públicas, su impacto en monto y como porcentaje del PIB y las posibles medidas de mitigación que se pueden adoptar para contrarrestar sus efectos. La transparencia fiscal ayuda a garantizar que las decisiones de los gobiernos en materia de economía se informen en una evaluación compartida y exacta de la posición fiscal actual los costos y beneficios de cualquier modificación de la política y los riesgos potenciales para las perspectivas fiscales. Además, brinda a las legislaturas, mercados y ciudadanos la información necesaria para tomar decisiones financieras eficientes y para responsabilizar al gobierno por el desempeño fiscal y la utilización de los recursos públicos y facilita la vigilancia internacional de los acontecimientos fiscales y ayuda a mitigar la transmisión de contagio fiscal entre países.</w:t>
      </w:r>
    </w:p>
    <w:p w:rsidR="007E0FD4" w:rsidRDefault="007E0FD4" w:rsidP="004B5DF5">
      <w:pPr>
        <w:jc w:val="both"/>
        <w:rPr>
          <w:lang w:val="es-ES_tradnl"/>
        </w:rPr>
      </w:pPr>
    </w:p>
    <w:p w:rsidR="007E0FD4" w:rsidRPr="00C87E7F" w:rsidRDefault="007E0FD4" w:rsidP="004B5DF5">
      <w:pPr>
        <w:jc w:val="both"/>
        <w:rPr>
          <w:sz w:val="14"/>
          <w:lang w:val="es-ES_tradnl"/>
        </w:rPr>
      </w:pPr>
    </w:p>
    <w:p w:rsidR="007E0FD4" w:rsidRPr="007E0FD4" w:rsidRDefault="007E0FD4" w:rsidP="007E0FD4">
      <w:pPr>
        <w:jc w:val="both"/>
        <w:rPr>
          <w:lang w:val="es-ES_tradnl"/>
        </w:rPr>
      </w:pPr>
      <w:r w:rsidRPr="007E0FD4">
        <w:rPr>
          <w:b/>
          <w:i/>
          <w:lang w:val="es-ES_tradnl"/>
        </w:rPr>
        <w:t>Estrategia de Transparencia Fiscal de</w:t>
      </w:r>
      <w:r w:rsidR="00434D1D">
        <w:rPr>
          <w:b/>
          <w:i/>
          <w:lang w:val="es-ES_tradnl"/>
        </w:rPr>
        <w:t>l</w:t>
      </w:r>
      <w:r w:rsidRPr="007E0FD4">
        <w:rPr>
          <w:b/>
          <w:i/>
          <w:lang w:val="es-ES_tradnl"/>
        </w:rPr>
        <w:t xml:space="preserve"> Ministerio de Finanzas Públicas</w:t>
      </w:r>
      <w:r>
        <w:rPr>
          <w:lang w:val="es-ES_tradnl"/>
        </w:rPr>
        <w:t xml:space="preserve">. </w:t>
      </w:r>
      <w:r w:rsidRPr="007E0FD4">
        <w:rPr>
          <w:lang w:val="es-ES_tradnl"/>
        </w:rPr>
        <w:t>La importancia de que exista una estrategia de transparencia fiscal que sirva de marco referencial en la administración financiera, radica en que, por un lado, se genera la cultura de rendición de cuentas a la población, por las medidas y acciones realizadas en la gestión pública; y por otro, se contribuye con la prevención de la corrupción, con lo cual se influye en mejorar las condiciones que favorecen entre otros aspectos, la gobernanza, tributación, inversión, clima de negocios, así como una mayor armonización entre las políticas económica y social que redunden en beneficio de la población en general, sin descartar que a nivel internacional favorece el posicionamiento del país en áreas como el comercio, la inversión extranjera y la cooperación técnica y financiera.</w:t>
      </w:r>
    </w:p>
    <w:p w:rsidR="007E0FD4" w:rsidRPr="007E0FD4" w:rsidRDefault="007E0FD4" w:rsidP="007E0FD4">
      <w:pPr>
        <w:jc w:val="both"/>
        <w:rPr>
          <w:lang w:val="es-ES_tradnl"/>
        </w:rPr>
      </w:pPr>
    </w:p>
    <w:p w:rsidR="0069616A" w:rsidRDefault="00434D1D" w:rsidP="00C87E7F">
      <w:pPr>
        <w:jc w:val="both"/>
        <w:rPr>
          <w:lang w:val="es-ES_tradnl"/>
        </w:rPr>
      </w:pPr>
      <w:r>
        <w:rPr>
          <w:lang w:val="es-ES_tradnl"/>
        </w:rPr>
        <w:t xml:space="preserve">En ese sentido, por medio del Acuerdo Ministerial No. 82-2019 del 7 de febrero de 2019 se aprobó la Estrategia de Transparencia Fiscal del </w:t>
      </w:r>
      <w:r w:rsidR="007E0FD4" w:rsidRPr="007E0FD4">
        <w:rPr>
          <w:lang w:val="es-ES_tradnl"/>
        </w:rPr>
        <w:t xml:space="preserve">Ministerio de Finanzas Públicas </w:t>
      </w:r>
      <w:r>
        <w:rPr>
          <w:lang w:val="es-ES_tradnl"/>
        </w:rPr>
        <w:t xml:space="preserve">que permite a la ciudadanía obtener </w:t>
      </w:r>
      <w:r w:rsidR="007E0FD4" w:rsidRPr="007E0FD4">
        <w:rPr>
          <w:lang w:val="es-ES_tradnl"/>
        </w:rPr>
        <w:t>el conocimiento de las finanzas públicas del país así como su dinámica, toda vez que el alcance y limitación de los recursos públicos son determinantes para que el gobierno y sus instituciones puedan atender las diversas demandas de bienes y servicios por parte de la población guatemalteca. Por otro lado, la administración de los recursos del Estado constituye en sí misma, una responsabilidad por la cual los funcionarios en los distintos niveles de la administración pública, han de rendir cuentas como parte de la ética en el manejo y gestión pública</w:t>
      </w:r>
      <w:r w:rsidR="00C87E7F">
        <w:rPr>
          <w:lang w:val="es-ES_tradnl"/>
        </w:rPr>
        <w:t>.</w:t>
      </w: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center"/>
        <w:rPr>
          <w:b/>
          <w:sz w:val="36"/>
        </w:rPr>
      </w:pPr>
      <w:r>
        <w:rPr>
          <w:b/>
          <w:sz w:val="36"/>
        </w:rPr>
        <w:t>Anexo</w:t>
      </w:r>
      <w:r w:rsidRPr="00613CB6">
        <w:rPr>
          <w:b/>
          <w:sz w:val="36"/>
        </w:rPr>
        <w:t>s</w:t>
      </w: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AD3E0A" w:rsidRDefault="00AD3E0A"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3A0FF5" w:rsidRPr="0088577C" w:rsidRDefault="003A0FF5" w:rsidP="00CF0E15">
      <w:pPr>
        <w:jc w:val="center"/>
        <w:rPr>
          <w:b/>
          <w:sz w:val="22"/>
          <w:lang w:val="es-MX"/>
        </w:rPr>
      </w:pPr>
      <w:r w:rsidRPr="0088577C">
        <w:rPr>
          <w:b/>
          <w:sz w:val="22"/>
          <w:lang w:val="es-MX"/>
        </w:rPr>
        <w:t xml:space="preserve">Cuadro </w:t>
      </w:r>
      <w:r w:rsidR="002B5EF3">
        <w:rPr>
          <w:b/>
          <w:sz w:val="22"/>
          <w:lang w:val="es-MX"/>
        </w:rPr>
        <w:t>20</w:t>
      </w:r>
    </w:p>
    <w:p w:rsidR="003A0FF5" w:rsidRPr="0088577C" w:rsidRDefault="003A0FF5" w:rsidP="00CF0E15">
      <w:pPr>
        <w:jc w:val="center"/>
        <w:rPr>
          <w:b/>
          <w:sz w:val="22"/>
          <w:lang w:val="es-MX"/>
        </w:rPr>
      </w:pPr>
      <w:r>
        <w:rPr>
          <w:b/>
          <w:sz w:val="22"/>
          <w:lang w:val="es-MX"/>
        </w:rPr>
        <w:t>Ejecución Presupuestaria por Entidad y Programas Institucionales</w:t>
      </w:r>
    </w:p>
    <w:p w:rsidR="003A0FF5" w:rsidRPr="0088577C" w:rsidRDefault="003A0FF5" w:rsidP="00CF0E15">
      <w:pPr>
        <w:jc w:val="center"/>
        <w:rPr>
          <w:b/>
          <w:sz w:val="22"/>
          <w:lang w:val="es-MX"/>
        </w:rPr>
      </w:pPr>
      <w:r>
        <w:rPr>
          <w:b/>
          <w:sz w:val="22"/>
          <w:lang w:val="es-MX"/>
        </w:rPr>
        <w:t>Estimación de Cierre 201</w:t>
      </w:r>
      <w:r w:rsidR="002B5EF3">
        <w:rPr>
          <w:b/>
          <w:sz w:val="22"/>
          <w:lang w:val="es-MX"/>
        </w:rPr>
        <w:t>9</w:t>
      </w:r>
    </w:p>
    <w:p w:rsidR="003A0FF5" w:rsidRDefault="003A0FF5" w:rsidP="00CF0E15">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0D6F31">
      <w:pPr>
        <w:pStyle w:val="Prrafodelista"/>
        <w:ind w:left="-426"/>
        <w:jc w:val="both"/>
        <w:rPr>
          <w:b/>
          <w:sz w:val="22"/>
          <w:lang w:val="es-MX"/>
        </w:rPr>
      </w:pPr>
      <w:r w:rsidRPr="00CF0E15">
        <w:rPr>
          <w:sz w:val="32"/>
        </w:rPr>
        <w:drawing>
          <wp:inline distT="0" distB="0" distL="0" distR="0" wp14:anchorId="0B5A457E" wp14:editId="2128A08F">
            <wp:extent cx="6343068" cy="615514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8089" cy="6160012"/>
                    </a:xfrm>
                    <a:prstGeom prst="rect">
                      <a:avLst/>
                    </a:prstGeom>
                    <a:noFill/>
                    <a:ln>
                      <a:noFill/>
                    </a:ln>
                  </pic:spPr>
                </pic:pic>
              </a:graphicData>
            </a:graphic>
          </wp:inline>
        </w:drawing>
      </w:r>
    </w:p>
    <w:p w:rsidR="00CF0E15" w:rsidRDefault="00CF0E15" w:rsidP="003A0FF5">
      <w:pPr>
        <w:pStyle w:val="Prrafodelista"/>
        <w:jc w:val="center"/>
        <w:rPr>
          <w:sz w:val="16"/>
        </w:rPr>
      </w:pPr>
    </w:p>
    <w:p w:rsidR="0069616A" w:rsidRDefault="0069616A" w:rsidP="0069616A">
      <w:pPr>
        <w:autoSpaceDE w:val="0"/>
        <w:autoSpaceDN w:val="0"/>
        <w:adjustRightInd w:val="0"/>
        <w:jc w:val="center"/>
        <w:rPr>
          <w:b/>
          <w:sz w:val="36"/>
        </w:rPr>
      </w:pPr>
    </w:p>
    <w:p w:rsidR="00AD3E0A" w:rsidRDefault="00AD3E0A"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3A0FF5" w:rsidRPr="0088577C" w:rsidRDefault="003A0FF5" w:rsidP="004E7459">
      <w:pPr>
        <w:jc w:val="center"/>
        <w:rPr>
          <w:b/>
          <w:sz w:val="22"/>
          <w:lang w:val="es-MX"/>
        </w:rPr>
      </w:pPr>
      <w:r w:rsidRPr="0088577C">
        <w:rPr>
          <w:b/>
          <w:sz w:val="22"/>
          <w:lang w:val="es-MX"/>
        </w:rPr>
        <w:lastRenderedPageBreak/>
        <w:t xml:space="preserve">Cuadro </w:t>
      </w:r>
      <w:r w:rsidR="002B5EF3">
        <w:rPr>
          <w:b/>
          <w:sz w:val="22"/>
          <w:lang w:val="es-MX"/>
        </w:rPr>
        <w:t>20</w:t>
      </w:r>
      <w:r>
        <w:rPr>
          <w:b/>
          <w:sz w:val="22"/>
          <w:lang w:val="es-MX"/>
        </w:rPr>
        <w:t xml:space="preserve"> (continúa)</w:t>
      </w:r>
    </w:p>
    <w:p w:rsidR="003A0FF5" w:rsidRPr="0088577C" w:rsidRDefault="003A0FF5" w:rsidP="004E7459">
      <w:pPr>
        <w:jc w:val="center"/>
        <w:rPr>
          <w:b/>
          <w:sz w:val="22"/>
          <w:lang w:val="es-MX"/>
        </w:rPr>
      </w:pPr>
      <w:r>
        <w:rPr>
          <w:b/>
          <w:sz w:val="22"/>
          <w:lang w:val="es-MX"/>
        </w:rPr>
        <w:t>Ejecución Presupuestaria por Entidad y Programas Institucionales</w:t>
      </w:r>
    </w:p>
    <w:p w:rsidR="003A0FF5" w:rsidRPr="0088577C" w:rsidRDefault="003A0FF5" w:rsidP="004E7459">
      <w:pPr>
        <w:jc w:val="center"/>
        <w:rPr>
          <w:b/>
          <w:sz w:val="22"/>
          <w:lang w:val="es-MX"/>
        </w:rPr>
      </w:pPr>
      <w:r>
        <w:rPr>
          <w:b/>
          <w:sz w:val="22"/>
          <w:lang w:val="es-MX"/>
        </w:rPr>
        <w:t>Estimación de Cierre 201</w:t>
      </w:r>
      <w:r w:rsidR="002B5EF3">
        <w:rPr>
          <w:b/>
          <w:sz w:val="22"/>
          <w:lang w:val="es-MX"/>
        </w:rPr>
        <w:t>9</w:t>
      </w:r>
    </w:p>
    <w:p w:rsidR="003A0FF5" w:rsidRDefault="003A0FF5"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0D6F31">
      <w:pPr>
        <w:pStyle w:val="Prrafodelista"/>
        <w:ind w:left="-426"/>
        <w:jc w:val="center"/>
        <w:rPr>
          <w:b/>
          <w:sz w:val="22"/>
          <w:lang w:val="es-MX"/>
        </w:rPr>
      </w:pPr>
      <w:r w:rsidRPr="00CF0E15">
        <w:drawing>
          <wp:inline distT="0" distB="0" distL="0" distR="0" wp14:anchorId="478DC14A" wp14:editId="243D1B70">
            <wp:extent cx="6269566" cy="70149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1053" cy="7016613"/>
                    </a:xfrm>
                    <a:prstGeom prst="rect">
                      <a:avLst/>
                    </a:prstGeom>
                    <a:noFill/>
                    <a:ln>
                      <a:noFill/>
                    </a:ln>
                  </pic:spPr>
                </pic:pic>
              </a:graphicData>
            </a:graphic>
          </wp:inline>
        </w:drawing>
      </w:r>
    </w:p>
    <w:p w:rsidR="00CF0E15" w:rsidRDefault="00CF0E15" w:rsidP="003A0FF5">
      <w:pPr>
        <w:pStyle w:val="Prrafodelista"/>
        <w:jc w:val="center"/>
        <w:rPr>
          <w:sz w:val="16"/>
        </w:rPr>
      </w:pPr>
    </w:p>
    <w:p w:rsidR="00C87E7F" w:rsidRDefault="00C87E7F" w:rsidP="003A0FF5">
      <w:pPr>
        <w:pStyle w:val="Prrafodelista"/>
        <w:jc w:val="center"/>
        <w:rPr>
          <w:sz w:val="16"/>
        </w:rPr>
      </w:pPr>
    </w:p>
    <w:p w:rsidR="00C87E7F" w:rsidRDefault="00C87E7F" w:rsidP="003A0FF5">
      <w:pPr>
        <w:pStyle w:val="Prrafodelista"/>
        <w:jc w:val="center"/>
        <w:rPr>
          <w:sz w:val="16"/>
        </w:rPr>
      </w:pPr>
    </w:p>
    <w:p w:rsidR="00AD3E0A" w:rsidRDefault="00AD3E0A" w:rsidP="0069616A">
      <w:pPr>
        <w:autoSpaceDE w:val="0"/>
        <w:autoSpaceDN w:val="0"/>
        <w:adjustRightInd w:val="0"/>
        <w:jc w:val="center"/>
        <w:rPr>
          <w:b/>
          <w:sz w:val="36"/>
        </w:rPr>
      </w:pPr>
    </w:p>
    <w:p w:rsidR="003A0FF5" w:rsidRPr="0088577C" w:rsidRDefault="003A0FF5" w:rsidP="004E7459">
      <w:pPr>
        <w:jc w:val="center"/>
        <w:rPr>
          <w:b/>
          <w:sz w:val="22"/>
          <w:lang w:val="es-MX"/>
        </w:rPr>
      </w:pPr>
      <w:r w:rsidRPr="0088577C">
        <w:rPr>
          <w:b/>
          <w:sz w:val="22"/>
          <w:lang w:val="es-MX"/>
        </w:rPr>
        <w:t xml:space="preserve">Cuadro </w:t>
      </w:r>
      <w:r w:rsidR="002B5EF3">
        <w:rPr>
          <w:b/>
          <w:sz w:val="22"/>
          <w:lang w:val="es-MX"/>
        </w:rPr>
        <w:t>20</w:t>
      </w:r>
      <w:r w:rsidR="00B32545">
        <w:rPr>
          <w:b/>
          <w:sz w:val="22"/>
          <w:lang w:val="es-MX"/>
        </w:rPr>
        <w:t xml:space="preserve"> (continúa)</w:t>
      </w:r>
    </w:p>
    <w:p w:rsidR="003A0FF5" w:rsidRPr="0088577C" w:rsidRDefault="003A0FF5" w:rsidP="004E7459">
      <w:pPr>
        <w:jc w:val="center"/>
        <w:rPr>
          <w:b/>
          <w:sz w:val="22"/>
          <w:lang w:val="es-MX"/>
        </w:rPr>
      </w:pPr>
      <w:r>
        <w:rPr>
          <w:b/>
          <w:sz w:val="22"/>
          <w:lang w:val="es-MX"/>
        </w:rPr>
        <w:t>Ejecución Presupuestaria por Entidad y Programas Institucionales</w:t>
      </w:r>
    </w:p>
    <w:p w:rsidR="003A0FF5" w:rsidRPr="0088577C" w:rsidRDefault="003A0FF5" w:rsidP="004E7459">
      <w:pPr>
        <w:jc w:val="center"/>
        <w:rPr>
          <w:b/>
          <w:sz w:val="22"/>
          <w:lang w:val="es-MX"/>
        </w:rPr>
      </w:pPr>
      <w:r>
        <w:rPr>
          <w:b/>
          <w:sz w:val="22"/>
          <w:lang w:val="es-MX"/>
        </w:rPr>
        <w:t>Estimación de Cierre 201</w:t>
      </w:r>
      <w:r w:rsidR="002B5EF3">
        <w:rPr>
          <w:b/>
          <w:sz w:val="22"/>
          <w:lang w:val="es-MX"/>
        </w:rPr>
        <w:t>9</w:t>
      </w:r>
    </w:p>
    <w:p w:rsidR="003A0FF5" w:rsidRDefault="003A0FF5"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0D6F31">
      <w:pPr>
        <w:pStyle w:val="Prrafodelista"/>
        <w:ind w:left="-426"/>
        <w:jc w:val="center"/>
        <w:rPr>
          <w:b/>
          <w:sz w:val="22"/>
          <w:lang w:val="es-MX"/>
        </w:rPr>
      </w:pPr>
      <w:r w:rsidRPr="00CF0E15">
        <w:drawing>
          <wp:inline distT="0" distB="0" distL="0" distR="0" wp14:anchorId="7B61E1C5" wp14:editId="751F4936">
            <wp:extent cx="6331009" cy="64076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6431" cy="6413111"/>
                    </a:xfrm>
                    <a:prstGeom prst="rect">
                      <a:avLst/>
                    </a:prstGeom>
                    <a:noFill/>
                    <a:ln>
                      <a:noFill/>
                    </a:ln>
                  </pic:spPr>
                </pic:pic>
              </a:graphicData>
            </a:graphic>
          </wp:inline>
        </w:drawing>
      </w:r>
    </w:p>
    <w:p w:rsidR="0069616A" w:rsidRPr="00416F2B" w:rsidRDefault="00416F2B" w:rsidP="00CF0E15">
      <w:pPr>
        <w:autoSpaceDE w:val="0"/>
        <w:autoSpaceDN w:val="0"/>
        <w:adjustRightInd w:val="0"/>
        <w:ind w:left="-142"/>
        <w:rPr>
          <w:sz w:val="18"/>
        </w:rPr>
      </w:pPr>
      <w:r w:rsidRPr="00416F2B">
        <w:rPr>
          <w:sz w:val="18"/>
        </w:rPr>
        <w:t xml:space="preserve">Fuente: </w:t>
      </w:r>
      <w:r>
        <w:rPr>
          <w:sz w:val="18"/>
        </w:rPr>
        <w:t>Ministerio de Finanzas Públicas.</w:t>
      </w:r>
    </w:p>
    <w:p w:rsidR="0067083C" w:rsidRDefault="0067083C"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CF0E15" w:rsidRDefault="00CF0E15" w:rsidP="0069616A">
      <w:pPr>
        <w:autoSpaceDE w:val="0"/>
        <w:autoSpaceDN w:val="0"/>
        <w:adjustRightInd w:val="0"/>
        <w:jc w:val="center"/>
        <w:rPr>
          <w:b/>
          <w:sz w:val="36"/>
        </w:rPr>
      </w:pPr>
    </w:p>
    <w:p w:rsidR="00A74391" w:rsidRPr="0088577C" w:rsidRDefault="00A74391" w:rsidP="004E7459">
      <w:pPr>
        <w:jc w:val="center"/>
        <w:rPr>
          <w:b/>
          <w:sz w:val="22"/>
          <w:lang w:val="es-MX"/>
        </w:rPr>
      </w:pPr>
      <w:r w:rsidRPr="0088577C">
        <w:rPr>
          <w:b/>
          <w:sz w:val="22"/>
          <w:lang w:val="es-MX"/>
        </w:rPr>
        <w:lastRenderedPageBreak/>
        <w:t xml:space="preserve">Cuadro </w:t>
      </w:r>
      <w:r w:rsidR="002B5EF3">
        <w:rPr>
          <w:b/>
          <w:sz w:val="22"/>
          <w:lang w:val="es-MX"/>
        </w:rPr>
        <w:t>21</w:t>
      </w:r>
    </w:p>
    <w:p w:rsidR="00A74391" w:rsidRDefault="00A74391" w:rsidP="004E7459">
      <w:pPr>
        <w:jc w:val="center"/>
        <w:rPr>
          <w:b/>
          <w:sz w:val="22"/>
          <w:lang w:val="es-MX"/>
        </w:rPr>
      </w:pPr>
      <w:r>
        <w:rPr>
          <w:b/>
          <w:sz w:val="22"/>
          <w:lang w:val="es-MX"/>
        </w:rPr>
        <w:t>Situación Financiera</w:t>
      </w:r>
    </w:p>
    <w:p w:rsidR="00A74391" w:rsidRPr="0088577C" w:rsidRDefault="00A74391" w:rsidP="004E7459">
      <w:pPr>
        <w:jc w:val="center"/>
        <w:rPr>
          <w:b/>
          <w:sz w:val="22"/>
          <w:lang w:val="es-MX"/>
        </w:rPr>
      </w:pPr>
      <w:r>
        <w:rPr>
          <w:b/>
          <w:sz w:val="22"/>
          <w:lang w:val="es-MX"/>
        </w:rPr>
        <w:t>Presupuesto Aprobado y Estimación de Cierre 201</w:t>
      </w:r>
      <w:r w:rsidR="002B5EF3">
        <w:rPr>
          <w:b/>
          <w:sz w:val="22"/>
          <w:lang w:val="es-MX"/>
        </w:rPr>
        <w:t>9</w:t>
      </w:r>
    </w:p>
    <w:p w:rsidR="00A74391" w:rsidRDefault="00A74391"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CF0E15" w:rsidRDefault="00CF0E15" w:rsidP="00CF0E15">
      <w:pPr>
        <w:pStyle w:val="Prrafodelista"/>
        <w:ind w:left="0"/>
        <w:jc w:val="center"/>
        <w:rPr>
          <w:b/>
          <w:sz w:val="22"/>
          <w:lang w:val="es-MX"/>
        </w:rPr>
      </w:pPr>
      <w:r w:rsidRPr="00CF0E15">
        <w:drawing>
          <wp:inline distT="0" distB="0" distL="0" distR="0">
            <wp:extent cx="6032310" cy="7122963"/>
            <wp:effectExtent l="0" t="0" r="698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360" cy="7123023"/>
                    </a:xfrm>
                    <a:prstGeom prst="rect">
                      <a:avLst/>
                    </a:prstGeom>
                    <a:noFill/>
                    <a:ln>
                      <a:noFill/>
                    </a:ln>
                  </pic:spPr>
                </pic:pic>
              </a:graphicData>
            </a:graphic>
          </wp:inline>
        </w:drawing>
      </w:r>
    </w:p>
    <w:p w:rsidR="00773FBA" w:rsidRDefault="00773FBA" w:rsidP="00A74391">
      <w:pPr>
        <w:jc w:val="center"/>
        <w:rPr>
          <w:b/>
          <w:sz w:val="22"/>
          <w:lang w:val="es-MX"/>
        </w:rPr>
      </w:pPr>
    </w:p>
    <w:p w:rsidR="004E7459" w:rsidRDefault="004E7459" w:rsidP="00A74391">
      <w:pPr>
        <w:jc w:val="center"/>
        <w:rPr>
          <w:b/>
          <w:sz w:val="22"/>
          <w:lang w:val="es-MX"/>
        </w:rPr>
      </w:pPr>
    </w:p>
    <w:p w:rsidR="004E7459" w:rsidRDefault="004E7459" w:rsidP="00A74391">
      <w:pPr>
        <w:jc w:val="center"/>
        <w:rPr>
          <w:b/>
          <w:sz w:val="22"/>
          <w:lang w:val="es-MX"/>
        </w:rPr>
      </w:pPr>
    </w:p>
    <w:p w:rsidR="00A74391" w:rsidRPr="0088577C" w:rsidRDefault="00A74391" w:rsidP="004E7459">
      <w:pPr>
        <w:jc w:val="center"/>
        <w:rPr>
          <w:b/>
          <w:sz w:val="22"/>
          <w:lang w:val="es-MX"/>
        </w:rPr>
      </w:pPr>
      <w:r w:rsidRPr="0088577C">
        <w:rPr>
          <w:b/>
          <w:sz w:val="22"/>
          <w:lang w:val="es-MX"/>
        </w:rPr>
        <w:lastRenderedPageBreak/>
        <w:t xml:space="preserve">Cuadro </w:t>
      </w:r>
      <w:r w:rsidR="002B5EF3">
        <w:rPr>
          <w:b/>
          <w:sz w:val="22"/>
          <w:lang w:val="es-MX"/>
        </w:rPr>
        <w:t>21</w:t>
      </w:r>
      <w:r>
        <w:rPr>
          <w:b/>
          <w:sz w:val="22"/>
          <w:lang w:val="es-MX"/>
        </w:rPr>
        <w:t xml:space="preserve"> (continúa)</w:t>
      </w:r>
    </w:p>
    <w:p w:rsidR="00A74391" w:rsidRDefault="00A74391" w:rsidP="004E7459">
      <w:pPr>
        <w:jc w:val="center"/>
        <w:rPr>
          <w:b/>
          <w:sz w:val="22"/>
          <w:lang w:val="es-MX"/>
        </w:rPr>
      </w:pPr>
      <w:r>
        <w:rPr>
          <w:b/>
          <w:sz w:val="22"/>
          <w:lang w:val="es-MX"/>
        </w:rPr>
        <w:t>Situación Financiera</w:t>
      </w:r>
    </w:p>
    <w:p w:rsidR="00A74391" w:rsidRPr="0088577C" w:rsidRDefault="00A74391" w:rsidP="004E7459">
      <w:pPr>
        <w:jc w:val="center"/>
        <w:rPr>
          <w:b/>
          <w:sz w:val="22"/>
          <w:lang w:val="es-MX"/>
        </w:rPr>
      </w:pPr>
      <w:r>
        <w:rPr>
          <w:b/>
          <w:sz w:val="22"/>
          <w:lang w:val="es-MX"/>
        </w:rPr>
        <w:t>Presupuesto Aprobado y Estimación de Cierre 201</w:t>
      </w:r>
      <w:r w:rsidR="002B5EF3">
        <w:rPr>
          <w:b/>
          <w:sz w:val="22"/>
          <w:lang w:val="es-MX"/>
        </w:rPr>
        <w:t>9</w:t>
      </w:r>
    </w:p>
    <w:p w:rsidR="00A74391" w:rsidRDefault="00A74391" w:rsidP="004E7459">
      <w:pPr>
        <w:pStyle w:val="Prrafodelista"/>
        <w:ind w:left="0"/>
        <w:jc w:val="center"/>
        <w:rPr>
          <w:b/>
          <w:sz w:val="22"/>
          <w:lang w:val="es-MX"/>
        </w:rPr>
      </w:pPr>
      <w:r w:rsidRPr="0088577C">
        <w:rPr>
          <w:b/>
          <w:sz w:val="22"/>
          <w:lang w:val="es-MX"/>
        </w:rPr>
        <w:t xml:space="preserve">(Cifras en </w:t>
      </w:r>
      <w:r>
        <w:rPr>
          <w:b/>
          <w:sz w:val="22"/>
          <w:lang w:val="es-MX"/>
        </w:rPr>
        <w:t>Millones de Quetzales</w:t>
      </w:r>
      <w:r w:rsidRPr="0088577C">
        <w:rPr>
          <w:b/>
          <w:sz w:val="22"/>
          <w:lang w:val="es-MX"/>
        </w:rPr>
        <w:t>)</w:t>
      </w:r>
    </w:p>
    <w:p w:rsidR="00EF2018" w:rsidRDefault="00EF2018" w:rsidP="00EF2018">
      <w:pPr>
        <w:pStyle w:val="Prrafodelista"/>
        <w:ind w:left="0"/>
        <w:jc w:val="center"/>
        <w:rPr>
          <w:b/>
          <w:sz w:val="22"/>
          <w:lang w:val="es-MX"/>
        </w:rPr>
      </w:pPr>
      <w:r w:rsidRPr="00EF2018">
        <w:drawing>
          <wp:inline distT="0" distB="0" distL="0" distR="0">
            <wp:extent cx="5932422" cy="747214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272" cy="7474479"/>
                    </a:xfrm>
                    <a:prstGeom prst="rect">
                      <a:avLst/>
                    </a:prstGeom>
                    <a:noFill/>
                    <a:ln>
                      <a:noFill/>
                    </a:ln>
                  </pic:spPr>
                </pic:pic>
              </a:graphicData>
            </a:graphic>
          </wp:inline>
        </w:drawing>
      </w:r>
    </w:p>
    <w:p w:rsidR="0067083C" w:rsidRPr="00416F2B" w:rsidRDefault="00416F2B" w:rsidP="00416F2B">
      <w:pPr>
        <w:autoSpaceDE w:val="0"/>
        <w:autoSpaceDN w:val="0"/>
        <w:adjustRightInd w:val="0"/>
        <w:rPr>
          <w:sz w:val="18"/>
        </w:rPr>
      </w:pPr>
      <w:r>
        <w:rPr>
          <w:sz w:val="18"/>
        </w:rPr>
        <w:t>Fuente: Ministerio de Finanzas Públicas.</w:t>
      </w:r>
    </w:p>
    <w:p w:rsidR="006E3EBC" w:rsidRPr="0088577C" w:rsidRDefault="006E3EBC" w:rsidP="004E7459">
      <w:pPr>
        <w:jc w:val="center"/>
        <w:rPr>
          <w:b/>
          <w:sz w:val="22"/>
          <w:lang w:val="es-MX"/>
        </w:rPr>
      </w:pPr>
      <w:r w:rsidRPr="0088577C">
        <w:rPr>
          <w:b/>
          <w:sz w:val="22"/>
          <w:lang w:val="es-MX"/>
        </w:rPr>
        <w:lastRenderedPageBreak/>
        <w:t xml:space="preserve">Cuadro </w:t>
      </w:r>
      <w:r w:rsidR="002B5EF3">
        <w:rPr>
          <w:b/>
          <w:sz w:val="22"/>
          <w:lang w:val="es-MX"/>
        </w:rPr>
        <w:t>22</w:t>
      </w:r>
    </w:p>
    <w:p w:rsidR="006E3EBC" w:rsidRDefault="006E3EBC" w:rsidP="004E7459">
      <w:pPr>
        <w:jc w:val="center"/>
        <w:rPr>
          <w:b/>
          <w:sz w:val="22"/>
          <w:lang w:val="es-MX"/>
        </w:rPr>
      </w:pPr>
      <w:r>
        <w:rPr>
          <w:b/>
          <w:sz w:val="22"/>
          <w:lang w:val="es-MX"/>
        </w:rPr>
        <w:t>Situación Financiera</w:t>
      </w:r>
    </w:p>
    <w:p w:rsidR="006E3EBC" w:rsidRPr="0088577C" w:rsidRDefault="006E3EBC" w:rsidP="004E7459">
      <w:pPr>
        <w:jc w:val="center"/>
        <w:rPr>
          <w:b/>
          <w:sz w:val="22"/>
          <w:lang w:val="es-MX"/>
        </w:rPr>
      </w:pPr>
      <w:r>
        <w:rPr>
          <w:b/>
          <w:sz w:val="22"/>
          <w:lang w:val="es-MX"/>
        </w:rPr>
        <w:t>Presupuesto Aprobado y Estimación de Cierre 201</w:t>
      </w:r>
      <w:r w:rsidR="002B5EF3">
        <w:rPr>
          <w:b/>
          <w:sz w:val="22"/>
          <w:lang w:val="es-MX"/>
        </w:rPr>
        <w:t>9</w:t>
      </w:r>
    </w:p>
    <w:p w:rsidR="006E3EBC" w:rsidRDefault="006E3EBC" w:rsidP="004E7459">
      <w:pPr>
        <w:pStyle w:val="Prrafodelista"/>
        <w:ind w:left="0"/>
        <w:jc w:val="center"/>
        <w:rPr>
          <w:b/>
          <w:sz w:val="22"/>
          <w:lang w:val="es-MX"/>
        </w:rPr>
      </w:pPr>
      <w:r w:rsidRPr="0088577C">
        <w:rPr>
          <w:b/>
          <w:sz w:val="22"/>
          <w:lang w:val="es-MX"/>
        </w:rPr>
        <w:t>(</w:t>
      </w:r>
      <w:r>
        <w:rPr>
          <w:b/>
          <w:sz w:val="22"/>
          <w:lang w:val="es-MX"/>
        </w:rPr>
        <w:t xml:space="preserve">En </w:t>
      </w:r>
      <w:r w:rsidR="00A36762">
        <w:rPr>
          <w:b/>
          <w:sz w:val="22"/>
          <w:lang w:val="es-MX"/>
        </w:rPr>
        <w:t>P</w:t>
      </w:r>
      <w:r>
        <w:rPr>
          <w:b/>
          <w:sz w:val="22"/>
          <w:lang w:val="es-MX"/>
        </w:rPr>
        <w:t>orcentajes del PIB</w:t>
      </w:r>
      <w:r w:rsidRPr="0088577C">
        <w:rPr>
          <w:b/>
          <w:sz w:val="22"/>
          <w:lang w:val="es-MX"/>
        </w:rPr>
        <w:t>)</w:t>
      </w:r>
    </w:p>
    <w:p w:rsidR="00EF2018" w:rsidRDefault="00EF2018" w:rsidP="00EF2018">
      <w:pPr>
        <w:pStyle w:val="Prrafodelista"/>
        <w:ind w:left="0"/>
        <w:jc w:val="center"/>
        <w:rPr>
          <w:b/>
          <w:sz w:val="22"/>
          <w:lang w:val="es-MX"/>
        </w:rPr>
      </w:pPr>
      <w:r w:rsidRPr="00EF2018">
        <w:drawing>
          <wp:inline distT="0" distB="0" distL="0" distR="0">
            <wp:extent cx="6032311" cy="7201854"/>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242" cy="7201772"/>
                    </a:xfrm>
                    <a:prstGeom prst="rect">
                      <a:avLst/>
                    </a:prstGeom>
                    <a:noFill/>
                    <a:ln>
                      <a:noFill/>
                    </a:ln>
                  </pic:spPr>
                </pic:pic>
              </a:graphicData>
            </a:graphic>
          </wp:inline>
        </w:drawing>
      </w:r>
    </w:p>
    <w:p w:rsidR="00EF2018" w:rsidRDefault="00EF2018" w:rsidP="00A36762">
      <w:pPr>
        <w:pStyle w:val="Prrafodelista"/>
        <w:jc w:val="center"/>
        <w:rPr>
          <w:sz w:val="16"/>
        </w:rPr>
      </w:pPr>
    </w:p>
    <w:p w:rsidR="004E7459" w:rsidRDefault="004E7459" w:rsidP="00A36762">
      <w:pPr>
        <w:pStyle w:val="Prrafodelista"/>
        <w:jc w:val="center"/>
        <w:rPr>
          <w:sz w:val="16"/>
        </w:rPr>
      </w:pPr>
    </w:p>
    <w:p w:rsidR="004E7459" w:rsidRDefault="004E7459" w:rsidP="00A36762">
      <w:pPr>
        <w:pStyle w:val="Prrafodelista"/>
        <w:jc w:val="center"/>
        <w:rPr>
          <w:sz w:val="16"/>
        </w:rPr>
      </w:pPr>
    </w:p>
    <w:p w:rsidR="006E3EBC" w:rsidRPr="0088577C" w:rsidRDefault="006E3EBC" w:rsidP="004E7459">
      <w:pPr>
        <w:jc w:val="center"/>
        <w:rPr>
          <w:b/>
          <w:sz w:val="22"/>
          <w:lang w:val="es-MX"/>
        </w:rPr>
      </w:pPr>
      <w:r w:rsidRPr="0088577C">
        <w:rPr>
          <w:b/>
          <w:sz w:val="22"/>
          <w:lang w:val="es-MX"/>
        </w:rPr>
        <w:lastRenderedPageBreak/>
        <w:t xml:space="preserve">Cuadro </w:t>
      </w:r>
      <w:r w:rsidR="002B5EF3">
        <w:rPr>
          <w:b/>
          <w:sz w:val="22"/>
          <w:lang w:val="es-MX"/>
        </w:rPr>
        <w:t>22</w:t>
      </w:r>
      <w:r>
        <w:rPr>
          <w:b/>
          <w:sz w:val="22"/>
          <w:lang w:val="es-MX"/>
        </w:rPr>
        <w:t xml:space="preserve"> (continúa)</w:t>
      </w:r>
    </w:p>
    <w:p w:rsidR="006E3EBC" w:rsidRDefault="006E3EBC" w:rsidP="004E7459">
      <w:pPr>
        <w:jc w:val="center"/>
        <w:rPr>
          <w:b/>
          <w:sz w:val="22"/>
          <w:lang w:val="es-MX"/>
        </w:rPr>
      </w:pPr>
      <w:r>
        <w:rPr>
          <w:b/>
          <w:sz w:val="22"/>
          <w:lang w:val="es-MX"/>
        </w:rPr>
        <w:t>Situación Financiera</w:t>
      </w:r>
    </w:p>
    <w:p w:rsidR="006E3EBC" w:rsidRPr="0088577C" w:rsidRDefault="006E3EBC" w:rsidP="004E7459">
      <w:pPr>
        <w:jc w:val="center"/>
        <w:rPr>
          <w:b/>
          <w:sz w:val="22"/>
          <w:lang w:val="es-MX"/>
        </w:rPr>
      </w:pPr>
      <w:r>
        <w:rPr>
          <w:b/>
          <w:sz w:val="22"/>
          <w:lang w:val="es-MX"/>
        </w:rPr>
        <w:t>Presupuesto Aprobado y Estimación de Cierre 201</w:t>
      </w:r>
      <w:r w:rsidR="002B5EF3">
        <w:rPr>
          <w:b/>
          <w:sz w:val="22"/>
          <w:lang w:val="es-MX"/>
        </w:rPr>
        <w:t>9</w:t>
      </w:r>
    </w:p>
    <w:p w:rsidR="006E3EBC" w:rsidRDefault="006E3EBC" w:rsidP="004E7459">
      <w:pPr>
        <w:pStyle w:val="Prrafodelista"/>
        <w:ind w:left="0"/>
        <w:jc w:val="center"/>
        <w:rPr>
          <w:b/>
          <w:sz w:val="22"/>
          <w:lang w:val="es-MX"/>
        </w:rPr>
      </w:pPr>
      <w:r w:rsidRPr="0088577C">
        <w:rPr>
          <w:b/>
          <w:sz w:val="22"/>
          <w:lang w:val="es-MX"/>
        </w:rPr>
        <w:t>(</w:t>
      </w:r>
      <w:r w:rsidR="00416F2B">
        <w:rPr>
          <w:b/>
          <w:sz w:val="22"/>
          <w:lang w:val="es-MX"/>
        </w:rPr>
        <w:t>En Porcentajes del PIB</w:t>
      </w:r>
      <w:r w:rsidRPr="0088577C">
        <w:rPr>
          <w:b/>
          <w:sz w:val="22"/>
          <w:lang w:val="es-MX"/>
        </w:rPr>
        <w:t>)</w:t>
      </w:r>
    </w:p>
    <w:p w:rsidR="00EF2018" w:rsidRDefault="00EF2018" w:rsidP="00EF2018">
      <w:pPr>
        <w:pStyle w:val="Prrafodelista"/>
        <w:ind w:left="0"/>
        <w:jc w:val="center"/>
        <w:rPr>
          <w:b/>
          <w:sz w:val="22"/>
          <w:lang w:val="es-MX"/>
        </w:rPr>
      </w:pPr>
      <w:r w:rsidRPr="00EF2018">
        <w:drawing>
          <wp:inline distT="0" distB="0" distL="0" distR="0">
            <wp:extent cx="5813946" cy="74107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834" cy="7411866"/>
                    </a:xfrm>
                    <a:prstGeom prst="rect">
                      <a:avLst/>
                    </a:prstGeom>
                    <a:noFill/>
                    <a:ln>
                      <a:noFill/>
                    </a:ln>
                  </pic:spPr>
                </pic:pic>
              </a:graphicData>
            </a:graphic>
          </wp:inline>
        </w:drawing>
      </w:r>
    </w:p>
    <w:p w:rsidR="00716926" w:rsidRPr="004B5DF5" w:rsidRDefault="00716926" w:rsidP="00CC1383">
      <w:pPr>
        <w:jc w:val="both"/>
        <w:rPr>
          <w:noProof/>
          <w:sz w:val="18"/>
          <w:lang w:val="es-ES_tradnl"/>
        </w:rPr>
      </w:pPr>
      <w:r>
        <w:rPr>
          <w:noProof/>
          <w:sz w:val="18"/>
          <w:lang w:val="es-ES_tradnl"/>
        </w:rPr>
        <w:t>Fuente: Ministerio de Finanzas Públicas.</w:t>
      </w:r>
    </w:p>
    <w:sectPr w:rsidR="00716926" w:rsidRPr="004B5DF5" w:rsidSect="00AD3E0A">
      <w:headerReference w:type="even" r:id="rId36"/>
      <w:headerReference w:type="default" r:id="rId37"/>
      <w:footerReference w:type="even" r:id="rId38"/>
      <w:footerReference w:type="defaul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5B9" w:rsidRDefault="000975B9" w:rsidP="00BF318F">
      <w:r>
        <w:separator/>
      </w:r>
    </w:p>
  </w:endnote>
  <w:endnote w:type="continuationSeparator" w:id="0">
    <w:p w:rsidR="000975B9" w:rsidRDefault="000975B9" w:rsidP="00BF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G Times">
    <w:panose1 w:val="020206030504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AF" w:rsidRDefault="008E1BAF">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AF" w:rsidRDefault="008E1BAF">
    <w:pPr>
      <w:pStyle w:val="Piedepgina"/>
      <w:jc w:val="right"/>
    </w:pPr>
    <w:r>
      <w:fldChar w:fldCharType="begin"/>
    </w:r>
    <w:r>
      <w:instrText>PAGE   \* MERGEFORMAT</w:instrText>
    </w:r>
    <w:r>
      <w:fldChar w:fldCharType="separate"/>
    </w:r>
    <w:r w:rsidR="00C87E7F">
      <w:rPr>
        <w:noProof/>
      </w:rPr>
      <w:t>3</w:t>
    </w:r>
    <w:r>
      <w:fldChar w:fldCharType="end"/>
    </w:r>
  </w:p>
  <w:p w:rsidR="008E1BAF" w:rsidRDefault="008E1B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AF" w:rsidRDefault="008E1BAF" w:rsidP="00EB2FBA">
    <w:pPr>
      <w:pStyle w:val="Piedepgina"/>
    </w:pPr>
  </w:p>
  <w:p w:rsidR="008E1BAF" w:rsidRDefault="008E1BAF" w:rsidP="00EB2F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5B9" w:rsidRDefault="000975B9" w:rsidP="00BF318F">
      <w:r>
        <w:separator/>
      </w:r>
    </w:p>
  </w:footnote>
  <w:footnote w:type="continuationSeparator" w:id="0">
    <w:p w:rsidR="000975B9" w:rsidRDefault="000975B9" w:rsidP="00BF318F">
      <w:r>
        <w:continuationSeparator/>
      </w:r>
    </w:p>
  </w:footnote>
  <w:footnote w:id="1">
    <w:p w:rsidR="008E1BAF" w:rsidRDefault="008E1BAF" w:rsidP="00E425C1">
      <w:pPr>
        <w:pStyle w:val="Textonotapie"/>
        <w:rPr>
          <w:sz w:val="18"/>
        </w:rPr>
      </w:pPr>
      <w:r>
        <w:rPr>
          <w:rStyle w:val="Refdenotaalpie"/>
        </w:rPr>
        <w:footnoteRef/>
      </w:r>
      <w:r>
        <w:t xml:space="preserve"> </w:t>
      </w:r>
      <w:r w:rsidRPr="00343FF3">
        <w:rPr>
          <w:sz w:val="18"/>
        </w:rPr>
        <w:t>El gasto social está destinado a mejorar las condiciones de vida de las familias guatemaltecas, en el mediano y largo plazo, siendo importante resaltar que los montos detallados en el cuadro siguiente incluyen la función “Edad Avanzada”, dentro de la ejecución del sector Salud y Asistencia Social de cada año</w:t>
      </w:r>
      <w:r>
        <w:rPr>
          <w:sz w:val="18"/>
        </w:rPr>
        <w:t>.</w:t>
      </w:r>
    </w:p>
    <w:p w:rsidR="008E1BAF" w:rsidRPr="00343FF3" w:rsidRDefault="008E1BAF" w:rsidP="00E425C1">
      <w:pPr>
        <w:pStyle w:val="Textonotapie"/>
      </w:pPr>
    </w:p>
  </w:footnote>
  <w:footnote w:id="2">
    <w:p w:rsidR="008E1BAF" w:rsidRDefault="008E1BAF" w:rsidP="00E4580C">
      <w:pPr>
        <w:pStyle w:val="Textonotapie"/>
        <w:jc w:val="both"/>
        <w:rPr>
          <w:sz w:val="18"/>
          <w:szCs w:val="18"/>
          <w:lang w:val="es-MX"/>
        </w:rPr>
      </w:pPr>
      <w:r>
        <w:rPr>
          <w:rStyle w:val="Refdenotaalpie"/>
        </w:rPr>
        <w:footnoteRef/>
      </w:r>
      <w:r>
        <w:t xml:space="preserve"> </w:t>
      </w:r>
      <w:r w:rsidRPr="00CF15B3">
        <w:rPr>
          <w:sz w:val="18"/>
          <w:szCs w:val="18"/>
          <w:lang w:val="es-MX"/>
        </w:rPr>
        <w:t xml:space="preserve">La iniciativa 4462, proyecto de Ley de Fideicomisos Públicos, </w:t>
      </w:r>
      <w:r>
        <w:rPr>
          <w:sz w:val="18"/>
          <w:szCs w:val="18"/>
          <w:lang w:val="es-MX"/>
        </w:rPr>
        <w:t xml:space="preserve">persigue </w:t>
      </w:r>
      <w:r w:rsidRPr="00CF15B3">
        <w:rPr>
          <w:sz w:val="18"/>
          <w:szCs w:val="18"/>
          <w:lang w:val="es-MX"/>
        </w:rPr>
        <w:t>regula</w:t>
      </w:r>
      <w:r>
        <w:rPr>
          <w:sz w:val="18"/>
          <w:szCs w:val="18"/>
          <w:lang w:val="es-MX"/>
        </w:rPr>
        <w:t>r</w:t>
      </w:r>
      <w:r w:rsidRPr="00CF15B3">
        <w:rPr>
          <w:sz w:val="18"/>
          <w:szCs w:val="18"/>
          <w:lang w:val="es-MX"/>
        </w:rPr>
        <w:t xml:space="preserve"> y dispone</w:t>
      </w:r>
      <w:r>
        <w:rPr>
          <w:sz w:val="18"/>
          <w:szCs w:val="18"/>
          <w:lang w:val="es-MX"/>
        </w:rPr>
        <w:t>r</w:t>
      </w:r>
      <w:r w:rsidRPr="00CF15B3">
        <w:rPr>
          <w:sz w:val="18"/>
          <w:szCs w:val="18"/>
          <w:lang w:val="es-MX"/>
        </w:rPr>
        <w:t xml:space="preserve"> las normas y principios que rigen los contratos de fideicomisos públicos, aplicables en la celebración, administración, ejecución, extinción y liquidación de los contratos.  Los recursos que se afecten en dichos contratos preservarán su carácter público y fiscalizable y se observarán los principios de legalidad, economía, eficiencia, eficacia, máxima publicidad, probidad y transparencia en el manejo y ejecución de los recursos públicos, así como los que garanticen que toda actuación pública esté orientada a la consecución del bien común y la debida rendición de cuentas</w:t>
      </w:r>
      <w:r>
        <w:rPr>
          <w:sz w:val="18"/>
          <w:szCs w:val="18"/>
          <w:lang w:val="es-MX"/>
        </w:rPr>
        <w:t>.</w:t>
      </w:r>
    </w:p>
    <w:p w:rsidR="008E1BAF" w:rsidRDefault="008E1BAF" w:rsidP="00E4580C">
      <w:pPr>
        <w:pStyle w:val="Textonotapie"/>
        <w:jc w:val="both"/>
        <w:rPr>
          <w:sz w:val="18"/>
          <w:szCs w:val="18"/>
          <w:lang w:val="es-MX"/>
        </w:rPr>
      </w:pPr>
    </w:p>
    <w:p w:rsidR="008E1BAF" w:rsidRPr="00401389" w:rsidRDefault="008E1BAF" w:rsidP="00E4580C">
      <w:pPr>
        <w:pStyle w:val="Textonotapie"/>
        <w:jc w:val="both"/>
        <w:rPr>
          <w:sz w:val="18"/>
        </w:rPr>
      </w:pPr>
      <w:r>
        <w:rPr>
          <w:sz w:val="18"/>
          <w:lang w:val="es-MX"/>
        </w:rPr>
        <w:t>Asimismo, e</w:t>
      </w:r>
      <w:r w:rsidRPr="00401389">
        <w:rPr>
          <w:sz w:val="18"/>
          <w:lang w:val="es-MX"/>
        </w:rPr>
        <w:t>l detalle de los fideicomisos se encuentra en el portal del Ministerio de Finanzas Públicas y contiene una amplia gama de información sobre fideicomisos vigentes, en liquidación y vencidos, tanto de la Administración Central como de las Entidades Descentralizadas y Autónomas. El uso de fideicomisos actualmente está regulado en el Capítulo VI</w:t>
      </w:r>
      <w:r>
        <w:rPr>
          <w:sz w:val="18"/>
          <w:lang w:val="es-MX"/>
        </w:rPr>
        <w:t>II</w:t>
      </w:r>
      <w:r w:rsidRPr="00401389">
        <w:rPr>
          <w:sz w:val="18"/>
          <w:lang w:val="es-MX"/>
        </w:rPr>
        <w:t xml:space="preserve">, artículos del </w:t>
      </w:r>
      <w:r>
        <w:rPr>
          <w:sz w:val="18"/>
          <w:lang w:val="es-MX"/>
        </w:rPr>
        <w:t>84</w:t>
      </w:r>
      <w:r w:rsidRPr="00401389">
        <w:rPr>
          <w:sz w:val="18"/>
          <w:lang w:val="es-MX"/>
        </w:rPr>
        <w:t xml:space="preserve"> al </w:t>
      </w:r>
      <w:r>
        <w:rPr>
          <w:sz w:val="18"/>
          <w:lang w:val="es-MX"/>
        </w:rPr>
        <w:t>90</w:t>
      </w:r>
      <w:r w:rsidRPr="00401389">
        <w:rPr>
          <w:sz w:val="18"/>
          <w:lang w:val="es-MX"/>
        </w:rPr>
        <w:t xml:space="preserve"> de la Ley del Presupuesto General de Ingresos y Egresos del Estado para el Ejercicio Fiscal 201</w:t>
      </w:r>
      <w:r>
        <w:rPr>
          <w:sz w:val="18"/>
          <w:lang w:val="es-MX"/>
        </w:rPr>
        <w:t>7</w:t>
      </w:r>
      <w:r w:rsidRPr="00401389">
        <w:rPr>
          <w:sz w:val="18"/>
          <w:lang w:val="es-MX"/>
        </w:rPr>
        <w:t xml:space="preserve">, Decreto No. </w:t>
      </w:r>
      <w:r>
        <w:rPr>
          <w:sz w:val="18"/>
          <w:lang w:val="es-MX"/>
        </w:rPr>
        <w:t>50</w:t>
      </w:r>
      <w:r w:rsidRPr="00401389">
        <w:rPr>
          <w:sz w:val="18"/>
          <w:lang w:val="es-MX"/>
        </w:rPr>
        <w:t>-201</w:t>
      </w:r>
      <w:r>
        <w:rPr>
          <w:sz w:val="18"/>
          <w:lang w:val="es-MX"/>
        </w:rPr>
        <w:t>6</w:t>
      </w:r>
      <w:r w:rsidRPr="00401389">
        <w:rPr>
          <w:sz w:val="18"/>
          <w:lang w:val="es-MX"/>
        </w:rPr>
        <w:t xml:space="preserve"> del Congre</w:t>
      </w:r>
      <w:r>
        <w:rPr>
          <w:sz w:val="18"/>
          <w:lang w:val="es-MX"/>
        </w:rPr>
        <w:t>so de la República de Guatemala, vigente para el 2018.</w:t>
      </w:r>
    </w:p>
  </w:footnote>
  <w:footnote w:id="3">
    <w:p w:rsidR="008E1BAF" w:rsidRPr="00AE4E5C" w:rsidRDefault="008E1BAF" w:rsidP="00E425C1">
      <w:pPr>
        <w:pStyle w:val="Textonotapie"/>
        <w:jc w:val="both"/>
      </w:pPr>
      <w:r>
        <w:rPr>
          <w:rStyle w:val="Refdenotaalpie"/>
        </w:rPr>
        <w:footnoteRef/>
      </w:r>
      <w:r>
        <w:t xml:space="preserve"> </w:t>
      </w:r>
      <w:r w:rsidRPr="00AE4E5C">
        <w:rPr>
          <w:sz w:val="18"/>
          <w:lang w:val="es-MX"/>
        </w:rPr>
        <w:t xml:space="preserve">No obstante el artículo 33 Bis del </w:t>
      </w:r>
      <w:r w:rsidRPr="00AE4E5C">
        <w:rPr>
          <w:sz w:val="18"/>
        </w:rPr>
        <w:t>Decreto</w:t>
      </w:r>
      <w:r w:rsidRPr="00AE4E5C">
        <w:rPr>
          <w:sz w:val="18"/>
          <w:lang w:val="es-MX"/>
        </w:rPr>
        <w:t xml:space="preserve"> No. 101-97 del Congreso de la República de Guatemala, Ley Orgánica del Presupuesto, prohíbe suscribir convenios para ejecutar recursos de programas y proyectos a través de Organizaciones No Gubernamentales, Organismos Internacionales o Asociaciones, exceptuando al Ministerio de Salud Pública y Asistencia Social, algunas entidades trasladan recursos a estas instituciones bajo la modalidad de “</w:t>
      </w:r>
      <w:r>
        <w:rPr>
          <w:sz w:val="18"/>
          <w:lang w:val="es-MX"/>
        </w:rPr>
        <w:t>E</w:t>
      </w:r>
      <w:r w:rsidRPr="00AE4E5C">
        <w:rPr>
          <w:sz w:val="18"/>
          <w:lang w:val="es-MX"/>
        </w:rPr>
        <w:t xml:space="preserve">ntes </w:t>
      </w:r>
      <w:r>
        <w:rPr>
          <w:sz w:val="18"/>
          <w:lang w:val="es-MX"/>
        </w:rPr>
        <w:t>R</w:t>
      </w:r>
      <w:r w:rsidRPr="00AE4E5C">
        <w:rPr>
          <w:sz w:val="18"/>
          <w:lang w:val="es-MX"/>
        </w:rPr>
        <w:t xml:space="preserve">eceptores de </w:t>
      </w:r>
      <w:r>
        <w:rPr>
          <w:sz w:val="18"/>
          <w:lang w:val="es-MX"/>
        </w:rPr>
        <w:t>T</w:t>
      </w:r>
      <w:r w:rsidRPr="00AE4E5C">
        <w:rPr>
          <w:sz w:val="18"/>
          <w:lang w:val="es-MX"/>
        </w:rPr>
        <w:t>ransferencias”, sin contraprestación de servicios, porque el país es miembro de alguna organización y según el convenio de adhesión, es necesario cancelar una membresía anual. Además, varias instituciones trasladan aportes a estas organizaciones por concepto de subsidios y subvenciones cuya ejecución se encuentra normada en el Acuerdo Gubernativo No. 55-2016, “Reglamento de Manejo de Subsidios y Subvenciones”</w:t>
      </w:r>
      <w:r>
        <w:rPr>
          <w:sz w:val="18"/>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AF" w:rsidRDefault="008E1BAF" w:rsidP="00CE6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1BAF" w:rsidRDefault="008E1BAF" w:rsidP="00CE683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AF" w:rsidRPr="00801582" w:rsidRDefault="008E1BAF" w:rsidP="00801582">
    <w:pPr>
      <w:pStyle w:val="Encabezado"/>
      <w:tabs>
        <w:tab w:val="clear" w:pos="8504"/>
      </w:tabs>
      <w:jc w:val="center"/>
      <w:rPr>
        <w:rFonts w:ascii="Arial" w:hAnsi="Arial" w:cs="Arial"/>
        <w:b/>
        <w:sz w:val="22"/>
        <w:szCs w:val="22"/>
        <w:lang w:val="es-GT"/>
      </w:rPr>
    </w:pPr>
    <w:r w:rsidRPr="00801582">
      <w:rPr>
        <w:rFonts w:ascii="Arial" w:hAnsi="Arial" w:cs="Arial"/>
        <w:b/>
        <w:sz w:val="22"/>
        <w:szCs w:val="22"/>
        <w:lang w:val="es-GT"/>
      </w:rPr>
      <w:t>Informe del Des</w:t>
    </w:r>
    <w:r>
      <w:rPr>
        <w:rFonts w:ascii="Arial" w:hAnsi="Arial" w:cs="Arial"/>
        <w:b/>
        <w:sz w:val="22"/>
        <w:szCs w:val="22"/>
        <w:lang w:val="es-GT"/>
      </w:rPr>
      <w:t xml:space="preserve">empeño de la Política Fiscal y </w:t>
    </w:r>
    <w:r w:rsidRPr="00801582">
      <w:rPr>
        <w:rFonts w:ascii="Arial" w:hAnsi="Arial" w:cs="Arial"/>
        <w:b/>
        <w:sz w:val="22"/>
        <w:szCs w:val="22"/>
        <w:lang w:val="es-GT"/>
      </w:rPr>
      <w:t>Actividades del Primer Semestre 201</w:t>
    </w:r>
    <w:r>
      <w:rPr>
        <w:rFonts w:ascii="Arial" w:hAnsi="Arial" w:cs="Arial"/>
        <w:b/>
        <w:sz w:val="22"/>
        <w:szCs w:val="22"/>
        <w:lang w:val="es-GT"/>
      </w:rPr>
      <w:t>9</w:t>
    </w:r>
  </w:p>
  <w:p w:rsidR="008E1BAF" w:rsidRPr="000705AA" w:rsidRDefault="008E1BAF" w:rsidP="00CE6835">
    <w:pPr>
      <w:pStyle w:val="Encabezado"/>
      <w:ind w:right="360"/>
      <w:jc w:val="center"/>
      <w:rPr>
        <w:rFonts w:ascii="Arial" w:hAnsi="Arial" w:cs="Arial"/>
        <w:b/>
        <w:color w:val="95B3D7"/>
        <w:u w:val="single"/>
        <w:lang w:val="es-GT"/>
      </w:rPr>
    </w:pPr>
    <w:r>
      <w:rPr>
        <w:noProof/>
        <w:lang w:val="es-GT" w:eastAsia="es-GT"/>
      </w:rPr>
      <mc:AlternateContent>
        <mc:Choice Requires="wps">
          <w:drawing>
            <wp:anchor distT="4294967290" distB="4294967290" distL="114300" distR="114300" simplePos="0" relativeHeight="251657216" behindDoc="0" locked="0" layoutInCell="1" allowOverlap="1" wp14:anchorId="5B079430" wp14:editId="4CCCD5CB">
              <wp:simplePos x="0" y="0"/>
              <wp:positionH relativeFrom="column">
                <wp:posOffset>-118110</wp:posOffset>
              </wp:positionH>
              <wp:positionV relativeFrom="paragraph">
                <wp:posOffset>73659</wp:posOffset>
              </wp:positionV>
              <wp:extent cx="6066155" cy="0"/>
              <wp:effectExtent l="38100" t="95250" r="86995" b="76200"/>
              <wp:wrapNone/>
              <wp:docPr id="1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615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id="15 Conector recto"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3pt,5.8pt" to="46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" strokecolor="#4a7ebb" strokeweight="2.5pt">
              <v:stroke linestyle="thinThin" endcap="round"/>
              <v:shadow on="t" color="black" opacity="26214f" origin="-.5" offset="3pt,0"/>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singleLevel"/>
    <w:tmpl w:val="0000001A"/>
    <w:name w:val="WW8Num26"/>
    <w:lvl w:ilvl="0">
      <w:start w:val="1"/>
      <w:numFmt w:val="decimal"/>
      <w:lvlText w:val="%1."/>
      <w:lvlJc w:val="left"/>
      <w:pPr>
        <w:tabs>
          <w:tab w:val="num" w:pos="0"/>
        </w:tabs>
        <w:ind w:left="720" w:hanging="360"/>
      </w:pPr>
      <w:rPr>
        <w:b/>
      </w:rPr>
    </w:lvl>
  </w:abstractNum>
  <w:abstractNum w:abstractNumId="1">
    <w:nsid w:val="225718F0"/>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A716D7"/>
    <w:multiLevelType w:val="hybridMultilevel"/>
    <w:tmpl w:val="D79E76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33340D77"/>
    <w:multiLevelType w:val="hybridMultilevel"/>
    <w:tmpl w:val="E028106C"/>
    <w:lvl w:ilvl="0" w:tplc="6E005C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3B6B3F97"/>
    <w:multiLevelType w:val="multilevel"/>
    <w:tmpl w:val="E550B00C"/>
    <w:lvl w:ilvl="0">
      <w:start w:val="1"/>
      <w:numFmt w:val="upperRoman"/>
      <w:lvlText w:val="%1."/>
      <w:lvlJc w:val="left"/>
      <w:pPr>
        <w:tabs>
          <w:tab w:val="num" w:pos="0"/>
        </w:tabs>
        <w:ind w:left="432" w:hanging="432"/>
      </w:pPr>
      <w:rPr>
        <w:rFonts w:hint="default"/>
      </w:rPr>
    </w:lvl>
    <w:lvl w:ilvl="1">
      <w:start w:val="1"/>
      <w:numFmt w:val="upperLetter"/>
      <w:lvlText w:val="%2."/>
      <w:lvlJc w:val="left"/>
      <w:pPr>
        <w:tabs>
          <w:tab w:val="num" w:pos="0"/>
        </w:tabs>
        <w:ind w:left="576" w:hanging="576"/>
      </w:pPr>
      <w:rPr>
        <w:rFonts w:ascii="Times New Roman" w:hAnsi="Times New Roman" w:cs="Times New Roman" w:hint="default"/>
        <w:b/>
        <w:i w:val="0"/>
        <w:color w:val="auto"/>
      </w:rPr>
    </w:lvl>
    <w:lvl w:ilvl="2">
      <w:start w:val="1"/>
      <w:numFmt w:val="decimal"/>
      <w:lvlText w:val="%3."/>
      <w:lvlJc w:val="left"/>
      <w:pPr>
        <w:tabs>
          <w:tab w:val="num" w:pos="0"/>
        </w:tabs>
        <w:ind w:left="720" w:hanging="720"/>
      </w:pPr>
      <w:rPr>
        <w:rFonts w:hint="default"/>
        <w:b/>
        <w:sz w:val="24"/>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nsid w:val="3D8B4D4A"/>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6F27FA"/>
    <w:multiLevelType w:val="hybridMultilevel"/>
    <w:tmpl w:val="88105834"/>
    <w:lvl w:ilvl="0" w:tplc="14BE1268">
      <w:start w:val="274"/>
      <w:numFmt w:val="bullet"/>
      <w:lvlText w:val=""/>
      <w:lvlJc w:val="left"/>
      <w:pPr>
        <w:ind w:left="1395" w:hanging="360"/>
      </w:pPr>
      <w:rPr>
        <w:rFonts w:ascii="Symbol" w:eastAsia="Times New Roman" w:hAnsi="Symbol" w:cs="Times New Roman" w:hint="default"/>
      </w:rPr>
    </w:lvl>
    <w:lvl w:ilvl="1" w:tplc="100A0003" w:tentative="1">
      <w:start w:val="1"/>
      <w:numFmt w:val="bullet"/>
      <w:lvlText w:val="o"/>
      <w:lvlJc w:val="left"/>
      <w:pPr>
        <w:ind w:left="2115" w:hanging="360"/>
      </w:pPr>
      <w:rPr>
        <w:rFonts w:ascii="Courier New" w:hAnsi="Courier New" w:cs="Courier New" w:hint="default"/>
      </w:rPr>
    </w:lvl>
    <w:lvl w:ilvl="2" w:tplc="100A0005" w:tentative="1">
      <w:start w:val="1"/>
      <w:numFmt w:val="bullet"/>
      <w:lvlText w:val=""/>
      <w:lvlJc w:val="left"/>
      <w:pPr>
        <w:ind w:left="2835" w:hanging="360"/>
      </w:pPr>
      <w:rPr>
        <w:rFonts w:ascii="Wingdings" w:hAnsi="Wingdings" w:hint="default"/>
      </w:rPr>
    </w:lvl>
    <w:lvl w:ilvl="3" w:tplc="100A0001" w:tentative="1">
      <w:start w:val="1"/>
      <w:numFmt w:val="bullet"/>
      <w:lvlText w:val=""/>
      <w:lvlJc w:val="left"/>
      <w:pPr>
        <w:ind w:left="3555" w:hanging="360"/>
      </w:pPr>
      <w:rPr>
        <w:rFonts w:ascii="Symbol" w:hAnsi="Symbol" w:hint="default"/>
      </w:rPr>
    </w:lvl>
    <w:lvl w:ilvl="4" w:tplc="100A0003" w:tentative="1">
      <w:start w:val="1"/>
      <w:numFmt w:val="bullet"/>
      <w:lvlText w:val="o"/>
      <w:lvlJc w:val="left"/>
      <w:pPr>
        <w:ind w:left="4275" w:hanging="360"/>
      </w:pPr>
      <w:rPr>
        <w:rFonts w:ascii="Courier New" w:hAnsi="Courier New" w:cs="Courier New" w:hint="default"/>
      </w:rPr>
    </w:lvl>
    <w:lvl w:ilvl="5" w:tplc="100A0005" w:tentative="1">
      <w:start w:val="1"/>
      <w:numFmt w:val="bullet"/>
      <w:lvlText w:val=""/>
      <w:lvlJc w:val="left"/>
      <w:pPr>
        <w:ind w:left="4995" w:hanging="360"/>
      </w:pPr>
      <w:rPr>
        <w:rFonts w:ascii="Wingdings" w:hAnsi="Wingdings" w:hint="default"/>
      </w:rPr>
    </w:lvl>
    <w:lvl w:ilvl="6" w:tplc="100A0001" w:tentative="1">
      <w:start w:val="1"/>
      <w:numFmt w:val="bullet"/>
      <w:lvlText w:val=""/>
      <w:lvlJc w:val="left"/>
      <w:pPr>
        <w:ind w:left="5715" w:hanging="360"/>
      </w:pPr>
      <w:rPr>
        <w:rFonts w:ascii="Symbol" w:hAnsi="Symbol" w:hint="default"/>
      </w:rPr>
    </w:lvl>
    <w:lvl w:ilvl="7" w:tplc="100A0003" w:tentative="1">
      <w:start w:val="1"/>
      <w:numFmt w:val="bullet"/>
      <w:lvlText w:val="o"/>
      <w:lvlJc w:val="left"/>
      <w:pPr>
        <w:ind w:left="6435" w:hanging="360"/>
      </w:pPr>
      <w:rPr>
        <w:rFonts w:ascii="Courier New" w:hAnsi="Courier New" w:cs="Courier New" w:hint="default"/>
      </w:rPr>
    </w:lvl>
    <w:lvl w:ilvl="8" w:tplc="100A0005" w:tentative="1">
      <w:start w:val="1"/>
      <w:numFmt w:val="bullet"/>
      <w:lvlText w:val=""/>
      <w:lvlJc w:val="left"/>
      <w:pPr>
        <w:ind w:left="7155" w:hanging="360"/>
      </w:pPr>
      <w:rPr>
        <w:rFonts w:ascii="Wingdings" w:hAnsi="Wingdings" w:hint="default"/>
      </w:rPr>
    </w:lvl>
  </w:abstractNum>
  <w:abstractNum w:abstractNumId="7">
    <w:nsid w:val="491279C1"/>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B5256E6"/>
    <w:multiLevelType w:val="hybridMultilevel"/>
    <w:tmpl w:val="B582D2AA"/>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9">
    <w:nsid w:val="4D67270B"/>
    <w:multiLevelType w:val="hybridMultilevel"/>
    <w:tmpl w:val="A79EF2D8"/>
    <w:lvl w:ilvl="0" w:tplc="AE5232D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55D77041"/>
    <w:multiLevelType w:val="hybridMultilevel"/>
    <w:tmpl w:val="9C085CF6"/>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5E164F8D"/>
    <w:multiLevelType w:val="hybridMultilevel"/>
    <w:tmpl w:val="2C2E6BCC"/>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60027785"/>
    <w:multiLevelType w:val="hybridMultilevel"/>
    <w:tmpl w:val="E194832E"/>
    <w:lvl w:ilvl="0" w:tplc="100A0001">
      <w:start w:val="274"/>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6077077D"/>
    <w:multiLevelType w:val="hybridMultilevel"/>
    <w:tmpl w:val="EC5ABA86"/>
    <w:lvl w:ilvl="0" w:tplc="3F2A815A">
      <w:start w:val="1"/>
      <w:numFmt w:val="upperLetter"/>
      <w:lvlText w:val="%1."/>
      <w:lvlJc w:val="left"/>
      <w:pPr>
        <w:ind w:left="936" w:hanging="360"/>
      </w:pPr>
      <w:rPr>
        <w:rFonts w:hint="default"/>
      </w:rPr>
    </w:lvl>
    <w:lvl w:ilvl="1" w:tplc="100A0019" w:tentative="1">
      <w:start w:val="1"/>
      <w:numFmt w:val="lowerLetter"/>
      <w:lvlText w:val="%2."/>
      <w:lvlJc w:val="left"/>
      <w:pPr>
        <w:ind w:left="1656" w:hanging="360"/>
      </w:pPr>
    </w:lvl>
    <w:lvl w:ilvl="2" w:tplc="100A001B" w:tentative="1">
      <w:start w:val="1"/>
      <w:numFmt w:val="lowerRoman"/>
      <w:lvlText w:val="%3."/>
      <w:lvlJc w:val="right"/>
      <w:pPr>
        <w:ind w:left="2376" w:hanging="180"/>
      </w:pPr>
    </w:lvl>
    <w:lvl w:ilvl="3" w:tplc="100A000F" w:tentative="1">
      <w:start w:val="1"/>
      <w:numFmt w:val="decimal"/>
      <w:lvlText w:val="%4."/>
      <w:lvlJc w:val="left"/>
      <w:pPr>
        <w:ind w:left="3096" w:hanging="360"/>
      </w:pPr>
    </w:lvl>
    <w:lvl w:ilvl="4" w:tplc="100A0019" w:tentative="1">
      <w:start w:val="1"/>
      <w:numFmt w:val="lowerLetter"/>
      <w:lvlText w:val="%5."/>
      <w:lvlJc w:val="left"/>
      <w:pPr>
        <w:ind w:left="3816" w:hanging="360"/>
      </w:pPr>
    </w:lvl>
    <w:lvl w:ilvl="5" w:tplc="100A001B" w:tentative="1">
      <w:start w:val="1"/>
      <w:numFmt w:val="lowerRoman"/>
      <w:lvlText w:val="%6."/>
      <w:lvlJc w:val="right"/>
      <w:pPr>
        <w:ind w:left="4536" w:hanging="180"/>
      </w:pPr>
    </w:lvl>
    <w:lvl w:ilvl="6" w:tplc="100A000F" w:tentative="1">
      <w:start w:val="1"/>
      <w:numFmt w:val="decimal"/>
      <w:lvlText w:val="%7."/>
      <w:lvlJc w:val="left"/>
      <w:pPr>
        <w:ind w:left="5256" w:hanging="360"/>
      </w:pPr>
    </w:lvl>
    <w:lvl w:ilvl="7" w:tplc="100A0019" w:tentative="1">
      <w:start w:val="1"/>
      <w:numFmt w:val="lowerLetter"/>
      <w:lvlText w:val="%8."/>
      <w:lvlJc w:val="left"/>
      <w:pPr>
        <w:ind w:left="5976" w:hanging="360"/>
      </w:pPr>
    </w:lvl>
    <w:lvl w:ilvl="8" w:tplc="100A001B" w:tentative="1">
      <w:start w:val="1"/>
      <w:numFmt w:val="lowerRoman"/>
      <w:lvlText w:val="%9."/>
      <w:lvlJc w:val="right"/>
      <w:pPr>
        <w:ind w:left="6696" w:hanging="180"/>
      </w:pPr>
    </w:lvl>
  </w:abstractNum>
  <w:abstractNum w:abstractNumId="14">
    <w:nsid w:val="63394AB9"/>
    <w:multiLevelType w:val="multilevel"/>
    <w:tmpl w:val="9A3093B6"/>
    <w:lvl w:ilvl="0">
      <w:start w:val="1"/>
      <w:numFmt w:val="upperRoman"/>
      <w:pStyle w:val="Ttulo1"/>
      <w:lvlText w:val="%1."/>
      <w:lvlJc w:val="left"/>
      <w:pPr>
        <w:tabs>
          <w:tab w:val="num" w:pos="142"/>
        </w:tabs>
        <w:ind w:left="574" w:hanging="432"/>
      </w:pPr>
      <w:rPr>
        <w:rFonts w:hint="default"/>
      </w:rPr>
    </w:lvl>
    <w:lvl w:ilvl="1">
      <w:start w:val="1"/>
      <w:numFmt w:val="upperLetter"/>
      <w:pStyle w:val="Ttulo2"/>
      <w:lvlText w:val="%2."/>
      <w:lvlJc w:val="left"/>
      <w:pPr>
        <w:tabs>
          <w:tab w:val="num" w:pos="0"/>
        </w:tabs>
        <w:ind w:left="576" w:hanging="576"/>
      </w:pPr>
      <w:rPr>
        <w:rFonts w:ascii="Times New Roman" w:hAnsi="Times New Roman" w:cs="Times New Roman" w:hint="default"/>
        <w:b/>
        <w:i w:val="0"/>
        <w:color w:val="auto"/>
      </w:rPr>
    </w:lvl>
    <w:lvl w:ilvl="2">
      <w:start w:val="1"/>
      <w:numFmt w:val="decimal"/>
      <w:pStyle w:val="Ttulo3"/>
      <w:lvlText w:val="%1.%2.%3"/>
      <w:lvlJc w:val="left"/>
      <w:pPr>
        <w:tabs>
          <w:tab w:val="num" w:pos="0"/>
        </w:tabs>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15">
    <w:nsid w:val="64677D39"/>
    <w:multiLevelType w:val="hybridMultilevel"/>
    <w:tmpl w:val="91A292A2"/>
    <w:lvl w:ilvl="0" w:tplc="734499C8">
      <w:start w:val="1"/>
      <w:numFmt w:val="upperRoman"/>
      <w:lvlText w:val="%1."/>
      <w:lvlJc w:val="left"/>
      <w:pPr>
        <w:ind w:left="765" w:hanging="72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665D41EC"/>
    <w:multiLevelType w:val="multilevel"/>
    <w:tmpl w:val="6EBCB514"/>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nsid w:val="66767B63"/>
    <w:multiLevelType w:val="hybridMultilevel"/>
    <w:tmpl w:val="1FCE6310"/>
    <w:lvl w:ilvl="0" w:tplc="CC6A7ACA">
      <w:start w:val="274"/>
      <w:numFmt w:val="bullet"/>
      <w:lvlText w:val=""/>
      <w:lvlJc w:val="left"/>
      <w:pPr>
        <w:ind w:left="1035" w:hanging="360"/>
      </w:pPr>
      <w:rPr>
        <w:rFonts w:ascii="Symbol" w:eastAsia="Times New Roman" w:hAnsi="Symbol" w:cs="Times New Roman" w:hint="default"/>
      </w:rPr>
    </w:lvl>
    <w:lvl w:ilvl="1" w:tplc="100A0003" w:tentative="1">
      <w:start w:val="1"/>
      <w:numFmt w:val="bullet"/>
      <w:lvlText w:val="o"/>
      <w:lvlJc w:val="left"/>
      <w:pPr>
        <w:ind w:left="1755" w:hanging="360"/>
      </w:pPr>
      <w:rPr>
        <w:rFonts w:ascii="Courier New" w:hAnsi="Courier New" w:cs="Courier New" w:hint="default"/>
      </w:rPr>
    </w:lvl>
    <w:lvl w:ilvl="2" w:tplc="100A0005" w:tentative="1">
      <w:start w:val="1"/>
      <w:numFmt w:val="bullet"/>
      <w:lvlText w:val=""/>
      <w:lvlJc w:val="left"/>
      <w:pPr>
        <w:ind w:left="2475" w:hanging="360"/>
      </w:pPr>
      <w:rPr>
        <w:rFonts w:ascii="Wingdings" w:hAnsi="Wingdings" w:hint="default"/>
      </w:rPr>
    </w:lvl>
    <w:lvl w:ilvl="3" w:tplc="100A0001" w:tentative="1">
      <w:start w:val="1"/>
      <w:numFmt w:val="bullet"/>
      <w:lvlText w:val=""/>
      <w:lvlJc w:val="left"/>
      <w:pPr>
        <w:ind w:left="3195" w:hanging="360"/>
      </w:pPr>
      <w:rPr>
        <w:rFonts w:ascii="Symbol" w:hAnsi="Symbol" w:hint="default"/>
      </w:rPr>
    </w:lvl>
    <w:lvl w:ilvl="4" w:tplc="100A0003" w:tentative="1">
      <w:start w:val="1"/>
      <w:numFmt w:val="bullet"/>
      <w:lvlText w:val="o"/>
      <w:lvlJc w:val="left"/>
      <w:pPr>
        <w:ind w:left="3915" w:hanging="360"/>
      </w:pPr>
      <w:rPr>
        <w:rFonts w:ascii="Courier New" w:hAnsi="Courier New" w:cs="Courier New" w:hint="default"/>
      </w:rPr>
    </w:lvl>
    <w:lvl w:ilvl="5" w:tplc="100A0005" w:tentative="1">
      <w:start w:val="1"/>
      <w:numFmt w:val="bullet"/>
      <w:lvlText w:val=""/>
      <w:lvlJc w:val="left"/>
      <w:pPr>
        <w:ind w:left="4635" w:hanging="360"/>
      </w:pPr>
      <w:rPr>
        <w:rFonts w:ascii="Wingdings" w:hAnsi="Wingdings" w:hint="default"/>
      </w:rPr>
    </w:lvl>
    <w:lvl w:ilvl="6" w:tplc="100A0001" w:tentative="1">
      <w:start w:val="1"/>
      <w:numFmt w:val="bullet"/>
      <w:lvlText w:val=""/>
      <w:lvlJc w:val="left"/>
      <w:pPr>
        <w:ind w:left="5355" w:hanging="360"/>
      </w:pPr>
      <w:rPr>
        <w:rFonts w:ascii="Symbol" w:hAnsi="Symbol" w:hint="default"/>
      </w:rPr>
    </w:lvl>
    <w:lvl w:ilvl="7" w:tplc="100A0003" w:tentative="1">
      <w:start w:val="1"/>
      <w:numFmt w:val="bullet"/>
      <w:lvlText w:val="o"/>
      <w:lvlJc w:val="left"/>
      <w:pPr>
        <w:ind w:left="6075" w:hanging="360"/>
      </w:pPr>
      <w:rPr>
        <w:rFonts w:ascii="Courier New" w:hAnsi="Courier New" w:cs="Courier New" w:hint="default"/>
      </w:rPr>
    </w:lvl>
    <w:lvl w:ilvl="8" w:tplc="100A0005" w:tentative="1">
      <w:start w:val="1"/>
      <w:numFmt w:val="bullet"/>
      <w:lvlText w:val=""/>
      <w:lvlJc w:val="left"/>
      <w:pPr>
        <w:ind w:left="6795" w:hanging="360"/>
      </w:pPr>
      <w:rPr>
        <w:rFonts w:ascii="Wingdings" w:hAnsi="Wingdings" w:hint="default"/>
      </w:rPr>
    </w:lvl>
  </w:abstractNum>
  <w:abstractNum w:abstractNumId="18">
    <w:nsid w:val="66D831D0"/>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082C89"/>
    <w:multiLevelType w:val="multilevel"/>
    <w:tmpl w:val="6EEA763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D594AEC"/>
    <w:multiLevelType w:val="multilevel"/>
    <w:tmpl w:val="05EA2478"/>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nsid w:val="77F07475"/>
    <w:multiLevelType w:val="hybridMultilevel"/>
    <w:tmpl w:val="19DEB22C"/>
    <w:lvl w:ilvl="0" w:tplc="100A0013">
      <w:start w:val="1"/>
      <w:numFmt w:val="upperRoman"/>
      <w:lvlText w:val="%1."/>
      <w:lvlJc w:val="right"/>
      <w:pPr>
        <w:ind w:left="927"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4"/>
  </w:num>
  <w:num w:numId="2">
    <w:abstractNumId w:val="9"/>
  </w:num>
  <w:num w:numId="3">
    <w:abstractNumId w:val="11"/>
  </w:num>
  <w:num w:numId="4">
    <w:abstractNumId w:val="4"/>
  </w:num>
  <w:num w:numId="5">
    <w:abstractNumId w:val="19"/>
  </w:num>
  <w:num w:numId="6">
    <w:abstractNumId w:val="15"/>
  </w:num>
  <w:num w:numId="7">
    <w:abstractNumId w:val="3"/>
  </w:num>
  <w:num w:numId="8">
    <w:abstractNumId w:val="8"/>
  </w:num>
  <w:num w:numId="9">
    <w:abstractNumId w:val="7"/>
  </w:num>
  <w:num w:numId="10">
    <w:abstractNumId w:val="18"/>
  </w:num>
  <w:num w:numId="11">
    <w:abstractNumId w:val="5"/>
  </w:num>
  <w:num w:numId="12">
    <w:abstractNumId w:val="2"/>
  </w:num>
  <w:num w:numId="13">
    <w:abstractNumId w:val="21"/>
  </w:num>
  <w:num w:numId="14">
    <w:abstractNumId w:val="14"/>
  </w:num>
  <w:num w:numId="15">
    <w:abstractNumId w:val="14"/>
  </w:num>
  <w:num w:numId="16">
    <w:abstractNumId w:val="14"/>
  </w:num>
  <w:num w:numId="17">
    <w:abstractNumId w:val="14"/>
  </w:num>
  <w:num w:numId="18">
    <w:abstractNumId w:val="16"/>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20"/>
  </w:num>
  <w:num w:numId="26">
    <w:abstractNumId w:val="14"/>
  </w:num>
  <w:num w:numId="27">
    <w:abstractNumId w:val="14"/>
  </w:num>
  <w:num w:numId="28">
    <w:abstractNumId w:val="14"/>
  </w:num>
  <w:num w:numId="29">
    <w:abstractNumId w:val="1"/>
  </w:num>
  <w:num w:numId="30">
    <w:abstractNumId w:val="10"/>
  </w:num>
  <w:num w:numId="31">
    <w:abstractNumId w:val="14"/>
  </w:num>
  <w:num w:numId="32">
    <w:abstractNumId w:val="14"/>
  </w:num>
  <w:num w:numId="33">
    <w:abstractNumId w:val="14"/>
  </w:num>
  <w:num w:numId="34">
    <w:abstractNumId w:val="14"/>
  </w:num>
  <w:num w:numId="35">
    <w:abstractNumId w:val="13"/>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14"/>
  </w:num>
  <w:num w:numId="46">
    <w:abstractNumId w:val="17"/>
  </w:num>
  <w:num w:numId="47">
    <w:abstractNumId w:val="6"/>
  </w:num>
  <w:num w:numId="4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8F6"/>
    <w:rsid w:val="00000271"/>
    <w:rsid w:val="00001501"/>
    <w:rsid w:val="000017DD"/>
    <w:rsid w:val="00001941"/>
    <w:rsid w:val="00001CA7"/>
    <w:rsid w:val="00001D79"/>
    <w:rsid w:val="000026A6"/>
    <w:rsid w:val="00002C71"/>
    <w:rsid w:val="00002F20"/>
    <w:rsid w:val="00005564"/>
    <w:rsid w:val="00006C7E"/>
    <w:rsid w:val="00007971"/>
    <w:rsid w:val="00011436"/>
    <w:rsid w:val="00011C9C"/>
    <w:rsid w:val="000166C1"/>
    <w:rsid w:val="00017B3B"/>
    <w:rsid w:val="00021644"/>
    <w:rsid w:val="000221D5"/>
    <w:rsid w:val="000249ED"/>
    <w:rsid w:val="00025284"/>
    <w:rsid w:val="00025E2C"/>
    <w:rsid w:val="000270F6"/>
    <w:rsid w:val="000335A6"/>
    <w:rsid w:val="000339BE"/>
    <w:rsid w:val="0003552B"/>
    <w:rsid w:val="000355C0"/>
    <w:rsid w:val="00036623"/>
    <w:rsid w:val="0003764E"/>
    <w:rsid w:val="00041492"/>
    <w:rsid w:val="000417AF"/>
    <w:rsid w:val="00046E3F"/>
    <w:rsid w:val="00047128"/>
    <w:rsid w:val="00047418"/>
    <w:rsid w:val="00050464"/>
    <w:rsid w:val="00050D2F"/>
    <w:rsid w:val="000514DA"/>
    <w:rsid w:val="000520A7"/>
    <w:rsid w:val="00053106"/>
    <w:rsid w:val="0005403E"/>
    <w:rsid w:val="000541ED"/>
    <w:rsid w:val="0005699A"/>
    <w:rsid w:val="00057F62"/>
    <w:rsid w:val="000621A0"/>
    <w:rsid w:val="00062367"/>
    <w:rsid w:val="0006319B"/>
    <w:rsid w:val="00065E12"/>
    <w:rsid w:val="00067496"/>
    <w:rsid w:val="00067EA3"/>
    <w:rsid w:val="00071A03"/>
    <w:rsid w:val="00071D18"/>
    <w:rsid w:val="00073C9A"/>
    <w:rsid w:val="00073CB5"/>
    <w:rsid w:val="000753F2"/>
    <w:rsid w:val="000763E5"/>
    <w:rsid w:val="00076496"/>
    <w:rsid w:val="000775C1"/>
    <w:rsid w:val="00077FDD"/>
    <w:rsid w:val="00080461"/>
    <w:rsid w:val="00080D50"/>
    <w:rsid w:val="00084505"/>
    <w:rsid w:val="00085B6E"/>
    <w:rsid w:val="00085EBA"/>
    <w:rsid w:val="0008753F"/>
    <w:rsid w:val="00087544"/>
    <w:rsid w:val="00087634"/>
    <w:rsid w:val="00093969"/>
    <w:rsid w:val="00093ABA"/>
    <w:rsid w:val="00095237"/>
    <w:rsid w:val="00095E08"/>
    <w:rsid w:val="000967ED"/>
    <w:rsid w:val="00096966"/>
    <w:rsid w:val="000975B9"/>
    <w:rsid w:val="000A0AA2"/>
    <w:rsid w:val="000A2F7E"/>
    <w:rsid w:val="000A36B5"/>
    <w:rsid w:val="000A3EE5"/>
    <w:rsid w:val="000A54A7"/>
    <w:rsid w:val="000A698B"/>
    <w:rsid w:val="000B006C"/>
    <w:rsid w:val="000B0E01"/>
    <w:rsid w:val="000B3701"/>
    <w:rsid w:val="000B4F22"/>
    <w:rsid w:val="000B60B9"/>
    <w:rsid w:val="000B6691"/>
    <w:rsid w:val="000B7AA2"/>
    <w:rsid w:val="000C0344"/>
    <w:rsid w:val="000C1014"/>
    <w:rsid w:val="000C1A25"/>
    <w:rsid w:val="000C1A68"/>
    <w:rsid w:val="000C1D4D"/>
    <w:rsid w:val="000C279B"/>
    <w:rsid w:val="000C29D6"/>
    <w:rsid w:val="000C2A92"/>
    <w:rsid w:val="000C37EA"/>
    <w:rsid w:val="000C3FEC"/>
    <w:rsid w:val="000C40AC"/>
    <w:rsid w:val="000C4AD7"/>
    <w:rsid w:val="000C4D67"/>
    <w:rsid w:val="000C53BE"/>
    <w:rsid w:val="000C6E8D"/>
    <w:rsid w:val="000C75FE"/>
    <w:rsid w:val="000D0A1C"/>
    <w:rsid w:val="000D10F4"/>
    <w:rsid w:val="000D2458"/>
    <w:rsid w:val="000D3BEF"/>
    <w:rsid w:val="000D4A27"/>
    <w:rsid w:val="000D55A3"/>
    <w:rsid w:val="000D5D6E"/>
    <w:rsid w:val="000D66BE"/>
    <w:rsid w:val="000D6F31"/>
    <w:rsid w:val="000D7E66"/>
    <w:rsid w:val="000E0470"/>
    <w:rsid w:val="000E1F0E"/>
    <w:rsid w:val="000E2190"/>
    <w:rsid w:val="000E340D"/>
    <w:rsid w:val="000E34DD"/>
    <w:rsid w:val="000E3F15"/>
    <w:rsid w:val="000E43D0"/>
    <w:rsid w:val="000E448D"/>
    <w:rsid w:val="000E4B70"/>
    <w:rsid w:val="000E4F2D"/>
    <w:rsid w:val="000E6666"/>
    <w:rsid w:val="000E695D"/>
    <w:rsid w:val="000E7D80"/>
    <w:rsid w:val="000F0CC7"/>
    <w:rsid w:val="000F1729"/>
    <w:rsid w:val="000F274D"/>
    <w:rsid w:val="000F304B"/>
    <w:rsid w:val="000F31D3"/>
    <w:rsid w:val="000F476E"/>
    <w:rsid w:val="000F61DA"/>
    <w:rsid w:val="000F6870"/>
    <w:rsid w:val="000F7C84"/>
    <w:rsid w:val="00100FA2"/>
    <w:rsid w:val="00102469"/>
    <w:rsid w:val="001038B1"/>
    <w:rsid w:val="00105181"/>
    <w:rsid w:val="00105EE8"/>
    <w:rsid w:val="00106CF0"/>
    <w:rsid w:val="0011418E"/>
    <w:rsid w:val="001156FE"/>
    <w:rsid w:val="0011619F"/>
    <w:rsid w:val="0011651D"/>
    <w:rsid w:val="00116FE3"/>
    <w:rsid w:val="00117227"/>
    <w:rsid w:val="00117403"/>
    <w:rsid w:val="00123324"/>
    <w:rsid w:val="0012373F"/>
    <w:rsid w:val="00124E70"/>
    <w:rsid w:val="00125647"/>
    <w:rsid w:val="001261B0"/>
    <w:rsid w:val="00126FA0"/>
    <w:rsid w:val="00126FB8"/>
    <w:rsid w:val="00130D51"/>
    <w:rsid w:val="00131277"/>
    <w:rsid w:val="00131323"/>
    <w:rsid w:val="00131BC0"/>
    <w:rsid w:val="00133286"/>
    <w:rsid w:val="001335CF"/>
    <w:rsid w:val="001339AA"/>
    <w:rsid w:val="00135CD5"/>
    <w:rsid w:val="00136F4B"/>
    <w:rsid w:val="00137200"/>
    <w:rsid w:val="0014061E"/>
    <w:rsid w:val="00142A1E"/>
    <w:rsid w:val="001432F1"/>
    <w:rsid w:val="0014364E"/>
    <w:rsid w:val="0014365E"/>
    <w:rsid w:val="00147391"/>
    <w:rsid w:val="001473BD"/>
    <w:rsid w:val="00150099"/>
    <w:rsid w:val="001511EB"/>
    <w:rsid w:val="00152A09"/>
    <w:rsid w:val="00153337"/>
    <w:rsid w:val="00153867"/>
    <w:rsid w:val="00153C4F"/>
    <w:rsid w:val="00160059"/>
    <w:rsid w:val="001601B9"/>
    <w:rsid w:val="00160835"/>
    <w:rsid w:val="00160A89"/>
    <w:rsid w:val="001611FC"/>
    <w:rsid w:val="00163055"/>
    <w:rsid w:val="00163A5E"/>
    <w:rsid w:val="00164C3E"/>
    <w:rsid w:val="0016516D"/>
    <w:rsid w:val="001674D6"/>
    <w:rsid w:val="00167975"/>
    <w:rsid w:val="00170963"/>
    <w:rsid w:val="00170E9E"/>
    <w:rsid w:val="00171991"/>
    <w:rsid w:val="00171BA9"/>
    <w:rsid w:val="001721E2"/>
    <w:rsid w:val="00172283"/>
    <w:rsid w:val="00173EAE"/>
    <w:rsid w:val="001749CE"/>
    <w:rsid w:val="0017533C"/>
    <w:rsid w:val="0017542C"/>
    <w:rsid w:val="001756B5"/>
    <w:rsid w:val="00175C23"/>
    <w:rsid w:val="0018006E"/>
    <w:rsid w:val="00180854"/>
    <w:rsid w:val="00180A0E"/>
    <w:rsid w:val="001829A5"/>
    <w:rsid w:val="00182E50"/>
    <w:rsid w:val="001843DB"/>
    <w:rsid w:val="001879A9"/>
    <w:rsid w:val="00187E1E"/>
    <w:rsid w:val="0019039C"/>
    <w:rsid w:val="00191216"/>
    <w:rsid w:val="0019180E"/>
    <w:rsid w:val="00191AE8"/>
    <w:rsid w:val="0019245D"/>
    <w:rsid w:val="001924AD"/>
    <w:rsid w:val="00194D4C"/>
    <w:rsid w:val="00195D8B"/>
    <w:rsid w:val="001966ED"/>
    <w:rsid w:val="001A137C"/>
    <w:rsid w:val="001A2E58"/>
    <w:rsid w:val="001A50D4"/>
    <w:rsid w:val="001A5C6B"/>
    <w:rsid w:val="001A613A"/>
    <w:rsid w:val="001B07B2"/>
    <w:rsid w:val="001B2234"/>
    <w:rsid w:val="001B39E9"/>
    <w:rsid w:val="001B3ED0"/>
    <w:rsid w:val="001B4259"/>
    <w:rsid w:val="001B4C14"/>
    <w:rsid w:val="001B4D3D"/>
    <w:rsid w:val="001B5A69"/>
    <w:rsid w:val="001B656E"/>
    <w:rsid w:val="001B69BD"/>
    <w:rsid w:val="001B713E"/>
    <w:rsid w:val="001B7DD0"/>
    <w:rsid w:val="001C02EF"/>
    <w:rsid w:val="001C1168"/>
    <w:rsid w:val="001C2713"/>
    <w:rsid w:val="001C2DAF"/>
    <w:rsid w:val="001C4C02"/>
    <w:rsid w:val="001C5216"/>
    <w:rsid w:val="001C6241"/>
    <w:rsid w:val="001C78D8"/>
    <w:rsid w:val="001C7CA7"/>
    <w:rsid w:val="001C7CDF"/>
    <w:rsid w:val="001D0B47"/>
    <w:rsid w:val="001D0B5B"/>
    <w:rsid w:val="001D2E72"/>
    <w:rsid w:val="001D4677"/>
    <w:rsid w:val="001D5D2B"/>
    <w:rsid w:val="001D7DFC"/>
    <w:rsid w:val="001E02BB"/>
    <w:rsid w:val="001E1597"/>
    <w:rsid w:val="001E1E63"/>
    <w:rsid w:val="001E28A0"/>
    <w:rsid w:val="001E2EE5"/>
    <w:rsid w:val="001E2F96"/>
    <w:rsid w:val="001E3DB7"/>
    <w:rsid w:val="001E579E"/>
    <w:rsid w:val="001E6DEE"/>
    <w:rsid w:val="001F0BC8"/>
    <w:rsid w:val="001F107D"/>
    <w:rsid w:val="001F13DC"/>
    <w:rsid w:val="001F22BB"/>
    <w:rsid w:val="001F2900"/>
    <w:rsid w:val="001F2A2B"/>
    <w:rsid w:val="001F5849"/>
    <w:rsid w:val="001F58C5"/>
    <w:rsid w:val="001F5C25"/>
    <w:rsid w:val="001F73C3"/>
    <w:rsid w:val="001F74FB"/>
    <w:rsid w:val="002041A8"/>
    <w:rsid w:val="00204263"/>
    <w:rsid w:val="00204CE1"/>
    <w:rsid w:val="00205BBD"/>
    <w:rsid w:val="00206BE7"/>
    <w:rsid w:val="002139A8"/>
    <w:rsid w:val="00215592"/>
    <w:rsid w:val="002155B8"/>
    <w:rsid w:val="0021669B"/>
    <w:rsid w:val="00216E8D"/>
    <w:rsid w:val="00216EFF"/>
    <w:rsid w:val="002213F6"/>
    <w:rsid w:val="002215DA"/>
    <w:rsid w:val="00221D8E"/>
    <w:rsid w:val="00222913"/>
    <w:rsid w:val="002239F6"/>
    <w:rsid w:val="00226155"/>
    <w:rsid w:val="0022647B"/>
    <w:rsid w:val="00226658"/>
    <w:rsid w:val="00226FB9"/>
    <w:rsid w:val="00227905"/>
    <w:rsid w:val="0023230B"/>
    <w:rsid w:val="00235E44"/>
    <w:rsid w:val="002403F9"/>
    <w:rsid w:val="00240A8C"/>
    <w:rsid w:val="00240C29"/>
    <w:rsid w:val="002414D8"/>
    <w:rsid w:val="00241ECD"/>
    <w:rsid w:val="00242C14"/>
    <w:rsid w:val="00242EE2"/>
    <w:rsid w:val="00243EA4"/>
    <w:rsid w:val="00244244"/>
    <w:rsid w:val="0024636C"/>
    <w:rsid w:val="00246614"/>
    <w:rsid w:val="00246B8D"/>
    <w:rsid w:val="00250267"/>
    <w:rsid w:val="00250BE9"/>
    <w:rsid w:val="0025124D"/>
    <w:rsid w:val="00251639"/>
    <w:rsid w:val="0025165B"/>
    <w:rsid w:val="00251E1C"/>
    <w:rsid w:val="00253236"/>
    <w:rsid w:val="00254602"/>
    <w:rsid w:val="00255AF8"/>
    <w:rsid w:val="00256FA8"/>
    <w:rsid w:val="00257A94"/>
    <w:rsid w:val="00260546"/>
    <w:rsid w:val="00263435"/>
    <w:rsid w:val="00263C1E"/>
    <w:rsid w:val="00264910"/>
    <w:rsid w:val="00265DA8"/>
    <w:rsid w:val="00267872"/>
    <w:rsid w:val="0027470A"/>
    <w:rsid w:val="00274AF0"/>
    <w:rsid w:val="00274F39"/>
    <w:rsid w:val="00275623"/>
    <w:rsid w:val="00276DE0"/>
    <w:rsid w:val="00281FCD"/>
    <w:rsid w:val="00284A00"/>
    <w:rsid w:val="0028530C"/>
    <w:rsid w:val="002861B8"/>
    <w:rsid w:val="00286A67"/>
    <w:rsid w:val="00287473"/>
    <w:rsid w:val="00287F49"/>
    <w:rsid w:val="002906B2"/>
    <w:rsid w:val="00292D4F"/>
    <w:rsid w:val="00292F2F"/>
    <w:rsid w:val="0029379A"/>
    <w:rsid w:val="00293C23"/>
    <w:rsid w:val="00294F1B"/>
    <w:rsid w:val="00295F6D"/>
    <w:rsid w:val="0029692B"/>
    <w:rsid w:val="00296BB6"/>
    <w:rsid w:val="00297931"/>
    <w:rsid w:val="002A0B27"/>
    <w:rsid w:val="002A46ED"/>
    <w:rsid w:val="002A57FD"/>
    <w:rsid w:val="002A5E8F"/>
    <w:rsid w:val="002A6F3B"/>
    <w:rsid w:val="002B1785"/>
    <w:rsid w:val="002B2A41"/>
    <w:rsid w:val="002B303B"/>
    <w:rsid w:val="002B44C0"/>
    <w:rsid w:val="002B46C1"/>
    <w:rsid w:val="002B5EF3"/>
    <w:rsid w:val="002B62DF"/>
    <w:rsid w:val="002B7181"/>
    <w:rsid w:val="002B7618"/>
    <w:rsid w:val="002C169B"/>
    <w:rsid w:val="002C3219"/>
    <w:rsid w:val="002C3AB7"/>
    <w:rsid w:val="002C3D99"/>
    <w:rsid w:val="002C49BF"/>
    <w:rsid w:val="002C5E93"/>
    <w:rsid w:val="002C6B76"/>
    <w:rsid w:val="002C7DD6"/>
    <w:rsid w:val="002D2C3A"/>
    <w:rsid w:val="002D76B6"/>
    <w:rsid w:val="002D786C"/>
    <w:rsid w:val="002E073E"/>
    <w:rsid w:val="002E0D7D"/>
    <w:rsid w:val="002E1458"/>
    <w:rsid w:val="002E21A2"/>
    <w:rsid w:val="002E265C"/>
    <w:rsid w:val="002E2D91"/>
    <w:rsid w:val="002E31F9"/>
    <w:rsid w:val="002E3253"/>
    <w:rsid w:val="002E5B6B"/>
    <w:rsid w:val="002F3446"/>
    <w:rsid w:val="002F3B68"/>
    <w:rsid w:val="002F4543"/>
    <w:rsid w:val="002F5528"/>
    <w:rsid w:val="002F747D"/>
    <w:rsid w:val="003007C7"/>
    <w:rsid w:val="00300FD8"/>
    <w:rsid w:val="00302458"/>
    <w:rsid w:val="003024D7"/>
    <w:rsid w:val="003031DB"/>
    <w:rsid w:val="00303437"/>
    <w:rsid w:val="003075D1"/>
    <w:rsid w:val="00307AFF"/>
    <w:rsid w:val="00310AC7"/>
    <w:rsid w:val="003115D1"/>
    <w:rsid w:val="003115F3"/>
    <w:rsid w:val="003132DD"/>
    <w:rsid w:val="00315303"/>
    <w:rsid w:val="00315A90"/>
    <w:rsid w:val="003162F2"/>
    <w:rsid w:val="003163CB"/>
    <w:rsid w:val="00316541"/>
    <w:rsid w:val="003211CD"/>
    <w:rsid w:val="00321356"/>
    <w:rsid w:val="00321F48"/>
    <w:rsid w:val="00322B9E"/>
    <w:rsid w:val="00324198"/>
    <w:rsid w:val="00324A91"/>
    <w:rsid w:val="00324F07"/>
    <w:rsid w:val="003274F7"/>
    <w:rsid w:val="0033026A"/>
    <w:rsid w:val="00330A02"/>
    <w:rsid w:val="00332708"/>
    <w:rsid w:val="003335DD"/>
    <w:rsid w:val="00333AB5"/>
    <w:rsid w:val="003365B1"/>
    <w:rsid w:val="00337FB4"/>
    <w:rsid w:val="00341E49"/>
    <w:rsid w:val="0034304B"/>
    <w:rsid w:val="00343CFB"/>
    <w:rsid w:val="00343FF3"/>
    <w:rsid w:val="00347C7E"/>
    <w:rsid w:val="00347FB7"/>
    <w:rsid w:val="00350285"/>
    <w:rsid w:val="00350C28"/>
    <w:rsid w:val="00351989"/>
    <w:rsid w:val="00351F24"/>
    <w:rsid w:val="00352B41"/>
    <w:rsid w:val="00352DE7"/>
    <w:rsid w:val="00352FA1"/>
    <w:rsid w:val="0035381E"/>
    <w:rsid w:val="00355326"/>
    <w:rsid w:val="00355A7A"/>
    <w:rsid w:val="00355C28"/>
    <w:rsid w:val="003563D1"/>
    <w:rsid w:val="00356BF7"/>
    <w:rsid w:val="00356E86"/>
    <w:rsid w:val="00356F12"/>
    <w:rsid w:val="0035762A"/>
    <w:rsid w:val="00360013"/>
    <w:rsid w:val="00361AE8"/>
    <w:rsid w:val="003637E9"/>
    <w:rsid w:val="00363B6B"/>
    <w:rsid w:val="00363F31"/>
    <w:rsid w:val="00364A3A"/>
    <w:rsid w:val="00364B64"/>
    <w:rsid w:val="003662BA"/>
    <w:rsid w:val="0036693C"/>
    <w:rsid w:val="003679D2"/>
    <w:rsid w:val="0037364C"/>
    <w:rsid w:val="00375355"/>
    <w:rsid w:val="00375966"/>
    <w:rsid w:val="00375F88"/>
    <w:rsid w:val="003764D0"/>
    <w:rsid w:val="00377DD9"/>
    <w:rsid w:val="0038239E"/>
    <w:rsid w:val="00382593"/>
    <w:rsid w:val="0038332D"/>
    <w:rsid w:val="00383710"/>
    <w:rsid w:val="00383CA7"/>
    <w:rsid w:val="00384199"/>
    <w:rsid w:val="00387912"/>
    <w:rsid w:val="00387CCA"/>
    <w:rsid w:val="00390CD1"/>
    <w:rsid w:val="00391CED"/>
    <w:rsid w:val="003937AC"/>
    <w:rsid w:val="00395AB6"/>
    <w:rsid w:val="00395D72"/>
    <w:rsid w:val="003972BF"/>
    <w:rsid w:val="00397336"/>
    <w:rsid w:val="003A0258"/>
    <w:rsid w:val="003A0FF5"/>
    <w:rsid w:val="003A3DE7"/>
    <w:rsid w:val="003A5ECB"/>
    <w:rsid w:val="003A7822"/>
    <w:rsid w:val="003B0D27"/>
    <w:rsid w:val="003B0F2C"/>
    <w:rsid w:val="003B1ED3"/>
    <w:rsid w:val="003B2455"/>
    <w:rsid w:val="003B2C58"/>
    <w:rsid w:val="003B2D1B"/>
    <w:rsid w:val="003B2ED8"/>
    <w:rsid w:val="003B3299"/>
    <w:rsid w:val="003B647D"/>
    <w:rsid w:val="003B686B"/>
    <w:rsid w:val="003C033C"/>
    <w:rsid w:val="003C0489"/>
    <w:rsid w:val="003C0613"/>
    <w:rsid w:val="003C0AC8"/>
    <w:rsid w:val="003C1260"/>
    <w:rsid w:val="003C1FEE"/>
    <w:rsid w:val="003C37FA"/>
    <w:rsid w:val="003C4357"/>
    <w:rsid w:val="003C7D41"/>
    <w:rsid w:val="003D0EE1"/>
    <w:rsid w:val="003D2115"/>
    <w:rsid w:val="003D3E10"/>
    <w:rsid w:val="003E1D05"/>
    <w:rsid w:val="003E29A3"/>
    <w:rsid w:val="003E35B2"/>
    <w:rsid w:val="003E3EB2"/>
    <w:rsid w:val="003E5764"/>
    <w:rsid w:val="003E5A4E"/>
    <w:rsid w:val="003E6882"/>
    <w:rsid w:val="003F3041"/>
    <w:rsid w:val="003F4BAA"/>
    <w:rsid w:val="003F4D2D"/>
    <w:rsid w:val="003F4E01"/>
    <w:rsid w:val="003F6097"/>
    <w:rsid w:val="003F75FE"/>
    <w:rsid w:val="00401389"/>
    <w:rsid w:val="004015E2"/>
    <w:rsid w:val="00404906"/>
    <w:rsid w:val="00404E7B"/>
    <w:rsid w:val="00406C70"/>
    <w:rsid w:val="00410274"/>
    <w:rsid w:val="0041158A"/>
    <w:rsid w:val="004142C9"/>
    <w:rsid w:val="00415127"/>
    <w:rsid w:val="004152EF"/>
    <w:rsid w:val="00416E34"/>
    <w:rsid w:val="00416F2B"/>
    <w:rsid w:val="00417E4F"/>
    <w:rsid w:val="00422D9F"/>
    <w:rsid w:val="0042309B"/>
    <w:rsid w:val="0042346E"/>
    <w:rsid w:val="004251D6"/>
    <w:rsid w:val="004277FE"/>
    <w:rsid w:val="004304DD"/>
    <w:rsid w:val="00430CB0"/>
    <w:rsid w:val="004312A9"/>
    <w:rsid w:val="004337DE"/>
    <w:rsid w:val="00433ED8"/>
    <w:rsid w:val="004346F1"/>
    <w:rsid w:val="00434D1D"/>
    <w:rsid w:val="004359F2"/>
    <w:rsid w:val="00435DAF"/>
    <w:rsid w:val="004375AB"/>
    <w:rsid w:val="00441836"/>
    <w:rsid w:val="00441F4D"/>
    <w:rsid w:val="00442314"/>
    <w:rsid w:val="0044314A"/>
    <w:rsid w:val="00444FB7"/>
    <w:rsid w:val="004451F6"/>
    <w:rsid w:val="00445350"/>
    <w:rsid w:val="0044702D"/>
    <w:rsid w:val="004502D3"/>
    <w:rsid w:val="00450B86"/>
    <w:rsid w:val="00452325"/>
    <w:rsid w:val="00452D65"/>
    <w:rsid w:val="0045333F"/>
    <w:rsid w:val="00454B60"/>
    <w:rsid w:val="00455AA7"/>
    <w:rsid w:val="00457A70"/>
    <w:rsid w:val="00457F1E"/>
    <w:rsid w:val="004604F4"/>
    <w:rsid w:val="00460764"/>
    <w:rsid w:val="00460A54"/>
    <w:rsid w:val="00460B46"/>
    <w:rsid w:val="004617E0"/>
    <w:rsid w:val="00461936"/>
    <w:rsid w:val="0046447D"/>
    <w:rsid w:val="004648D4"/>
    <w:rsid w:val="004663C0"/>
    <w:rsid w:val="00467ED3"/>
    <w:rsid w:val="0047114B"/>
    <w:rsid w:val="00471408"/>
    <w:rsid w:val="004720E6"/>
    <w:rsid w:val="0047254C"/>
    <w:rsid w:val="00472614"/>
    <w:rsid w:val="00472764"/>
    <w:rsid w:val="004734DA"/>
    <w:rsid w:val="004739DD"/>
    <w:rsid w:val="004740AE"/>
    <w:rsid w:val="00476016"/>
    <w:rsid w:val="00476BC7"/>
    <w:rsid w:val="00477F6F"/>
    <w:rsid w:val="004809DC"/>
    <w:rsid w:val="00481687"/>
    <w:rsid w:val="00482A22"/>
    <w:rsid w:val="00482D7C"/>
    <w:rsid w:val="00483CD5"/>
    <w:rsid w:val="00484063"/>
    <w:rsid w:val="0048768D"/>
    <w:rsid w:val="00487A81"/>
    <w:rsid w:val="004907E9"/>
    <w:rsid w:val="00490B49"/>
    <w:rsid w:val="0049117B"/>
    <w:rsid w:val="00491795"/>
    <w:rsid w:val="00491C02"/>
    <w:rsid w:val="0049333C"/>
    <w:rsid w:val="00494EE3"/>
    <w:rsid w:val="00497B1C"/>
    <w:rsid w:val="00497B54"/>
    <w:rsid w:val="00497C90"/>
    <w:rsid w:val="004A0174"/>
    <w:rsid w:val="004A04A0"/>
    <w:rsid w:val="004A082F"/>
    <w:rsid w:val="004A0C3C"/>
    <w:rsid w:val="004A13A7"/>
    <w:rsid w:val="004A16D8"/>
    <w:rsid w:val="004A1D0F"/>
    <w:rsid w:val="004A215E"/>
    <w:rsid w:val="004A2E81"/>
    <w:rsid w:val="004A2F11"/>
    <w:rsid w:val="004A47A6"/>
    <w:rsid w:val="004A4980"/>
    <w:rsid w:val="004A679F"/>
    <w:rsid w:val="004B04CC"/>
    <w:rsid w:val="004B1436"/>
    <w:rsid w:val="004B1701"/>
    <w:rsid w:val="004B1F3E"/>
    <w:rsid w:val="004B2554"/>
    <w:rsid w:val="004B2575"/>
    <w:rsid w:val="004B5DF5"/>
    <w:rsid w:val="004B7C4C"/>
    <w:rsid w:val="004C2E12"/>
    <w:rsid w:val="004C33CC"/>
    <w:rsid w:val="004C3DB9"/>
    <w:rsid w:val="004C59DC"/>
    <w:rsid w:val="004C5F5E"/>
    <w:rsid w:val="004C787C"/>
    <w:rsid w:val="004D036B"/>
    <w:rsid w:val="004D049B"/>
    <w:rsid w:val="004D1735"/>
    <w:rsid w:val="004D2D7F"/>
    <w:rsid w:val="004D3EA5"/>
    <w:rsid w:val="004D4920"/>
    <w:rsid w:val="004D5C4A"/>
    <w:rsid w:val="004D6968"/>
    <w:rsid w:val="004E03B3"/>
    <w:rsid w:val="004E346A"/>
    <w:rsid w:val="004E7459"/>
    <w:rsid w:val="004F1701"/>
    <w:rsid w:val="004F4633"/>
    <w:rsid w:val="004F48BD"/>
    <w:rsid w:val="004F52F4"/>
    <w:rsid w:val="004F6DB3"/>
    <w:rsid w:val="00500188"/>
    <w:rsid w:val="005022C9"/>
    <w:rsid w:val="00502E9E"/>
    <w:rsid w:val="00506925"/>
    <w:rsid w:val="00510F8D"/>
    <w:rsid w:val="0051210E"/>
    <w:rsid w:val="00514715"/>
    <w:rsid w:val="00514939"/>
    <w:rsid w:val="00517564"/>
    <w:rsid w:val="005200C4"/>
    <w:rsid w:val="0052219B"/>
    <w:rsid w:val="00522477"/>
    <w:rsid w:val="00522B3D"/>
    <w:rsid w:val="00523005"/>
    <w:rsid w:val="0052348A"/>
    <w:rsid w:val="00523935"/>
    <w:rsid w:val="0052400C"/>
    <w:rsid w:val="0052500A"/>
    <w:rsid w:val="005260F4"/>
    <w:rsid w:val="00526D7F"/>
    <w:rsid w:val="0052784F"/>
    <w:rsid w:val="005314D1"/>
    <w:rsid w:val="005321A7"/>
    <w:rsid w:val="0053246B"/>
    <w:rsid w:val="00532F99"/>
    <w:rsid w:val="005332EC"/>
    <w:rsid w:val="005339DB"/>
    <w:rsid w:val="00533FD2"/>
    <w:rsid w:val="00534BF6"/>
    <w:rsid w:val="00534E33"/>
    <w:rsid w:val="00535533"/>
    <w:rsid w:val="00536CE7"/>
    <w:rsid w:val="00536D9D"/>
    <w:rsid w:val="0053757E"/>
    <w:rsid w:val="005476F5"/>
    <w:rsid w:val="00547D32"/>
    <w:rsid w:val="00547DC9"/>
    <w:rsid w:val="0055487A"/>
    <w:rsid w:val="00555054"/>
    <w:rsid w:val="00555922"/>
    <w:rsid w:val="00557714"/>
    <w:rsid w:val="005601C9"/>
    <w:rsid w:val="00560D51"/>
    <w:rsid w:val="005623C0"/>
    <w:rsid w:val="00563088"/>
    <w:rsid w:val="005644BD"/>
    <w:rsid w:val="00565001"/>
    <w:rsid w:val="00565679"/>
    <w:rsid w:val="00565E58"/>
    <w:rsid w:val="00567AE9"/>
    <w:rsid w:val="00570B1A"/>
    <w:rsid w:val="00571731"/>
    <w:rsid w:val="00571C86"/>
    <w:rsid w:val="00576583"/>
    <w:rsid w:val="00577829"/>
    <w:rsid w:val="0058066B"/>
    <w:rsid w:val="00582B25"/>
    <w:rsid w:val="00583EC1"/>
    <w:rsid w:val="00583FE6"/>
    <w:rsid w:val="00586960"/>
    <w:rsid w:val="00587B4F"/>
    <w:rsid w:val="0059003B"/>
    <w:rsid w:val="0059533F"/>
    <w:rsid w:val="0059599D"/>
    <w:rsid w:val="00597B0E"/>
    <w:rsid w:val="005A01B6"/>
    <w:rsid w:val="005A0331"/>
    <w:rsid w:val="005A05F3"/>
    <w:rsid w:val="005A09EA"/>
    <w:rsid w:val="005A3542"/>
    <w:rsid w:val="005A370A"/>
    <w:rsid w:val="005A5F6A"/>
    <w:rsid w:val="005A6292"/>
    <w:rsid w:val="005A6477"/>
    <w:rsid w:val="005A7CEF"/>
    <w:rsid w:val="005A7D7C"/>
    <w:rsid w:val="005A7F15"/>
    <w:rsid w:val="005B1AE1"/>
    <w:rsid w:val="005B26F4"/>
    <w:rsid w:val="005B4026"/>
    <w:rsid w:val="005B50BA"/>
    <w:rsid w:val="005B541E"/>
    <w:rsid w:val="005B5FBA"/>
    <w:rsid w:val="005C09BF"/>
    <w:rsid w:val="005C0B4E"/>
    <w:rsid w:val="005C0E74"/>
    <w:rsid w:val="005C0EE0"/>
    <w:rsid w:val="005C351E"/>
    <w:rsid w:val="005C3EEB"/>
    <w:rsid w:val="005D06A8"/>
    <w:rsid w:val="005D13D3"/>
    <w:rsid w:val="005D39D6"/>
    <w:rsid w:val="005D45F9"/>
    <w:rsid w:val="005D469E"/>
    <w:rsid w:val="005D4DF3"/>
    <w:rsid w:val="005D5407"/>
    <w:rsid w:val="005D5780"/>
    <w:rsid w:val="005D5912"/>
    <w:rsid w:val="005D5E94"/>
    <w:rsid w:val="005D60B5"/>
    <w:rsid w:val="005D688B"/>
    <w:rsid w:val="005D6E54"/>
    <w:rsid w:val="005D73C4"/>
    <w:rsid w:val="005E01F1"/>
    <w:rsid w:val="005E1875"/>
    <w:rsid w:val="005E2B4B"/>
    <w:rsid w:val="005E3C5A"/>
    <w:rsid w:val="005E3EA6"/>
    <w:rsid w:val="005E443A"/>
    <w:rsid w:val="005E4E2A"/>
    <w:rsid w:val="005E5539"/>
    <w:rsid w:val="005E5B9E"/>
    <w:rsid w:val="005E6DF8"/>
    <w:rsid w:val="005E739F"/>
    <w:rsid w:val="005F10FC"/>
    <w:rsid w:val="005F13A0"/>
    <w:rsid w:val="005F1E18"/>
    <w:rsid w:val="005F2010"/>
    <w:rsid w:val="005F28C9"/>
    <w:rsid w:val="005F327E"/>
    <w:rsid w:val="005F3662"/>
    <w:rsid w:val="005F62EB"/>
    <w:rsid w:val="00603433"/>
    <w:rsid w:val="00605361"/>
    <w:rsid w:val="006053BC"/>
    <w:rsid w:val="006071AB"/>
    <w:rsid w:val="00610352"/>
    <w:rsid w:val="00610BEC"/>
    <w:rsid w:val="00612210"/>
    <w:rsid w:val="0061313E"/>
    <w:rsid w:val="006132CB"/>
    <w:rsid w:val="00614215"/>
    <w:rsid w:val="00614E1F"/>
    <w:rsid w:val="00615712"/>
    <w:rsid w:val="0061587B"/>
    <w:rsid w:val="0061590C"/>
    <w:rsid w:val="00617AC2"/>
    <w:rsid w:val="00620E58"/>
    <w:rsid w:val="00621EAC"/>
    <w:rsid w:val="00623B41"/>
    <w:rsid w:val="00624BD5"/>
    <w:rsid w:val="00624DB0"/>
    <w:rsid w:val="00625BE6"/>
    <w:rsid w:val="00627464"/>
    <w:rsid w:val="00627F81"/>
    <w:rsid w:val="00630029"/>
    <w:rsid w:val="00630446"/>
    <w:rsid w:val="006314D6"/>
    <w:rsid w:val="0063194D"/>
    <w:rsid w:val="00631AAA"/>
    <w:rsid w:val="006349DA"/>
    <w:rsid w:val="006358A6"/>
    <w:rsid w:val="00637588"/>
    <w:rsid w:val="00641AE2"/>
    <w:rsid w:val="00641EB4"/>
    <w:rsid w:val="006424E6"/>
    <w:rsid w:val="00642A60"/>
    <w:rsid w:val="00643DBD"/>
    <w:rsid w:val="00652306"/>
    <w:rsid w:val="00652A97"/>
    <w:rsid w:val="006530E7"/>
    <w:rsid w:val="00653C85"/>
    <w:rsid w:val="006540E0"/>
    <w:rsid w:val="006544BD"/>
    <w:rsid w:val="0065480D"/>
    <w:rsid w:val="00655806"/>
    <w:rsid w:val="0066074B"/>
    <w:rsid w:val="00661DD1"/>
    <w:rsid w:val="00661FB2"/>
    <w:rsid w:val="00662800"/>
    <w:rsid w:val="006636C1"/>
    <w:rsid w:val="006675C4"/>
    <w:rsid w:val="00667698"/>
    <w:rsid w:val="0067083C"/>
    <w:rsid w:val="006718F8"/>
    <w:rsid w:val="00672AAE"/>
    <w:rsid w:val="00672D68"/>
    <w:rsid w:val="00673DBE"/>
    <w:rsid w:val="00674CAE"/>
    <w:rsid w:val="006758F2"/>
    <w:rsid w:val="006759BB"/>
    <w:rsid w:val="006774A6"/>
    <w:rsid w:val="00677BBD"/>
    <w:rsid w:val="00677DE5"/>
    <w:rsid w:val="00680151"/>
    <w:rsid w:val="00680949"/>
    <w:rsid w:val="00680A2F"/>
    <w:rsid w:val="00680C5C"/>
    <w:rsid w:val="00680F6E"/>
    <w:rsid w:val="006837A4"/>
    <w:rsid w:val="006919BD"/>
    <w:rsid w:val="00692059"/>
    <w:rsid w:val="00692914"/>
    <w:rsid w:val="00694683"/>
    <w:rsid w:val="006946C3"/>
    <w:rsid w:val="00695001"/>
    <w:rsid w:val="0069616A"/>
    <w:rsid w:val="006A013F"/>
    <w:rsid w:val="006A119C"/>
    <w:rsid w:val="006A1AD7"/>
    <w:rsid w:val="006A1D24"/>
    <w:rsid w:val="006A2799"/>
    <w:rsid w:val="006A3A7C"/>
    <w:rsid w:val="006A45F3"/>
    <w:rsid w:val="006A4C2A"/>
    <w:rsid w:val="006A518B"/>
    <w:rsid w:val="006A7F59"/>
    <w:rsid w:val="006B1557"/>
    <w:rsid w:val="006B1D06"/>
    <w:rsid w:val="006B4271"/>
    <w:rsid w:val="006B46E3"/>
    <w:rsid w:val="006B6329"/>
    <w:rsid w:val="006B72C8"/>
    <w:rsid w:val="006B7981"/>
    <w:rsid w:val="006B7D52"/>
    <w:rsid w:val="006C07DB"/>
    <w:rsid w:val="006C0E09"/>
    <w:rsid w:val="006C138E"/>
    <w:rsid w:val="006C1510"/>
    <w:rsid w:val="006C4EC2"/>
    <w:rsid w:val="006C5635"/>
    <w:rsid w:val="006C5677"/>
    <w:rsid w:val="006C5C76"/>
    <w:rsid w:val="006C70CB"/>
    <w:rsid w:val="006C78B0"/>
    <w:rsid w:val="006C7AF9"/>
    <w:rsid w:val="006D0879"/>
    <w:rsid w:val="006D0B41"/>
    <w:rsid w:val="006D17DE"/>
    <w:rsid w:val="006D1AB1"/>
    <w:rsid w:val="006D1C25"/>
    <w:rsid w:val="006D2A33"/>
    <w:rsid w:val="006D2D15"/>
    <w:rsid w:val="006D343C"/>
    <w:rsid w:val="006D45A2"/>
    <w:rsid w:val="006D4681"/>
    <w:rsid w:val="006D54AB"/>
    <w:rsid w:val="006D5787"/>
    <w:rsid w:val="006D7949"/>
    <w:rsid w:val="006E0BB8"/>
    <w:rsid w:val="006E0E06"/>
    <w:rsid w:val="006E18DB"/>
    <w:rsid w:val="006E2A25"/>
    <w:rsid w:val="006E2ECF"/>
    <w:rsid w:val="006E3EBC"/>
    <w:rsid w:val="006E5394"/>
    <w:rsid w:val="006E7B50"/>
    <w:rsid w:val="006F0E44"/>
    <w:rsid w:val="006F0E4E"/>
    <w:rsid w:val="006F1C7E"/>
    <w:rsid w:val="006F2F23"/>
    <w:rsid w:val="006F2F40"/>
    <w:rsid w:val="006F3F51"/>
    <w:rsid w:val="006F4D73"/>
    <w:rsid w:val="006F6E6E"/>
    <w:rsid w:val="00700218"/>
    <w:rsid w:val="0070148A"/>
    <w:rsid w:val="0070257D"/>
    <w:rsid w:val="00704846"/>
    <w:rsid w:val="00704EFF"/>
    <w:rsid w:val="007060F1"/>
    <w:rsid w:val="007067C0"/>
    <w:rsid w:val="007101C4"/>
    <w:rsid w:val="00711173"/>
    <w:rsid w:val="00711B1A"/>
    <w:rsid w:val="00712997"/>
    <w:rsid w:val="0071442C"/>
    <w:rsid w:val="00715A35"/>
    <w:rsid w:val="00716926"/>
    <w:rsid w:val="0071706B"/>
    <w:rsid w:val="007178B3"/>
    <w:rsid w:val="00721F8E"/>
    <w:rsid w:val="00722020"/>
    <w:rsid w:val="00722120"/>
    <w:rsid w:val="0072600C"/>
    <w:rsid w:val="00726316"/>
    <w:rsid w:val="007272B7"/>
    <w:rsid w:val="00727C35"/>
    <w:rsid w:val="00730DF7"/>
    <w:rsid w:val="007359B3"/>
    <w:rsid w:val="007365EB"/>
    <w:rsid w:val="00736D5F"/>
    <w:rsid w:val="00741373"/>
    <w:rsid w:val="007430BE"/>
    <w:rsid w:val="007438B5"/>
    <w:rsid w:val="00743E34"/>
    <w:rsid w:val="00744246"/>
    <w:rsid w:val="0074571E"/>
    <w:rsid w:val="00750655"/>
    <w:rsid w:val="00750D48"/>
    <w:rsid w:val="0075371D"/>
    <w:rsid w:val="00754018"/>
    <w:rsid w:val="00754928"/>
    <w:rsid w:val="00756B96"/>
    <w:rsid w:val="00756E06"/>
    <w:rsid w:val="0076211D"/>
    <w:rsid w:val="00762149"/>
    <w:rsid w:val="0076425B"/>
    <w:rsid w:val="007652B1"/>
    <w:rsid w:val="00765C17"/>
    <w:rsid w:val="007669EB"/>
    <w:rsid w:val="00770D1D"/>
    <w:rsid w:val="00771A67"/>
    <w:rsid w:val="00772452"/>
    <w:rsid w:val="00772667"/>
    <w:rsid w:val="00772BCE"/>
    <w:rsid w:val="00772C18"/>
    <w:rsid w:val="00773774"/>
    <w:rsid w:val="00773FBA"/>
    <w:rsid w:val="00774B0C"/>
    <w:rsid w:val="007756D9"/>
    <w:rsid w:val="0077729F"/>
    <w:rsid w:val="00777EC0"/>
    <w:rsid w:val="00781BD7"/>
    <w:rsid w:val="00781CD5"/>
    <w:rsid w:val="0078204F"/>
    <w:rsid w:val="00784896"/>
    <w:rsid w:val="00785338"/>
    <w:rsid w:val="007878B4"/>
    <w:rsid w:val="00787BA4"/>
    <w:rsid w:val="00791646"/>
    <w:rsid w:val="007924CE"/>
    <w:rsid w:val="00792B47"/>
    <w:rsid w:val="00794082"/>
    <w:rsid w:val="007946C6"/>
    <w:rsid w:val="00794A59"/>
    <w:rsid w:val="00796204"/>
    <w:rsid w:val="00796B20"/>
    <w:rsid w:val="00797573"/>
    <w:rsid w:val="007A0F3F"/>
    <w:rsid w:val="007A10AE"/>
    <w:rsid w:val="007A1BB1"/>
    <w:rsid w:val="007A265A"/>
    <w:rsid w:val="007A66B1"/>
    <w:rsid w:val="007A6CD2"/>
    <w:rsid w:val="007A70E2"/>
    <w:rsid w:val="007B0875"/>
    <w:rsid w:val="007B105F"/>
    <w:rsid w:val="007B1559"/>
    <w:rsid w:val="007B2680"/>
    <w:rsid w:val="007B327B"/>
    <w:rsid w:val="007B4C10"/>
    <w:rsid w:val="007B7AC2"/>
    <w:rsid w:val="007B7FD9"/>
    <w:rsid w:val="007C0505"/>
    <w:rsid w:val="007C07BC"/>
    <w:rsid w:val="007C26CD"/>
    <w:rsid w:val="007C30F0"/>
    <w:rsid w:val="007C3928"/>
    <w:rsid w:val="007C54A2"/>
    <w:rsid w:val="007C5736"/>
    <w:rsid w:val="007C705E"/>
    <w:rsid w:val="007C7DEE"/>
    <w:rsid w:val="007D05AE"/>
    <w:rsid w:val="007D0A42"/>
    <w:rsid w:val="007D29D1"/>
    <w:rsid w:val="007D343A"/>
    <w:rsid w:val="007D3D70"/>
    <w:rsid w:val="007D4518"/>
    <w:rsid w:val="007D6051"/>
    <w:rsid w:val="007D7130"/>
    <w:rsid w:val="007D7778"/>
    <w:rsid w:val="007D7C0A"/>
    <w:rsid w:val="007E0493"/>
    <w:rsid w:val="007E0FD4"/>
    <w:rsid w:val="007E1193"/>
    <w:rsid w:val="007E2526"/>
    <w:rsid w:val="007E5EF9"/>
    <w:rsid w:val="007E6562"/>
    <w:rsid w:val="007E6801"/>
    <w:rsid w:val="007E7F52"/>
    <w:rsid w:val="007F0244"/>
    <w:rsid w:val="007F1344"/>
    <w:rsid w:val="007F3F4E"/>
    <w:rsid w:val="007F5E8C"/>
    <w:rsid w:val="007F6188"/>
    <w:rsid w:val="007F62FE"/>
    <w:rsid w:val="007F6C67"/>
    <w:rsid w:val="007F77D8"/>
    <w:rsid w:val="00801582"/>
    <w:rsid w:val="00802A89"/>
    <w:rsid w:val="008039A6"/>
    <w:rsid w:val="00805322"/>
    <w:rsid w:val="00805ECC"/>
    <w:rsid w:val="008063C7"/>
    <w:rsid w:val="008064EB"/>
    <w:rsid w:val="00806DD8"/>
    <w:rsid w:val="008078F8"/>
    <w:rsid w:val="0081070D"/>
    <w:rsid w:val="008108FB"/>
    <w:rsid w:val="00811E87"/>
    <w:rsid w:val="0081212B"/>
    <w:rsid w:val="00813A60"/>
    <w:rsid w:val="008152B1"/>
    <w:rsid w:val="00817631"/>
    <w:rsid w:val="00817D71"/>
    <w:rsid w:val="008201B9"/>
    <w:rsid w:val="008213FF"/>
    <w:rsid w:val="0082249D"/>
    <w:rsid w:val="008241B3"/>
    <w:rsid w:val="0082462B"/>
    <w:rsid w:val="0082479D"/>
    <w:rsid w:val="0082510F"/>
    <w:rsid w:val="00825766"/>
    <w:rsid w:val="008279FE"/>
    <w:rsid w:val="0083018E"/>
    <w:rsid w:val="00830795"/>
    <w:rsid w:val="00835314"/>
    <w:rsid w:val="00835A38"/>
    <w:rsid w:val="00835DB0"/>
    <w:rsid w:val="00836931"/>
    <w:rsid w:val="00841144"/>
    <w:rsid w:val="00841BE2"/>
    <w:rsid w:val="00842016"/>
    <w:rsid w:val="008438D3"/>
    <w:rsid w:val="00844079"/>
    <w:rsid w:val="00844467"/>
    <w:rsid w:val="00846034"/>
    <w:rsid w:val="00847201"/>
    <w:rsid w:val="008477AB"/>
    <w:rsid w:val="00847EF2"/>
    <w:rsid w:val="00850A28"/>
    <w:rsid w:val="008517A4"/>
    <w:rsid w:val="00851FB9"/>
    <w:rsid w:val="0085243E"/>
    <w:rsid w:val="00852D19"/>
    <w:rsid w:val="00853134"/>
    <w:rsid w:val="008537D0"/>
    <w:rsid w:val="0085525B"/>
    <w:rsid w:val="008565D0"/>
    <w:rsid w:val="0085675F"/>
    <w:rsid w:val="00857076"/>
    <w:rsid w:val="00857F2A"/>
    <w:rsid w:val="0086163E"/>
    <w:rsid w:val="00864D25"/>
    <w:rsid w:val="008672D0"/>
    <w:rsid w:val="00871F30"/>
    <w:rsid w:val="00872165"/>
    <w:rsid w:val="0087390E"/>
    <w:rsid w:val="0087532F"/>
    <w:rsid w:val="008764D5"/>
    <w:rsid w:val="00877757"/>
    <w:rsid w:val="00881465"/>
    <w:rsid w:val="008818FB"/>
    <w:rsid w:val="008819FE"/>
    <w:rsid w:val="00881B57"/>
    <w:rsid w:val="0088202A"/>
    <w:rsid w:val="0088390C"/>
    <w:rsid w:val="008839AF"/>
    <w:rsid w:val="00883F26"/>
    <w:rsid w:val="00884BE1"/>
    <w:rsid w:val="00884F98"/>
    <w:rsid w:val="0088577C"/>
    <w:rsid w:val="008858B7"/>
    <w:rsid w:val="00886701"/>
    <w:rsid w:val="008926E9"/>
    <w:rsid w:val="00892AE0"/>
    <w:rsid w:val="00893D0E"/>
    <w:rsid w:val="00893F58"/>
    <w:rsid w:val="008943EC"/>
    <w:rsid w:val="008948B0"/>
    <w:rsid w:val="00895451"/>
    <w:rsid w:val="0089563E"/>
    <w:rsid w:val="008A0E22"/>
    <w:rsid w:val="008A1BE3"/>
    <w:rsid w:val="008A3A16"/>
    <w:rsid w:val="008A65B9"/>
    <w:rsid w:val="008A6B22"/>
    <w:rsid w:val="008A6BC1"/>
    <w:rsid w:val="008B0397"/>
    <w:rsid w:val="008B0C2F"/>
    <w:rsid w:val="008B2C6D"/>
    <w:rsid w:val="008B5887"/>
    <w:rsid w:val="008B591D"/>
    <w:rsid w:val="008C13D3"/>
    <w:rsid w:val="008C3001"/>
    <w:rsid w:val="008C62B0"/>
    <w:rsid w:val="008C6480"/>
    <w:rsid w:val="008C69DA"/>
    <w:rsid w:val="008C7AC4"/>
    <w:rsid w:val="008D0017"/>
    <w:rsid w:val="008D0365"/>
    <w:rsid w:val="008D0D72"/>
    <w:rsid w:val="008D4D2C"/>
    <w:rsid w:val="008D5392"/>
    <w:rsid w:val="008D5FA4"/>
    <w:rsid w:val="008D6CEB"/>
    <w:rsid w:val="008E0A28"/>
    <w:rsid w:val="008E1BAF"/>
    <w:rsid w:val="008E2AE1"/>
    <w:rsid w:val="008E342B"/>
    <w:rsid w:val="008E34D2"/>
    <w:rsid w:val="008E3B15"/>
    <w:rsid w:val="008E3FA2"/>
    <w:rsid w:val="008E4A27"/>
    <w:rsid w:val="008E4AD8"/>
    <w:rsid w:val="008E4CE4"/>
    <w:rsid w:val="008E70F5"/>
    <w:rsid w:val="008E7684"/>
    <w:rsid w:val="008F08E2"/>
    <w:rsid w:val="008F132F"/>
    <w:rsid w:val="008F1837"/>
    <w:rsid w:val="008F32A9"/>
    <w:rsid w:val="008F465B"/>
    <w:rsid w:val="008F5B82"/>
    <w:rsid w:val="008F5FCE"/>
    <w:rsid w:val="008F6A71"/>
    <w:rsid w:val="008F6A74"/>
    <w:rsid w:val="008F7759"/>
    <w:rsid w:val="008F79FC"/>
    <w:rsid w:val="008F7C78"/>
    <w:rsid w:val="00901F22"/>
    <w:rsid w:val="0090230E"/>
    <w:rsid w:val="00902398"/>
    <w:rsid w:val="009026CF"/>
    <w:rsid w:val="00902D65"/>
    <w:rsid w:val="00902E8B"/>
    <w:rsid w:val="00905FA7"/>
    <w:rsid w:val="0090674B"/>
    <w:rsid w:val="00907816"/>
    <w:rsid w:val="00910D4D"/>
    <w:rsid w:val="009112B4"/>
    <w:rsid w:val="0091167B"/>
    <w:rsid w:val="009117D7"/>
    <w:rsid w:val="00911913"/>
    <w:rsid w:val="00911D6C"/>
    <w:rsid w:val="00911D79"/>
    <w:rsid w:val="00912DE0"/>
    <w:rsid w:val="00913349"/>
    <w:rsid w:val="009162A3"/>
    <w:rsid w:val="00916F68"/>
    <w:rsid w:val="0092064F"/>
    <w:rsid w:val="00920AFE"/>
    <w:rsid w:val="00922575"/>
    <w:rsid w:val="00924250"/>
    <w:rsid w:val="00924981"/>
    <w:rsid w:val="00925404"/>
    <w:rsid w:val="00926642"/>
    <w:rsid w:val="009276D1"/>
    <w:rsid w:val="00931E44"/>
    <w:rsid w:val="009329AD"/>
    <w:rsid w:val="009335BA"/>
    <w:rsid w:val="009340C5"/>
    <w:rsid w:val="009347E8"/>
    <w:rsid w:val="0093487B"/>
    <w:rsid w:val="00935169"/>
    <w:rsid w:val="00936464"/>
    <w:rsid w:val="009364D3"/>
    <w:rsid w:val="00936DB6"/>
    <w:rsid w:val="009370F6"/>
    <w:rsid w:val="009408C3"/>
    <w:rsid w:val="009411FF"/>
    <w:rsid w:val="00942106"/>
    <w:rsid w:val="0094631B"/>
    <w:rsid w:val="009465BE"/>
    <w:rsid w:val="009479BE"/>
    <w:rsid w:val="00955AE0"/>
    <w:rsid w:val="00955D98"/>
    <w:rsid w:val="00960FE5"/>
    <w:rsid w:val="00961245"/>
    <w:rsid w:val="00963F63"/>
    <w:rsid w:val="009643A9"/>
    <w:rsid w:val="00964C17"/>
    <w:rsid w:val="00966986"/>
    <w:rsid w:val="00966DD5"/>
    <w:rsid w:val="009673BD"/>
    <w:rsid w:val="00967920"/>
    <w:rsid w:val="0097080E"/>
    <w:rsid w:val="0097399F"/>
    <w:rsid w:val="00974A44"/>
    <w:rsid w:val="0097505C"/>
    <w:rsid w:val="00976CAC"/>
    <w:rsid w:val="009811B5"/>
    <w:rsid w:val="00984025"/>
    <w:rsid w:val="00984A53"/>
    <w:rsid w:val="00984F5F"/>
    <w:rsid w:val="00991F66"/>
    <w:rsid w:val="00993E91"/>
    <w:rsid w:val="009943B2"/>
    <w:rsid w:val="00995E79"/>
    <w:rsid w:val="009A0C68"/>
    <w:rsid w:val="009A1186"/>
    <w:rsid w:val="009A20B8"/>
    <w:rsid w:val="009A2422"/>
    <w:rsid w:val="009A2E49"/>
    <w:rsid w:val="009A303E"/>
    <w:rsid w:val="009A4903"/>
    <w:rsid w:val="009A4D94"/>
    <w:rsid w:val="009B0C70"/>
    <w:rsid w:val="009B198F"/>
    <w:rsid w:val="009B1B2D"/>
    <w:rsid w:val="009B1CF6"/>
    <w:rsid w:val="009B23AE"/>
    <w:rsid w:val="009B323D"/>
    <w:rsid w:val="009B69AA"/>
    <w:rsid w:val="009C0920"/>
    <w:rsid w:val="009C1A55"/>
    <w:rsid w:val="009C1F9A"/>
    <w:rsid w:val="009C2D46"/>
    <w:rsid w:val="009C33DF"/>
    <w:rsid w:val="009C4BAC"/>
    <w:rsid w:val="009C6A73"/>
    <w:rsid w:val="009C767C"/>
    <w:rsid w:val="009C7B52"/>
    <w:rsid w:val="009C7CBA"/>
    <w:rsid w:val="009C7CEA"/>
    <w:rsid w:val="009D1B6E"/>
    <w:rsid w:val="009D1B7F"/>
    <w:rsid w:val="009D2517"/>
    <w:rsid w:val="009D32C2"/>
    <w:rsid w:val="009D3C80"/>
    <w:rsid w:val="009D45C1"/>
    <w:rsid w:val="009D4625"/>
    <w:rsid w:val="009D4D2F"/>
    <w:rsid w:val="009D6259"/>
    <w:rsid w:val="009D7D1A"/>
    <w:rsid w:val="009D7DEE"/>
    <w:rsid w:val="009E05C3"/>
    <w:rsid w:val="009E05CC"/>
    <w:rsid w:val="009E08D9"/>
    <w:rsid w:val="009E1FDC"/>
    <w:rsid w:val="009E35DD"/>
    <w:rsid w:val="009E37DB"/>
    <w:rsid w:val="009E3FCA"/>
    <w:rsid w:val="009E5810"/>
    <w:rsid w:val="009E7527"/>
    <w:rsid w:val="009E7A0A"/>
    <w:rsid w:val="009F0557"/>
    <w:rsid w:val="009F07EF"/>
    <w:rsid w:val="009F1469"/>
    <w:rsid w:val="009F175D"/>
    <w:rsid w:val="009F2044"/>
    <w:rsid w:val="009F22F8"/>
    <w:rsid w:val="009F26A0"/>
    <w:rsid w:val="009F3162"/>
    <w:rsid w:val="009F45F3"/>
    <w:rsid w:val="009F465C"/>
    <w:rsid w:val="009F4D3A"/>
    <w:rsid w:val="009F5036"/>
    <w:rsid w:val="009F6567"/>
    <w:rsid w:val="009F7DEF"/>
    <w:rsid w:val="00A017C7"/>
    <w:rsid w:val="00A02716"/>
    <w:rsid w:val="00A030B6"/>
    <w:rsid w:val="00A030D2"/>
    <w:rsid w:val="00A0357E"/>
    <w:rsid w:val="00A0375A"/>
    <w:rsid w:val="00A0386D"/>
    <w:rsid w:val="00A04487"/>
    <w:rsid w:val="00A04565"/>
    <w:rsid w:val="00A06D5A"/>
    <w:rsid w:val="00A0720E"/>
    <w:rsid w:val="00A07512"/>
    <w:rsid w:val="00A07DE3"/>
    <w:rsid w:val="00A10761"/>
    <w:rsid w:val="00A11AE2"/>
    <w:rsid w:val="00A126BB"/>
    <w:rsid w:val="00A13519"/>
    <w:rsid w:val="00A13602"/>
    <w:rsid w:val="00A1570F"/>
    <w:rsid w:val="00A16360"/>
    <w:rsid w:val="00A20182"/>
    <w:rsid w:val="00A21BDB"/>
    <w:rsid w:val="00A2274E"/>
    <w:rsid w:val="00A243DE"/>
    <w:rsid w:val="00A25C3B"/>
    <w:rsid w:val="00A26C0A"/>
    <w:rsid w:val="00A3282E"/>
    <w:rsid w:val="00A33F37"/>
    <w:rsid w:val="00A3467F"/>
    <w:rsid w:val="00A34A28"/>
    <w:rsid w:val="00A36762"/>
    <w:rsid w:val="00A36BF3"/>
    <w:rsid w:val="00A41077"/>
    <w:rsid w:val="00A428B0"/>
    <w:rsid w:val="00A43495"/>
    <w:rsid w:val="00A435F6"/>
    <w:rsid w:val="00A462EC"/>
    <w:rsid w:val="00A46560"/>
    <w:rsid w:val="00A507B2"/>
    <w:rsid w:val="00A5164A"/>
    <w:rsid w:val="00A5208E"/>
    <w:rsid w:val="00A532B9"/>
    <w:rsid w:val="00A55394"/>
    <w:rsid w:val="00A55468"/>
    <w:rsid w:val="00A561E8"/>
    <w:rsid w:val="00A601D7"/>
    <w:rsid w:val="00A622BE"/>
    <w:rsid w:val="00A635C0"/>
    <w:rsid w:val="00A6415B"/>
    <w:rsid w:val="00A6428D"/>
    <w:rsid w:val="00A65142"/>
    <w:rsid w:val="00A65493"/>
    <w:rsid w:val="00A71C2A"/>
    <w:rsid w:val="00A71D85"/>
    <w:rsid w:val="00A732B4"/>
    <w:rsid w:val="00A73CE6"/>
    <w:rsid w:val="00A7422A"/>
    <w:rsid w:val="00A74391"/>
    <w:rsid w:val="00A74BA7"/>
    <w:rsid w:val="00A751BF"/>
    <w:rsid w:val="00A75333"/>
    <w:rsid w:val="00A812F2"/>
    <w:rsid w:val="00A81CC7"/>
    <w:rsid w:val="00A82F99"/>
    <w:rsid w:val="00A831CA"/>
    <w:rsid w:val="00A85E57"/>
    <w:rsid w:val="00A87063"/>
    <w:rsid w:val="00A870F6"/>
    <w:rsid w:val="00A91867"/>
    <w:rsid w:val="00A92500"/>
    <w:rsid w:val="00A927FE"/>
    <w:rsid w:val="00A937E5"/>
    <w:rsid w:val="00A9440E"/>
    <w:rsid w:val="00A94F1A"/>
    <w:rsid w:val="00A9518D"/>
    <w:rsid w:val="00A96B2A"/>
    <w:rsid w:val="00A97643"/>
    <w:rsid w:val="00AA04AD"/>
    <w:rsid w:val="00AA3B13"/>
    <w:rsid w:val="00AA3E34"/>
    <w:rsid w:val="00AA4F1F"/>
    <w:rsid w:val="00AA666D"/>
    <w:rsid w:val="00AA798B"/>
    <w:rsid w:val="00AB0496"/>
    <w:rsid w:val="00AB3D81"/>
    <w:rsid w:val="00AB47B1"/>
    <w:rsid w:val="00AB4C9C"/>
    <w:rsid w:val="00AB69C8"/>
    <w:rsid w:val="00AB79ED"/>
    <w:rsid w:val="00AC0A03"/>
    <w:rsid w:val="00AC10E8"/>
    <w:rsid w:val="00AC11A5"/>
    <w:rsid w:val="00AC1428"/>
    <w:rsid w:val="00AC17B7"/>
    <w:rsid w:val="00AC26E8"/>
    <w:rsid w:val="00AC33DC"/>
    <w:rsid w:val="00AC3CC7"/>
    <w:rsid w:val="00AC4875"/>
    <w:rsid w:val="00AC57FF"/>
    <w:rsid w:val="00AC786F"/>
    <w:rsid w:val="00AC7952"/>
    <w:rsid w:val="00AD0892"/>
    <w:rsid w:val="00AD154B"/>
    <w:rsid w:val="00AD1854"/>
    <w:rsid w:val="00AD28C9"/>
    <w:rsid w:val="00AD2FED"/>
    <w:rsid w:val="00AD3E0A"/>
    <w:rsid w:val="00AD4ECF"/>
    <w:rsid w:val="00AD6356"/>
    <w:rsid w:val="00AD655F"/>
    <w:rsid w:val="00AD6C9D"/>
    <w:rsid w:val="00AD6D6D"/>
    <w:rsid w:val="00AD7555"/>
    <w:rsid w:val="00AE17A4"/>
    <w:rsid w:val="00AE2B75"/>
    <w:rsid w:val="00AE3655"/>
    <w:rsid w:val="00AE3C88"/>
    <w:rsid w:val="00AE428D"/>
    <w:rsid w:val="00AE43F2"/>
    <w:rsid w:val="00AE4E5C"/>
    <w:rsid w:val="00AE5598"/>
    <w:rsid w:val="00AE6611"/>
    <w:rsid w:val="00AE6D04"/>
    <w:rsid w:val="00AE758A"/>
    <w:rsid w:val="00AF08CE"/>
    <w:rsid w:val="00AF0C0D"/>
    <w:rsid w:val="00AF2CF8"/>
    <w:rsid w:val="00AF399C"/>
    <w:rsid w:val="00AF5AE7"/>
    <w:rsid w:val="00AF7227"/>
    <w:rsid w:val="00AF7CCF"/>
    <w:rsid w:val="00B007EA"/>
    <w:rsid w:val="00B040C9"/>
    <w:rsid w:val="00B04226"/>
    <w:rsid w:val="00B04559"/>
    <w:rsid w:val="00B046F6"/>
    <w:rsid w:val="00B11569"/>
    <w:rsid w:val="00B11E50"/>
    <w:rsid w:val="00B13B5D"/>
    <w:rsid w:val="00B14218"/>
    <w:rsid w:val="00B1493D"/>
    <w:rsid w:val="00B153EA"/>
    <w:rsid w:val="00B15798"/>
    <w:rsid w:val="00B16696"/>
    <w:rsid w:val="00B16B08"/>
    <w:rsid w:val="00B17A29"/>
    <w:rsid w:val="00B20B66"/>
    <w:rsid w:val="00B20C2F"/>
    <w:rsid w:val="00B20F19"/>
    <w:rsid w:val="00B21069"/>
    <w:rsid w:val="00B21B47"/>
    <w:rsid w:val="00B21C65"/>
    <w:rsid w:val="00B22073"/>
    <w:rsid w:val="00B263D7"/>
    <w:rsid w:val="00B27054"/>
    <w:rsid w:val="00B274F3"/>
    <w:rsid w:val="00B27FB7"/>
    <w:rsid w:val="00B303EC"/>
    <w:rsid w:val="00B32545"/>
    <w:rsid w:val="00B3400A"/>
    <w:rsid w:val="00B34F9F"/>
    <w:rsid w:val="00B3539F"/>
    <w:rsid w:val="00B372A0"/>
    <w:rsid w:val="00B37EC2"/>
    <w:rsid w:val="00B40A6C"/>
    <w:rsid w:val="00B41235"/>
    <w:rsid w:val="00B413F2"/>
    <w:rsid w:val="00B41F6F"/>
    <w:rsid w:val="00B420D5"/>
    <w:rsid w:val="00B4322A"/>
    <w:rsid w:val="00B43576"/>
    <w:rsid w:val="00B45652"/>
    <w:rsid w:val="00B473DD"/>
    <w:rsid w:val="00B47FC3"/>
    <w:rsid w:val="00B5171F"/>
    <w:rsid w:val="00B51CE8"/>
    <w:rsid w:val="00B52919"/>
    <w:rsid w:val="00B53A75"/>
    <w:rsid w:val="00B55626"/>
    <w:rsid w:val="00B55C09"/>
    <w:rsid w:val="00B564D1"/>
    <w:rsid w:val="00B56BFA"/>
    <w:rsid w:val="00B5722B"/>
    <w:rsid w:val="00B572E0"/>
    <w:rsid w:val="00B60FA5"/>
    <w:rsid w:val="00B615CC"/>
    <w:rsid w:val="00B61C7B"/>
    <w:rsid w:val="00B61E21"/>
    <w:rsid w:val="00B64B08"/>
    <w:rsid w:val="00B656A6"/>
    <w:rsid w:val="00B6668D"/>
    <w:rsid w:val="00B72D83"/>
    <w:rsid w:val="00B730AC"/>
    <w:rsid w:val="00B730B7"/>
    <w:rsid w:val="00B7461D"/>
    <w:rsid w:val="00B74FBC"/>
    <w:rsid w:val="00B7519D"/>
    <w:rsid w:val="00B7552C"/>
    <w:rsid w:val="00B7603E"/>
    <w:rsid w:val="00B77826"/>
    <w:rsid w:val="00B80109"/>
    <w:rsid w:val="00B80C58"/>
    <w:rsid w:val="00B816DE"/>
    <w:rsid w:val="00B83659"/>
    <w:rsid w:val="00B85BD8"/>
    <w:rsid w:val="00B85E62"/>
    <w:rsid w:val="00B86391"/>
    <w:rsid w:val="00B90428"/>
    <w:rsid w:val="00B916D7"/>
    <w:rsid w:val="00B92195"/>
    <w:rsid w:val="00B93549"/>
    <w:rsid w:val="00B96C59"/>
    <w:rsid w:val="00B975FE"/>
    <w:rsid w:val="00B9793D"/>
    <w:rsid w:val="00B979C5"/>
    <w:rsid w:val="00B97B5A"/>
    <w:rsid w:val="00BA01AE"/>
    <w:rsid w:val="00BA0307"/>
    <w:rsid w:val="00BA1B91"/>
    <w:rsid w:val="00BA21C2"/>
    <w:rsid w:val="00BA3896"/>
    <w:rsid w:val="00BA4480"/>
    <w:rsid w:val="00BA4516"/>
    <w:rsid w:val="00BA61A3"/>
    <w:rsid w:val="00BA63BB"/>
    <w:rsid w:val="00BA6C8E"/>
    <w:rsid w:val="00BA6EEB"/>
    <w:rsid w:val="00BA7E4C"/>
    <w:rsid w:val="00BB075E"/>
    <w:rsid w:val="00BB08BA"/>
    <w:rsid w:val="00BB1D22"/>
    <w:rsid w:val="00BB28D7"/>
    <w:rsid w:val="00BB3C29"/>
    <w:rsid w:val="00BB5576"/>
    <w:rsid w:val="00BB5D66"/>
    <w:rsid w:val="00BB7AC3"/>
    <w:rsid w:val="00BC102C"/>
    <w:rsid w:val="00BC245A"/>
    <w:rsid w:val="00BC3433"/>
    <w:rsid w:val="00BC3ED9"/>
    <w:rsid w:val="00BC6FF6"/>
    <w:rsid w:val="00BD0DE3"/>
    <w:rsid w:val="00BD1962"/>
    <w:rsid w:val="00BD45F1"/>
    <w:rsid w:val="00BD488B"/>
    <w:rsid w:val="00BD6247"/>
    <w:rsid w:val="00BD7D33"/>
    <w:rsid w:val="00BE1F3E"/>
    <w:rsid w:val="00BE1FA9"/>
    <w:rsid w:val="00BE2BD6"/>
    <w:rsid w:val="00BE34C3"/>
    <w:rsid w:val="00BE3523"/>
    <w:rsid w:val="00BE35C7"/>
    <w:rsid w:val="00BE36AE"/>
    <w:rsid w:val="00BE3B73"/>
    <w:rsid w:val="00BE42D4"/>
    <w:rsid w:val="00BF2053"/>
    <w:rsid w:val="00BF2EA9"/>
    <w:rsid w:val="00BF318F"/>
    <w:rsid w:val="00BF3487"/>
    <w:rsid w:val="00BF38C9"/>
    <w:rsid w:val="00BF46F2"/>
    <w:rsid w:val="00BF4FFC"/>
    <w:rsid w:val="00BF615B"/>
    <w:rsid w:val="00BF7822"/>
    <w:rsid w:val="00BF7F9A"/>
    <w:rsid w:val="00C0115A"/>
    <w:rsid w:val="00C0178C"/>
    <w:rsid w:val="00C047E6"/>
    <w:rsid w:val="00C06424"/>
    <w:rsid w:val="00C07665"/>
    <w:rsid w:val="00C07D77"/>
    <w:rsid w:val="00C14B92"/>
    <w:rsid w:val="00C17BFB"/>
    <w:rsid w:val="00C23496"/>
    <w:rsid w:val="00C23BE4"/>
    <w:rsid w:val="00C25BC3"/>
    <w:rsid w:val="00C25C9A"/>
    <w:rsid w:val="00C2754F"/>
    <w:rsid w:val="00C33C42"/>
    <w:rsid w:val="00C34BC3"/>
    <w:rsid w:val="00C36EFA"/>
    <w:rsid w:val="00C37DAA"/>
    <w:rsid w:val="00C40175"/>
    <w:rsid w:val="00C4419B"/>
    <w:rsid w:val="00C447DF"/>
    <w:rsid w:val="00C44CE1"/>
    <w:rsid w:val="00C46EE7"/>
    <w:rsid w:val="00C479AB"/>
    <w:rsid w:val="00C51959"/>
    <w:rsid w:val="00C51DAD"/>
    <w:rsid w:val="00C531E6"/>
    <w:rsid w:val="00C540CE"/>
    <w:rsid w:val="00C569F2"/>
    <w:rsid w:val="00C572BE"/>
    <w:rsid w:val="00C627AC"/>
    <w:rsid w:val="00C628C5"/>
    <w:rsid w:val="00C63780"/>
    <w:rsid w:val="00C63AF7"/>
    <w:rsid w:val="00C63F9B"/>
    <w:rsid w:val="00C644AF"/>
    <w:rsid w:val="00C65038"/>
    <w:rsid w:val="00C65B8C"/>
    <w:rsid w:val="00C65F5E"/>
    <w:rsid w:val="00C67097"/>
    <w:rsid w:val="00C71F39"/>
    <w:rsid w:val="00C7413E"/>
    <w:rsid w:val="00C80D6A"/>
    <w:rsid w:val="00C81277"/>
    <w:rsid w:val="00C812A5"/>
    <w:rsid w:val="00C83023"/>
    <w:rsid w:val="00C8352D"/>
    <w:rsid w:val="00C8511F"/>
    <w:rsid w:val="00C85D93"/>
    <w:rsid w:val="00C86C2A"/>
    <w:rsid w:val="00C87438"/>
    <w:rsid w:val="00C87E7F"/>
    <w:rsid w:val="00C900FB"/>
    <w:rsid w:val="00C905CA"/>
    <w:rsid w:val="00C92FDB"/>
    <w:rsid w:val="00C934DB"/>
    <w:rsid w:val="00C93765"/>
    <w:rsid w:val="00C94F94"/>
    <w:rsid w:val="00C96124"/>
    <w:rsid w:val="00C961E3"/>
    <w:rsid w:val="00C96986"/>
    <w:rsid w:val="00CA01CC"/>
    <w:rsid w:val="00CA3320"/>
    <w:rsid w:val="00CA41A9"/>
    <w:rsid w:val="00CA4619"/>
    <w:rsid w:val="00CA4B29"/>
    <w:rsid w:val="00CA7F05"/>
    <w:rsid w:val="00CB07ED"/>
    <w:rsid w:val="00CB2D31"/>
    <w:rsid w:val="00CB3F8B"/>
    <w:rsid w:val="00CB4664"/>
    <w:rsid w:val="00CC0874"/>
    <w:rsid w:val="00CC1383"/>
    <w:rsid w:val="00CC3F3B"/>
    <w:rsid w:val="00CC795D"/>
    <w:rsid w:val="00CC7E2C"/>
    <w:rsid w:val="00CD0AF0"/>
    <w:rsid w:val="00CD2CCE"/>
    <w:rsid w:val="00CD4A7C"/>
    <w:rsid w:val="00CD4DC7"/>
    <w:rsid w:val="00CD64FC"/>
    <w:rsid w:val="00CD6A45"/>
    <w:rsid w:val="00CE043C"/>
    <w:rsid w:val="00CE1CA9"/>
    <w:rsid w:val="00CE34A9"/>
    <w:rsid w:val="00CE4B0B"/>
    <w:rsid w:val="00CE6835"/>
    <w:rsid w:val="00CE6FC0"/>
    <w:rsid w:val="00CF0E15"/>
    <w:rsid w:val="00CF15B3"/>
    <w:rsid w:val="00CF27BA"/>
    <w:rsid w:val="00CF2AE9"/>
    <w:rsid w:val="00CF5481"/>
    <w:rsid w:val="00CF56C5"/>
    <w:rsid w:val="00CF68E4"/>
    <w:rsid w:val="00D003E0"/>
    <w:rsid w:val="00D01527"/>
    <w:rsid w:val="00D01D24"/>
    <w:rsid w:val="00D02C9C"/>
    <w:rsid w:val="00D03152"/>
    <w:rsid w:val="00D0383D"/>
    <w:rsid w:val="00D04A0B"/>
    <w:rsid w:val="00D04D9F"/>
    <w:rsid w:val="00D065BE"/>
    <w:rsid w:val="00D07100"/>
    <w:rsid w:val="00D108C5"/>
    <w:rsid w:val="00D117E4"/>
    <w:rsid w:val="00D119EA"/>
    <w:rsid w:val="00D1288A"/>
    <w:rsid w:val="00D1409F"/>
    <w:rsid w:val="00D14202"/>
    <w:rsid w:val="00D15DB9"/>
    <w:rsid w:val="00D16189"/>
    <w:rsid w:val="00D16254"/>
    <w:rsid w:val="00D16F0D"/>
    <w:rsid w:val="00D179CD"/>
    <w:rsid w:val="00D17DE3"/>
    <w:rsid w:val="00D20002"/>
    <w:rsid w:val="00D20B04"/>
    <w:rsid w:val="00D2186B"/>
    <w:rsid w:val="00D2214B"/>
    <w:rsid w:val="00D22F5B"/>
    <w:rsid w:val="00D23B29"/>
    <w:rsid w:val="00D24050"/>
    <w:rsid w:val="00D248A7"/>
    <w:rsid w:val="00D2497B"/>
    <w:rsid w:val="00D260DC"/>
    <w:rsid w:val="00D26AA3"/>
    <w:rsid w:val="00D27931"/>
    <w:rsid w:val="00D301CE"/>
    <w:rsid w:val="00D3038B"/>
    <w:rsid w:val="00D32E4A"/>
    <w:rsid w:val="00D335DF"/>
    <w:rsid w:val="00D34C36"/>
    <w:rsid w:val="00D34E18"/>
    <w:rsid w:val="00D3511A"/>
    <w:rsid w:val="00D356C1"/>
    <w:rsid w:val="00D37C58"/>
    <w:rsid w:val="00D37EB6"/>
    <w:rsid w:val="00D4589F"/>
    <w:rsid w:val="00D479B8"/>
    <w:rsid w:val="00D47CD4"/>
    <w:rsid w:val="00D544D2"/>
    <w:rsid w:val="00D56CB5"/>
    <w:rsid w:val="00D60DED"/>
    <w:rsid w:val="00D61203"/>
    <w:rsid w:val="00D61558"/>
    <w:rsid w:val="00D6165A"/>
    <w:rsid w:val="00D62C89"/>
    <w:rsid w:val="00D64E6D"/>
    <w:rsid w:val="00D664C1"/>
    <w:rsid w:val="00D67C47"/>
    <w:rsid w:val="00D67F96"/>
    <w:rsid w:val="00D70B33"/>
    <w:rsid w:val="00D714CF"/>
    <w:rsid w:val="00D719BF"/>
    <w:rsid w:val="00D77387"/>
    <w:rsid w:val="00D8022F"/>
    <w:rsid w:val="00D82626"/>
    <w:rsid w:val="00D836C7"/>
    <w:rsid w:val="00D845D9"/>
    <w:rsid w:val="00D85A7B"/>
    <w:rsid w:val="00D91374"/>
    <w:rsid w:val="00D91CAC"/>
    <w:rsid w:val="00D91CF1"/>
    <w:rsid w:val="00D92836"/>
    <w:rsid w:val="00D9377E"/>
    <w:rsid w:val="00D94E99"/>
    <w:rsid w:val="00D953A9"/>
    <w:rsid w:val="00D95EC1"/>
    <w:rsid w:val="00D96286"/>
    <w:rsid w:val="00D97BDD"/>
    <w:rsid w:val="00D97DF9"/>
    <w:rsid w:val="00DA1634"/>
    <w:rsid w:val="00DA2935"/>
    <w:rsid w:val="00DA37F9"/>
    <w:rsid w:val="00DA5C95"/>
    <w:rsid w:val="00DA6BDB"/>
    <w:rsid w:val="00DA6F65"/>
    <w:rsid w:val="00DA7A65"/>
    <w:rsid w:val="00DB0F3D"/>
    <w:rsid w:val="00DB1CAE"/>
    <w:rsid w:val="00DB277A"/>
    <w:rsid w:val="00DB312A"/>
    <w:rsid w:val="00DB33B7"/>
    <w:rsid w:val="00DB349E"/>
    <w:rsid w:val="00DB3F8D"/>
    <w:rsid w:val="00DB4E2E"/>
    <w:rsid w:val="00DB69A8"/>
    <w:rsid w:val="00DB6D1E"/>
    <w:rsid w:val="00DB7BC1"/>
    <w:rsid w:val="00DC0C1E"/>
    <w:rsid w:val="00DC162E"/>
    <w:rsid w:val="00DC20C3"/>
    <w:rsid w:val="00DC28F6"/>
    <w:rsid w:val="00DC4C25"/>
    <w:rsid w:val="00DC59E0"/>
    <w:rsid w:val="00DC6EF8"/>
    <w:rsid w:val="00DC78A8"/>
    <w:rsid w:val="00DD040C"/>
    <w:rsid w:val="00DD0E07"/>
    <w:rsid w:val="00DD214C"/>
    <w:rsid w:val="00DD2E5D"/>
    <w:rsid w:val="00DD3DC9"/>
    <w:rsid w:val="00DD7253"/>
    <w:rsid w:val="00DE016D"/>
    <w:rsid w:val="00DE06BC"/>
    <w:rsid w:val="00DE3C13"/>
    <w:rsid w:val="00DE3C71"/>
    <w:rsid w:val="00DE6416"/>
    <w:rsid w:val="00DE6DF5"/>
    <w:rsid w:val="00DE6F50"/>
    <w:rsid w:val="00DE6FDE"/>
    <w:rsid w:val="00DE72AC"/>
    <w:rsid w:val="00DE7D98"/>
    <w:rsid w:val="00DF05AD"/>
    <w:rsid w:val="00DF3E49"/>
    <w:rsid w:val="00DF4C7B"/>
    <w:rsid w:val="00DF5EB4"/>
    <w:rsid w:val="00DF67D2"/>
    <w:rsid w:val="00DF70DD"/>
    <w:rsid w:val="00DF7350"/>
    <w:rsid w:val="00E021FF"/>
    <w:rsid w:val="00E039D3"/>
    <w:rsid w:val="00E04963"/>
    <w:rsid w:val="00E05D4B"/>
    <w:rsid w:val="00E05FD4"/>
    <w:rsid w:val="00E07254"/>
    <w:rsid w:val="00E14952"/>
    <w:rsid w:val="00E14C4D"/>
    <w:rsid w:val="00E14D69"/>
    <w:rsid w:val="00E15484"/>
    <w:rsid w:val="00E21254"/>
    <w:rsid w:val="00E21689"/>
    <w:rsid w:val="00E2245D"/>
    <w:rsid w:val="00E246F3"/>
    <w:rsid w:val="00E2479D"/>
    <w:rsid w:val="00E249B3"/>
    <w:rsid w:val="00E277A3"/>
    <w:rsid w:val="00E318FB"/>
    <w:rsid w:val="00E31FB5"/>
    <w:rsid w:val="00E32FF0"/>
    <w:rsid w:val="00E34A9A"/>
    <w:rsid w:val="00E37F35"/>
    <w:rsid w:val="00E4010D"/>
    <w:rsid w:val="00E405A9"/>
    <w:rsid w:val="00E412EF"/>
    <w:rsid w:val="00E425C1"/>
    <w:rsid w:val="00E42B6B"/>
    <w:rsid w:val="00E4580C"/>
    <w:rsid w:val="00E4682C"/>
    <w:rsid w:val="00E476D9"/>
    <w:rsid w:val="00E50A3F"/>
    <w:rsid w:val="00E51236"/>
    <w:rsid w:val="00E51F7D"/>
    <w:rsid w:val="00E546CB"/>
    <w:rsid w:val="00E55154"/>
    <w:rsid w:val="00E55710"/>
    <w:rsid w:val="00E56016"/>
    <w:rsid w:val="00E5644C"/>
    <w:rsid w:val="00E6017A"/>
    <w:rsid w:val="00E612FC"/>
    <w:rsid w:val="00E616E4"/>
    <w:rsid w:val="00E62AD5"/>
    <w:rsid w:val="00E63405"/>
    <w:rsid w:val="00E635A3"/>
    <w:rsid w:val="00E63DA1"/>
    <w:rsid w:val="00E6439B"/>
    <w:rsid w:val="00E6477E"/>
    <w:rsid w:val="00E71913"/>
    <w:rsid w:val="00E72B2E"/>
    <w:rsid w:val="00E72ED9"/>
    <w:rsid w:val="00E745D8"/>
    <w:rsid w:val="00E750FD"/>
    <w:rsid w:val="00E75D8C"/>
    <w:rsid w:val="00E76B7D"/>
    <w:rsid w:val="00E80071"/>
    <w:rsid w:val="00E80FFE"/>
    <w:rsid w:val="00E82193"/>
    <w:rsid w:val="00E82910"/>
    <w:rsid w:val="00E82BAD"/>
    <w:rsid w:val="00E8431A"/>
    <w:rsid w:val="00E8583D"/>
    <w:rsid w:val="00E86725"/>
    <w:rsid w:val="00E87931"/>
    <w:rsid w:val="00E90969"/>
    <w:rsid w:val="00E90C70"/>
    <w:rsid w:val="00E91A73"/>
    <w:rsid w:val="00E92C06"/>
    <w:rsid w:val="00E93A4D"/>
    <w:rsid w:val="00E94998"/>
    <w:rsid w:val="00E94EA5"/>
    <w:rsid w:val="00E950B4"/>
    <w:rsid w:val="00E95F9D"/>
    <w:rsid w:val="00E9756A"/>
    <w:rsid w:val="00EA0323"/>
    <w:rsid w:val="00EA064B"/>
    <w:rsid w:val="00EA09E8"/>
    <w:rsid w:val="00EA0A6E"/>
    <w:rsid w:val="00EA1931"/>
    <w:rsid w:val="00EA2FAC"/>
    <w:rsid w:val="00EA3370"/>
    <w:rsid w:val="00EA39FE"/>
    <w:rsid w:val="00EA5B00"/>
    <w:rsid w:val="00EA5C12"/>
    <w:rsid w:val="00EB05F3"/>
    <w:rsid w:val="00EB181E"/>
    <w:rsid w:val="00EB1F4A"/>
    <w:rsid w:val="00EB2B74"/>
    <w:rsid w:val="00EB2FBA"/>
    <w:rsid w:val="00EB3A2D"/>
    <w:rsid w:val="00EB411F"/>
    <w:rsid w:val="00EB50F5"/>
    <w:rsid w:val="00EB5485"/>
    <w:rsid w:val="00EB6680"/>
    <w:rsid w:val="00EB71CC"/>
    <w:rsid w:val="00EB7B92"/>
    <w:rsid w:val="00EB7F24"/>
    <w:rsid w:val="00EC002D"/>
    <w:rsid w:val="00EC0AC7"/>
    <w:rsid w:val="00EC2B9C"/>
    <w:rsid w:val="00EC56BD"/>
    <w:rsid w:val="00EC67BE"/>
    <w:rsid w:val="00EC6EDF"/>
    <w:rsid w:val="00EC7E8C"/>
    <w:rsid w:val="00ED1454"/>
    <w:rsid w:val="00ED23C4"/>
    <w:rsid w:val="00ED335C"/>
    <w:rsid w:val="00ED39BD"/>
    <w:rsid w:val="00ED3AA2"/>
    <w:rsid w:val="00ED452E"/>
    <w:rsid w:val="00ED5086"/>
    <w:rsid w:val="00ED52A9"/>
    <w:rsid w:val="00ED57C3"/>
    <w:rsid w:val="00EE5C1B"/>
    <w:rsid w:val="00EE6172"/>
    <w:rsid w:val="00EE714B"/>
    <w:rsid w:val="00EE71B1"/>
    <w:rsid w:val="00EF167D"/>
    <w:rsid w:val="00EF2018"/>
    <w:rsid w:val="00EF23D0"/>
    <w:rsid w:val="00EF2AD0"/>
    <w:rsid w:val="00EF3351"/>
    <w:rsid w:val="00EF477B"/>
    <w:rsid w:val="00EF4BF6"/>
    <w:rsid w:val="00EF5DC4"/>
    <w:rsid w:val="00F00600"/>
    <w:rsid w:val="00F00EBF"/>
    <w:rsid w:val="00F01634"/>
    <w:rsid w:val="00F01C60"/>
    <w:rsid w:val="00F028DA"/>
    <w:rsid w:val="00F031DD"/>
    <w:rsid w:val="00F03607"/>
    <w:rsid w:val="00F03694"/>
    <w:rsid w:val="00F0384B"/>
    <w:rsid w:val="00F04E13"/>
    <w:rsid w:val="00F05662"/>
    <w:rsid w:val="00F06232"/>
    <w:rsid w:val="00F108DB"/>
    <w:rsid w:val="00F113DF"/>
    <w:rsid w:val="00F14D52"/>
    <w:rsid w:val="00F15AEF"/>
    <w:rsid w:val="00F16124"/>
    <w:rsid w:val="00F167FB"/>
    <w:rsid w:val="00F172EA"/>
    <w:rsid w:val="00F179B8"/>
    <w:rsid w:val="00F202F1"/>
    <w:rsid w:val="00F20E58"/>
    <w:rsid w:val="00F215EF"/>
    <w:rsid w:val="00F24396"/>
    <w:rsid w:val="00F24479"/>
    <w:rsid w:val="00F24559"/>
    <w:rsid w:val="00F249F2"/>
    <w:rsid w:val="00F27DE1"/>
    <w:rsid w:val="00F30599"/>
    <w:rsid w:val="00F32E94"/>
    <w:rsid w:val="00F34149"/>
    <w:rsid w:val="00F34B8B"/>
    <w:rsid w:val="00F3502B"/>
    <w:rsid w:val="00F374C7"/>
    <w:rsid w:val="00F4074C"/>
    <w:rsid w:val="00F408E6"/>
    <w:rsid w:val="00F419A3"/>
    <w:rsid w:val="00F42501"/>
    <w:rsid w:val="00F4412F"/>
    <w:rsid w:val="00F449F6"/>
    <w:rsid w:val="00F4538D"/>
    <w:rsid w:val="00F45C0B"/>
    <w:rsid w:val="00F522DA"/>
    <w:rsid w:val="00F5374D"/>
    <w:rsid w:val="00F5520A"/>
    <w:rsid w:val="00F5557E"/>
    <w:rsid w:val="00F5648C"/>
    <w:rsid w:val="00F5676B"/>
    <w:rsid w:val="00F609DD"/>
    <w:rsid w:val="00F61342"/>
    <w:rsid w:val="00F650FE"/>
    <w:rsid w:val="00F655F4"/>
    <w:rsid w:val="00F658C2"/>
    <w:rsid w:val="00F71D46"/>
    <w:rsid w:val="00F732FB"/>
    <w:rsid w:val="00F73CF3"/>
    <w:rsid w:val="00F75E4E"/>
    <w:rsid w:val="00F76D28"/>
    <w:rsid w:val="00F776D4"/>
    <w:rsid w:val="00F778CC"/>
    <w:rsid w:val="00F80262"/>
    <w:rsid w:val="00F80755"/>
    <w:rsid w:val="00F80D15"/>
    <w:rsid w:val="00F83244"/>
    <w:rsid w:val="00F83D20"/>
    <w:rsid w:val="00F875FF"/>
    <w:rsid w:val="00F879BF"/>
    <w:rsid w:val="00F87A1A"/>
    <w:rsid w:val="00F87C8B"/>
    <w:rsid w:val="00F87F24"/>
    <w:rsid w:val="00F90A97"/>
    <w:rsid w:val="00F928D6"/>
    <w:rsid w:val="00F93684"/>
    <w:rsid w:val="00F95C09"/>
    <w:rsid w:val="00F95E97"/>
    <w:rsid w:val="00F96FEA"/>
    <w:rsid w:val="00F97217"/>
    <w:rsid w:val="00F97A30"/>
    <w:rsid w:val="00FA0442"/>
    <w:rsid w:val="00FA1046"/>
    <w:rsid w:val="00FA1335"/>
    <w:rsid w:val="00FA17BE"/>
    <w:rsid w:val="00FA31BF"/>
    <w:rsid w:val="00FA42B4"/>
    <w:rsid w:val="00FA433E"/>
    <w:rsid w:val="00FA4883"/>
    <w:rsid w:val="00FA4EF4"/>
    <w:rsid w:val="00FA5589"/>
    <w:rsid w:val="00FA5CB0"/>
    <w:rsid w:val="00FA66FF"/>
    <w:rsid w:val="00FA7993"/>
    <w:rsid w:val="00FB10B1"/>
    <w:rsid w:val="00FB1A76"/>
    <w:rsid w:val="00FB2AF5"/>
    <w:rsid w:val="00FB3294"/>
    <w:rsid w:val="00FB3A81"/>
    <w:rsid w:val="00FB44FD"/>
    <w:rsid w:val="00FB57B4"/>
    <w:rsid w:val="00FB641E"/>
    <w:rsid w:val="00FB785A"/>
    <w:rsid w:val="00FC3420"/>
    <w:rsid w:val="00FC55D9"/>
    <w:rsid w:val="00FC5F74"/>
    <w:rsid w:val="00FC6367"/>
    <w:rsid w:val="00FC69EF"/>
    <w:rsid w:val="00FD0DF5"/>
    <w:rsid w:val="00FD348F"/>
    <w:rsid w:val="00FD4F16"/>
    <w:rsid w:val="00FE031B"/>
    <w:rsid w:val="00FE129A"/>
    <w:rsid w:val="00FE198A"/>
    <w:rsid w:val="00FE3053"/>
    <w:rsid w:val="00FE311E"/>
    <w:rsid w:val="00FE4910"/>
    <w:rsid w:val="00FE53F7"/>
    <w:rsid w:val="00FE567F"/>
    <w:rsid w:val="00FF18C0"/>
    <w:rsid w:val="00FF21EC"/>
    <w:rsid w:val="00FF51C4"/>
    <w:rsid w:val="00FF78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A9"/>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aliases w:val="Párrafo de lista 2"/>
    <w:basedOn w:val="Normal"/>
    <w:link w:val="PrrafodelistaCar"/>
    <w:uiPriority w:val="34"/>
    <w:qFormat/>
    <w:rsid w:val="009B198F"/>
    <w:pPr>
      <w:ind w:left="708"/>
    </w:pPr>
  </w:style>
  <w:style w:type="character" w:customStyle="1" w:styleId="PrrafodelistaCar">
    <w:name w:val="Párrafo de lista Car"/>
    <w:aliases w:val="Párrafo de lista 2 Car"/>
    <w:link w:val="Prrafodelista"/>
    <w:uiPriority w:val="34"/>
    <w:rsid w:val="005A6477"/>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ft,ft Car,ft Car Car,Texto nota pie2,ft1,ft Car Car Car1,Texto nota pie Car2,ft Car Car2,ft Car Car Car,fn"/>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ft Car1,ft Car Car1,ft Car Car Car2,Texto nota pie2 Car,ft1 Car,ft Car Car Car1 Car,fn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B2FBA"/>
    <w:pPr>
      <w:pBdr>
        <w:top w:val="thinThickSmallGap" w:sz="24" w:space="1" w:color="585858"/>
      </w:pBdr>
      <w:tabs>
        <w:tab w:val="center" w:pos="4419"/>
        <w:tab w:val="right" w:pos="8838"/>
      </w:tabs>
    </w:pPr>
    <w:rPr>
      <w:rFonts w:ascii="Constantia" w:hAnsi="Constantia"/>
    </w:rPr>
  </w:style>
  <w:style w:type="character" w:customStyle="1" w:styleId="PiedepginaCar">
    <w:name w:val="Pie de página Car"/>
    <w:link w:val="Piedepgina"/>
    <w:uiPriority w:val="99"/>
    <w:rsid w:val="00EB2FBA"/>
    <w:rPr>
      <w:rFonts w:ascii="Constantia" w:eastAsia="Times New Roman" w:hAnsi="Constantia" w:cs="Times New Roman"/>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lang w:val="es-GT" w:eastAsia="es-GT"/>
    </w:rPr>
  </w:style>
  <w:style w:type="paragraph" w:styleId="Sinespaciado">
    <w:name w:val="No Spacing"/>
    <w:link w:val="SinespaciadoCar"/>
    <w:uiPriority w:val="1"/>
    <w:qFormat/>
    <w:rsid w:val="00C7413E"/>
    <w:rPr>
      <w:rFonts w:ascii="Constantia" w:eastAsia="Times New Roman" w:hAnsi="Constantia"/>
      <w:sz w:val="24"/>
      <w:szCs w:val="24"/>
      <w:lang w:val="es-ES_tradnl" w:eastAsia="ja-JP"/>
    </w:rPr>
  </w:style>
  <w:style w:type="character" w:customStyle="1" w:styleId="SinespaciadoCar">
    <w:name w:val="Sin espaciado Car"/>
    <w:basedOn w:val="Fuentedeprrafopredeter"/>
    <w:link w:val="Sinespaciado"/>
    <w:uiPriority w:val="1"/>
    <w:locked/>
    <w:rsid w:val="005B1AE1"/>
    <w:rPr>
      <w:rFonts w:ascii="Constantia" w:eastAsia="Times New Roman" w:hAnsi="Constantia"/>
      <w:sz w:val="24"/>
      <w:szCs w:val="24"/>
      <w:lang w:val="es-ES_tradnl" w:eastAsia="ja-JP"/>
    </w:rPr>
  </w:style>
  <w:style w:type="paragraph" w:styleId="TtulodeTDC">
    <w:name w:val="TOC Heading"/>
    <w:basedOn w:val="Ttulo1"/>
    <w:next w:val="Normal"/>
    <w:uiPriority w:val="39"/>
    <w:unhideWhenUsed/>
    <w:qFormat/>
    <w:rsid w:val="00D61558"/>
    <w:pPr>
      <w:keepLines/>
      <w:numPr>
        <w:numId w:val="0"/>
      </w:numPr>
      <w:spacing w:before="480" w:line="276" w:lineRule="auto"/>
      <w:outlineLvl w:val="9"/>
    </w:pPr>
    <w:rPr>
      <w:rFonts w:ascii="Constantia" w:hAnsi="Constantia"/>
      <w:color w:val="A5A5A5"/>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AB0496"/>
    <w:pPr>
      <w:tabs>
        <w:tab w:val="left" w:pos="880"/>
        <w:tab w:val="right" w:leader="dot" w:pos="9072"/>
      </w:tabs>
      <w:spacing w:after="100"/>
      <w:ind w:left="240"/>
      <w:jc w:val="both"/>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Constantia" w:eastAsia="Times New Roman" w:hAnsi="Constantia"/>
      <w:color w:val="00000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aconcuadrcula1">
    <w:name w:val="Tabla con cuadrícula1"/>
    <w:basedOn w:val="Tablanormal"/>
    <w:next w:val="Tablaconcuadrcula"/>
    <w:uiPriority w:val="59"/>
    <w:rsid w:val="00DA6BDB"/>
    <w:rPr>
      <w:rFonts w:ascii="Times New Roman" w:eastAsia="Times New Roman" w:hAnsi="Times New Roman"/>
      <w:lang w:val="es-GT" w:eastAsia="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A9"/>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aliases w:val="Párrafo de lista 2"/>
    <w:basedOn w:val="Normal"/>
    <w:link w:val="PrrafodelistaCar"/>
    <w:uiPriority w:val="34"/>
    <w:qFormat/>
    <w:rsid w:val="009B198F"/>
    <w:pPr>
      <w:ind w:left="708"/>
    </w:pPr>
  </w:style>
  <w:style w:type="character" w:customStyle="1" w:styleId="PrrafodelistaCar">
    <w:name w:val="Párrafo de lista Car"/>
    <w:aliases w:val="Párrafo de lista 2 Car"/>
    <w:link w:val="Prrafodelista"/>
    <w:uiPriority w:val="34"/>
    <w:rsid w:val="005A6477"/>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ft,ft Car,ft Car Car,Texto nota pie2,ft1,ft Car Car Car1,Texto nota pie Car2,ft Car Car2,ft Car Car Car,fn"/>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ft Car1,ft Car Car1,ft Car Car Car2,Texto nota pie2 Car,ft1 Car,ft Car Car Car1 Car,fn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B2FBA"/>
    <w:pPr>
      <w:pBdr>
        <w:top w:val="thinThickSmallGap" w:sz="24" w:space="1" w:color="585858"/>
      </w:pBdr>
      <w:tabs>
        <w:tab w:val="center" w:pos="4419"/>
        <w:tab w:val="right" w:pos="8838"/>
      </w:tabs>
    </w:pPr>
    <w:rPr>
      <w:rFonts w:ascii="Constantia" w:hAnsi="Constantia"/>
    </w:rPr>
  </w:style>
  <w:style w:type="character" w:customStyle="1" w:styleId="PiedepginaCar">
    <w:name w:val="Pie de página Car"/>
    <w:link w:val="Piedepgina"/>
    <w:uiPriority w:val="99"/>
    <w:rsid w:val="00EB2FBA"/>
    <w:rPr>
      <w:rFonts w:ascii="Constantia" w:eastAsia="Times New Roman" w:hAnsi="Constantia" w:cs="Times New Roman"/>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lang w:val="es-GT" w:eastAsia="es-GT"/>
    </w:rPr>
  </w:style>
  <w:style w:type="paragraph" w:styleId="Sinespaciado">
    <w:name w:val="No Spacing"/>
    <w:link w:val="SinespaciadoCar"/>
    <w:uiPriority w:val="1"/>
    <w:qFormat/>
    <w:rsid w:val="00C7413E"/>
    <w:rPr>
      <w:rFonts w:ascii="Constantia" w:eastAsia="Times New Roman" w:hAnsi="Constantia"/>
      <w:sz w:val="24"/>
      <w:szCs w:val="24"/>
      <w:lang w:val="es-ES_tradnl" w:eastAsia="ja-JP"/>
    </w:rPr>
  </w:style>
  <w:style w:type="character" w:customStyle="1" w:styleId="SinespaciadoCar">
    <w:name w:val="Sin espaciado Car"/>
    <w:basedOn w:val="Fuentedeprrafopredeter"/>
    <w:link w:val="Sinespaciado"/>
    <w:uiPriority w:val="1"/>
    <w:locked/>
    <w:rsid w:val="005B1AE1"/>
    <w:rPr>
      <w:rFonts w:ascii="Constantia" w:eastAsia="Times New Roman" w:hAnsi="Constantia"/>
      <w:sz w:val="24"/>
      <w:szCs w:val="24"/>
      <w:lang w:val="es-ES_tradnl" w:eastAsia="ja-JP"/>
    </w:rPr>
  </w:style>
  <w:style w:type="paragraph" w:styleId="TtulodeTDC">
    <w:name w:val="TOC Heading"/>
    <w:basedOn w:val="Ttulo1"/>
    <w:next w:val="Normal"/>
    <w:uiPriority w:val="39"/>
    <w:unhideWhenUsed/>
    <w:qFormat/>
    <w:rsid w:val="00D61558"/>
    <w:pPr>
      <w:keepLines/>
      <w:numPr>
        <w:numId w:val="0"/>
      </w:numPr>
      <w:spacing w:before="480" w:line="276" w:lineRule="auto"/>
      <w:outlineLvl w:val="9"/>
    </w:pPr>
    <w:rPr>
      <w:rFonts w:ascii="Constantia" w:hAnsi="Constantia"/>
      <w:color w:val="A5A5A5"/>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AB0496"/>
    <w:pPr>
      <w:tabs>
        <w:tab w:val="left" w:pos="880"/>
        <w:tab w:val="right" w:leader="dot" w:pos="9072"/>
      </w:tabs>
      <w:spacing w:after="100"/>
      <w:ind w:left="240"/>
      <w:jc w:val="both"/>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Constantia" w:eastAsia="Times New Roman" w:hAnsi="Constantia"/>
      <w:color w:val="00000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aconcuadrcula1">
    <w:name w:val="Tabla con cuadrícula1"/>
    <w:basedOn w:val="Tablanormal"/>
    <w:next w:val="Tablaconcuadrcula"/>
    <w:uiPriority w:val="59"/>
    <w:rsid w:val="00DA6BDB"/>
    <w:rPr>
      <w:rFonts w:ascii="Times New Roman" w:eastAsia="Times New Roman" w:hAnsi="Times New Roman"/>
      <w:lang w:val="es-GT" w:eastAsia="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564">
      <w:bodyDiv w:val="1"/>
      <w:marLeft w:val="0"/>
      <w:marRight w:val="0"/>
      <w:marTop w:val="0"/>
      <w:marBottom w:val="0"/>
      <w:divBdr>
        <w:top w:val="none" w:sz="0" w:space="0" w:color="auto"/>
        <w:left w:val="none" w:sz="0" w:space="0" w:color="auto"/>
        <w:bottom w:val="none" w:sz="0" w:space="0" w:color="auto"/>
        <w:right w:val="none" w:sz="0" w:space="0" w:color="auto"/>
      </w:divBdr>
      <w:divsChild>
        <w:div w:id="1464498466">
          <w:marLeft w:val="274"/>
          <w:marRight w:val="0"/>
          <w:marTop w:val="0"/>
          <w:marBottom w:val="240"/>
          <w:divBdr>
            <w:top w:val="none" w:sz="0" w:space="0" w:color="auto"/>
            <w:left w:val="none" w:sz="0" w:space="0" w:color="auto"/>
            <w:bottom w:val="none" w:sz="0" w:space="0" w:color="auto"/>
            <w:right w:val="none" w:sz="0" w:space="0" w:color="auto"/>
          </w:divBdr>
        </w:div>
        <w:div w:id="1479304816">
          <w:marLeft w:val="274"/>
          <w:marRight w:val="0"/>
          <w:marTop w:val="0"/>
          <w:marBottom w:val="240"/>
          <w:divBdr>
            <w:top w:val="none" w:sz="0" w:space="0" w:color="auto"/>
            <w:left w:val="none" w:sz="0" w:space="0" w:color="auto"/>
            <w:bottom w:val="none" w:sz="0" w:space="0" w:color="auto"/>
            <w:right w:val="none" w:sz="0" w:space="0" w:color="auto"/>
          </w:divBdr>
        </w:div>
        <w:div w:id="1884439074">
          <w:marLeft w:val="274"/>
          <w:marRight w:val="0"/>
          <w:marTop w:val="0"/>
          <w:marBottom w:val="240"/>
          <w:divBdr>
            <w:top w:val="none" w:sz="0" w:space="0" w:color="auto"/>
            <w:left w:val="none" w:sz="0" w:space="0" w:color="auto"/>
            <w:bottom w:val="none" w:sz="0" w:space="0" w:color="auto"/>
            <w:right w:val="none" w:sz="0" w:space="0" w:color="auto"/>
          </w:divBdr>
        </w:div>
      </w:divsChild>
    </w:div>
    <w:div w:id="12615010">
      <w:bodyDiv w:val="1"/>
      <w:marLeft w:val="0"/>
      <w:marRight w:val="0"/>
      <w:marTop w:val="0"/>
      <w:marBottom w:val="0"/>
      <w:divBdr>
        <w:top w:val="none" w:sz="0" w:space="0" w:color="auto"/>
        <w:left w:val="none" w:sz="0" w:space="0" w:color="auto"/>
        <w:bottom w:val="none" w:sz="0" w:space="0" w:color="auto"/>
        <w:right w:val="none" w:sz="0" w:space="0" w:color="auto"/>
      </w:divBdr>
      <w:divsChild>
        <w:div w:id="874804913">
          <w:marLeft w:val="576"/>
          <w:marRight w:val="0"/>
          <w:marTop w:val="120"/>
          <w:marBottom w:val="0"/>
          <w:divBdr>
            <w:top w:val="none" w:sz="0" w:space="0" w:color="auto"/>
            <w:left w:val="none" w:sz="0" w:space="0" w:color="auto"/>
            <w:bottom w:val="none" w:sz="0" w:space="0" w:color="auto"/>
            <w:right w:val="none" w:sz="0" w:space="0" w:color="auto"/>
          </w:divBdr>
        </w:div>
      </w:divsChild>
    </w:div>
    <w:div w:id="19479179">
      <w:bodyDiv w:val="1"/>
      <w:marLeft w:val="0"/>
      <w:marRight w:val="0"/>
      <w:marTop w:val="0"/>
      <w:marBottom w:val="0"/>
      <w:divBdr>
        <w:top w:val="none" w:sz="0" w:space="0" w:color="auto"/>
        <w:left w:val="none" w:sz="0" w:space="0" w:color="auto"/>
        <w:bottom w:val="none" w:sz="0" w:space="0" w:color="auto"/>
        <w:right w:val="none" w:sz="0" w:space="0" w:color="auto"/>
      </w:divBdr>
    </w:div>
    <w:div w:id="74597903">
      <w:bodyDiv w:val="1"/>
      <w:marLeft w:val="0"/>
      <w:marRight w:val="0"/>
      <w:marTop w:val="0"/>
      <w:marBottom w:val="0"/>
      <w:divBdr>
        <w:top w:val="none" w:sz="0" w:space="0" w:color="auto"/>
        <w:left w:val="none" w:sz="0" w:space="0" w:color="auto"/>
        <w:bottom w:val="none" w:sz="0" w:space="0" w:color="auto"/>
        <w:right w:val="none" w:sz="0" w:space="0" w:color="auto"/>
      </w:divBdr>
    </w:div>
    <w:div w:id="102068754">
      <w:bodyDiv w:val="1"/>
      <w:marLeft w:val="0"/>
      <w:marRight w:val="0"/>
      <w:marTop w:val="0"/>
      <w:marBottom w:val="0"/>
      <w:divBdr>
        <w:top w:val="none" w:sz="0" w:space="0" w:color="auto"/>
        <w:left w:val="none" w:sz="0" w:space="0" w:color="auto"/>
        <w:bottom w:val="none" w:sz="0" w:space="0" w:color="auto"/>
        <w:right w:val="none" w:sz="0" w:space="0" w:color="auto"/>
      </w:divBdr>
    </w:div>
    <w:div w:id="124812311">
      <w:bodyDiv w:val="1"/>
      <w:marLeft w:val="0"/>
      <w:marRight w:val="0"/>
      <w:marTop w:val="0"/>
      <w:marBottom w:val="0"/>
      <w:divBdr>
        <w:top w:val="none" w:sz="0" w:space="0" w:color="auto"/>
        <w:left w:val="none" w:sz="0" w:space="0" w:color="auto"/>
        <w:bottom w:val="none" w:sz="0" w:space="0" w:color="auto"/>
        <w:right w:val="none" w:sz="0" w:space="0" w:color="auto"/>
      </w:divBdr>
    </w:div>
    <w:div w:id="224731212">
      <w:bodyDiv w:val="1"/>
      <w:marLeft w:val="0"/>
      <w:marRight w:val="0"/>
      <w:marTop w:val="0"/>
      <w:marBottom w:val="0"/>
      <w:divBdr>
        <w:top w:val="none" w:sz="0" w:space="0" w:color="auto"/>
        <w:left w:val="none" w:sz="0" w:space="0" w:color="auto"/>
        <w:bottom w:val="none" w:sz="0" w:space="0" w:color="auto"/>
        <w:right w:val="none" w:sz="0" w:space="0" w:color="auto"/>
      </w:divBdr>
      <w:divsChild>
        <w:div w:id="791099228">
          <w:marLeft w:val="562"/>
          <w:marRight w:val="0"/>
          <w:marTop w:val="0"/>
          <w:marBottom w:val="0"/>
          <w:divBdr>
            <w:top w:val="none" w:sz="0" w:space="0" w:color="auto"/>
            <w:left w:val="none" w:sz="0" w:space="0" w:color="auto"/>
            <w:bottom w:val="none" w:sz="0" w:space="0" w:color="auto"/>
            <w:right w:val="none" w:sz="0" w:space="0" w:color="auto"/>
          </w:divBdr>
        </w:div>
        <w:div w:id="1126898492">
          <w:marLeft w:val="562"/>
          <w:marRight w:val="0"/>
          <w:marTop w:val="0"/>
          <w:marBottom w:val="0"/>
          <w:divBdr>
            <w:top w:val="none" w:sz="0" w:space="0" w:color="auto"/>
            <w:left w:val="none" w:sz="0" w:space="0" w:color="auto"/>
            <w:bottom w:val="none" w:sz="0" w:space="0" w:color="auto"/>
            <w:right w:val="none" w:sz="0" w:space="0" w:color="auto"/>
          </w:divBdr>
        </w:div>
        <w:div w:id="1718116599">
          <w:marLeft w:val="562"/>
          <w:marRight w:val="0"/>
          <w:marTop w:val="0"/>
          <w:marBottom w:val="0"/>
          <w:divBdr>
            <w:top w:val="none" w:sz="0" w:space="0" w:color="auto"/>
            <w:left w:val="none" w:sz="0" w:space="0" w:color="auto"/>
            <w:bottom w:val="none" w:sz="0" w:space="0" w:color="auto"/>
            <w:right w:val="none" w:sz="0" w:space="0" w:color="auto"/>
          </w:divBdr>
        </w:div>
      </w:divsChild>
    </w:div>
    <w:div w:id="277689072">
      <w:bodyDiv w:val="1"/>
      <w:marLeft w:val="0"/>
      <w:marRight w:val="0"/>
      <w:marTop w:val="0"/>
      <w:marBottom w:val="0"/>
      <w:divBdr>
        <w:top w:val="none" w:sz="0" w:space="0" w:color="auto"/>
        <w:left w:val="none" w:sz="0" w:space="0" w:color="auto"/>
        <w:bottom w:val="none" w:sz="0" w:space="0" w:color="auto"/>
        <w:right w:val="none" w:sz="0" w:space="0" w:color="auto"/>
      </w:divBdr>
    </w:div>
    <w:div w:id="302665719">
      <w:bodyDiv w:val="1"/>
      <w:marLeft w:val="0"/>
      <w:marRight w:val="0"/>
      <w:marTop w:val="0"/>
      <w:marBottom w:val="0"/>
      <w:divBdr>
        <w:top w:val="none" w:sz="0" w:space="0" w:color="auto"/>
        <w:left w:val="none" w:sz="0" w:space="0" w:color="auto"/>
        <w:bottom w:val="none" w:sz="0" w:space="0" w:color="auto"/>
        <w:right w:val="none" w:sz="0" w:space="0" w:color="auto"/>
      </w:divBdr>
    </w:div>
    <w:div w:id="317077505">
      <w:bodyDiv w:val="1"/>
      <w:marLeft w:val="0"/>
      <w:marRight w:val="0"/>
      <w:marTop w:val="0"/>
      <w:marBottom w:val="0"/>
      <w:divBdr>
        <w:top w:val="none" w:sz="0" w:space="0" w:color="auto"/>
        <w:left w:val="none" w:sz="0" w:space="0" w:color="auto"/>
        <w:bottom w:val="none" w:sz="0" w:space="0" w:color="auto"/>
        <w:right w:val="none" w:sz="0" w:space="0" w:color="auto"/>
      </w:divBdr>
    </w:div>
    <w:div w:id="381290258">
      <w:bodyDiv w:val="1"/>
      <w:marLeft w:val="0"/>
      <w:marRight w:val="0"/>
      <w:marTop w:val="0"/>
      <w:marBottom w:val="0"/>
      <w:divBdr>
        <w:top w:val="none" w:sz="0" w:space="0" w:color="auto"/>
        <w:left w:val="none" w:sz="0" w:space="0" w:color="auto"/>
        <w:bottom w:val="none" w:sz="0" w:space="0" w:color="auto"/>
        <w:right w:val="none" w:sz="0" w:space="0" w:color="auto"/>
      </w:divBdr>
    </w:div>
    <w:div w:id="438334676">
      <w:bodyDiv w:val="1"/>
      <w:marLeft w:val="0"/>
      <w:marRight w:val="0"/>
      <w:marTop w:val="0"/>
      <w:marBottom w:val="0"/>
      <w:divBdr>
        <w:top w:val="none" w:sz="0" w:space="0" w:color="auto"/>
        <w:left w:val="none" w:sz="0" w:space="0" w:color="auto"/>
        <w:bottom w:val="none" w:sz="0" w:space="0" w:color="auto"/>
        <w:right w:val="none" w:sz="0" w:space="0" w:color="auto"/>
      </w:divBdr>
    </w:div>
    <w:div w:id="440341959">
      <w:bodyDiv w:val="1"/>
      <w:marLeft w:val="0"/>
      <w:marRight w:val="0"/>
      <w:marTop w:val="0"/>
      <w:marBottom w:val="0"/>
      <w:divBdr>
        <w:top w:val="none" w:sz="0" w:space="0" w:color="auto"/>
        <w:left w:val="none" w:sz="0" w:space="0" w:color="auto"/>
        <w:bottom w:val="none" w:sz="0" w:space="0" w:color="auto"/>
        <w:right w:val="none" w:sz="0" w:space="0" w:color="auto"/>
      </w:divBdr>
    </w:div>
    <w:div w:id="453980856">
      <w:bodyDiv w:val="1"/>
      <w:marLeft w:val="0"/>
      <w:marRight w:val="0"/>
      <w:marTop w:val="0"/>
      <w:marBottom w:val="0"/>
      <w:divBdr>
        <w:top w:val="none" w:sz="0" w:space="0" w:color="auto"/>
        <w:left w:val="none" w:sz="0" w:space="0" w:color="auto"/>
        <w:bottom w:val="none" w:sz="0" w:space="0" w:color="auto"/>
        <w:right w:val="none" w:sz="0" w:space="0" w:color="auto"/>
      </w:divBdr>
    </w:div>
    <w:div w:id="481119587">
      <w:bodyDiv w:val="1"/>
      <w:marLeft w:val="0"/>
      <w:marRight w:val="0"/>
      <w:marTop w:val="0"/>
      <w:marBottom w:val="0"/>
      <w:divBdr>
        <w:top w:val="none" w:sz="0" w:space="0" w:color="auto"/>
        <w:left w:val="none" w:sz="0" w:space="0" w:color="auto"/>
        <w:bottom w:val="none" w:sz="0" w:space="0" w:color="auto"/>
        <w:right w:val="none" w:sz="0" w:space="0" w:color="auto"/>
      </w:divBdr>
    </w:div>
    <w:div w:id="494607275">
      <w:bodyDiv w:val="1"/>
      <w:marLeft w:val="0"/>
      <w:marRight w:val="0"/>
      <w:marTop w:val="0"/>
      <w:marBottom w:val="0"/>
      <w:divBdr>
        <w:top w:val="none" w:sz="0" w:space="0" w:color="auto"/>
        <w:left w:val="none" w:sz="0" w:space="0" w:color="auto"/>
        <w:bottom w:val="none" w:sz="0" w:space="0" w:color="auto"/>
        <w:right w:val="none" w:sz="0" w:space="0" w:color="auto"/>
      </w:divBdr>
    </w:div>
    <w:div w:id="524638195">
      <w:bodyDiv w:val="1"/>
      <w:marLeft w:val="0"/>
      <w:marRight w:val="0"/>
      <w:marTop w:val="0"/>
      <w:marBottom w:val="0"/>
      <w:divBdr>
        <w:top w:val="none" w:sz="0" w:space="0" w:color="auto"/>
        <w:left w:val="none" w:sz="0" w:space="0" w:color="auto"/>
        <w:bottom w:val="none" w:sz="0" w:space="0" w:color="auto"/>
        <w:right w:val="none" w:sz="0" w:space="0" w:color="auto"/>
      </w:divBdr>
    </w:div>
    <w:div w:id="532572793">
      <w:bodyDiv w:val="1"/>
      <w:marLeft w:val="0"/>
      <w:marRight w:val="0"/>
      <w:marTop w:val="0"/>
      <w:marBottom w:val="0"/>
      <w:divBdr>
        <w:top w:val="none" w:sz="0" w:space="0" w:color="auto"/>
        <w:left w:val="none" w:sz="0" w:space="0" w:color="auto"/>
        <w:bottom w:val="none" w:sz="0" w:space="0" w:color="auto"/>
        <w:right w:val="none" w:sz="0" w:space="0" w:color="auto"/>
      </w:divBdr>
    </w:div>
    <w:div w:id="537472027">
      <w:bodyDiv w:val="1"/>
      <w:marLeft w:val="0"/>
      <w:marRight w:val="0"/>
      <w:marTop w:val="0"/>
      <w:marBottom w:val="0"/>
      <w:divBdr>
        <w:top w:val="none" w:sz="0" w:space="0" w:color="auto"/>
        <w:left w:val="none" w:sz="0" w:space="0" w:color="auto"/>
        <w:bottom w:val="none" w:sz="0" w:space="0" w:color="auto"/>
        <w:right w:val="none" w:sz="0" w:space="0" w:color="auto"/>
      </w:divBdr>
      <w:divsChild>
        <w:div w:id="1166701297">
          <w:marLeft w:val="0"/>
          <w:marRight w:val="0"/>
          <w:marTop w:val="0"/>
          <w:marBottom w:val="0"/>
          <w:divBdr>
            <w:top w:val="none" w:sz="0" w:space="0" w:color="auto"/>
            <w:left w:val="none" w:sz="0" w:space="0" w:color="auto"/>
            <w:bottom w:val="none" w:sz="0" w:space="0" w:color="auto"/>
            <w:right w:val="none" w:sz="0" w:space="0" w:color="auto"/>
          </w:divBdr>
          <w:divsChild>
            <w:div w:id="319886466">
              <w:marLeft w:val="0"/>
              <w:marRight w:val="0"/>
              <w:marTop w:val="0"/>
              <w:marBottom w:val="0"/>
              <w:divBdr>
                <w:top w:val="single" w:sz="24" w:space="0" w:color="FB4C1C"/>
                <w:left w:val="none" w:sz="0" w:space="0" w:color="auto"/>
                <w:bottom w:val="none" w:sz="0" w:space="0" w:color="auto"/>
                <w:right w:val="none" w:sz="0" w:space="0" w:color="auto"/>
              </w:divBdr>
              <w:divsChild>
                <w:div w:id="1064136762">
                  <w:marLeft w:val="0"/>
                  <w:marRight w:val="0"/>
                  <w:marTop w:val="100"/>
                  <w:marBottom w:val="100"/>
                  <w:divBdr>
                    <w:top w:val="none" w:sz="0" w:space="0" w:color="auto"/>
                    <w:left w:val="none" w:sz="0" w:space="0" w:color="auto"/>
                    <w:bottom w:val="none" w:sz="0" w:space="0" w:color="auto"/>
                    <w:right w:val="none" w:sz="0" w:space="0" w:color="auto"/>
                  </w:divBdr>
                  <w:divsChild>
                    <w:div w:id="1058013946">
                      <w:marLeft w:val="0"/>
                      <w:marRight w:val="0"/>
                      <w:marTop w:val="0"/>
                      <w:marBottom w:val="0"/>
                      <w:divBdr>
                        <w:top w:val="none" w:sz="0" w:space="0" w:color="auto"/>
                        <w:left w:val="none" w:sz="0" w:space="0" w:color="auto"/>
                        <w:bottom w:val="none" w:sz="0" w:space="0" w:color="auto"/>
                        <w:right w:val="none" w:sz="0" w:space="0" w:color="auto"/>
                      </w:divBdr>
                      <w:divsChild>
                        <w:div w:id="734008506">
                          <w:marLeft w:val="0"/>
                          <w:marRight w:val="0"/>
                          <w:marTop w:val="0"/>
                          <w:marBottom w:val="0"/>
                          <w:divBdr>
                            <w:top w:val="none" w:sz="0" w:space="0" w:color="auto"/>
                            <w:left w:val="none" w:sz="0" w:space="0" w:color="auto"/>
                            <w:bottom w:val="none" w:sz="0" w:space="0" w:color="auto"/>
                            <w:right w:val="none" w:sz="0" w:space="0" w:color="auto"/>
                          </w:divBdr>
                          <w:divsChild>
                            <w:div w:id="1487088080">
                              <w:marLeft w:val="0"/>
                              <w:marRight w:val="0"/>
                              <w:marTop w:val="0"/>
                              <w:marBottom w:val="0"/>
                              <w:divBdr>
                                <w:top w:val="none" w:sz="0" w:space="0" w:color="auto"/>
                                <w:left w:val="none" w:sz="0" w:space="0" w:color="auto"/>
                                <w:bottom w:val="none" w:sz="0" w:space="0" w:color="auto"/>
                                <w:right w:val="none" w:sz="0" w:space="0" w:color="auto"/>
                              </w:divBdr>
                              <w:divsChild>
                                <w:div w:id="1872643750">
                                  <w:marLeft w:val="0"/>
                                  <w:marRight w:val="0"/>
                                  <w:marTop w:val="0"/>
                                  <w:marBottom w:val="0"/>
                                  <w:divBdr>
                                    <w:top w:val="none" w:sz="0" w:space="0" w:color="auto"/>
                                    <w:left w:val="none" w:sz="0" w:space="0" w:color="auto"/>
                                    <w:bottom w:val="none" w:sz="0" w:space="0" w:color="auto"/>
                                    <w:right w:val="none" w:sz="0" w:space="0" w:color="auto"/>
                                  </w:divBdr>
                                  <w:divsChild>
                                    <w:div w:id="1102651247">
                                      <w:marLeft w:val="0"/>
                                      <w:marRight w:val="0"/>
                                      <w:marTop w:val="0"/>
                                      <w:marBottom w:val="0"/>
                                      <w:divBdr>
                                        <w:top w:val="none" w:sz="0" w:space="0" w:color="auto"/>
                                        <w:left w:val="none" w:sz="0" w:space="0" w:color="auto"/>
                                        <w:bottom w:val="none" w:sz="0" w:space="0" w:color="auto"/>
                                        <w:right w:val="none" w:sz="0" w:space="0" w:color="auto"/>
                                      </w:divBdr>
                                      <w:divsChild>
                                        <w:div w:id="1233126812">
                                          <w:marLeft w:val="0"/>
                                          <w:marRight w:val="0"/>
                                          <w:marTop w:val="0"/>
                                          <w:marBottom w:val="0"/>
                                          <w:divBdr>
                                            <w:top w:val="none" w:sz="0" w:space="0" w:color="auto"/>
                                            <w:left w:val="none" w:sz="0" w:space="0" w:color="auto"/>
                                            <w:bottom w:val="none" w:sz="0" w:space="0" w:color="auto"/>
                                            <w:right w:val="none" w:sz="0" w:space="0" w:color="auto"/>
                                          </w:divBdr>
                                          <w:divsChild>
                                            <w:div w:id="1857187229">
                                              <w:marLeft w:val="0"/>
                                              <w:marRight w:val="0"/>
                                              <w:marTop w:val="0"/>
                                              <w:marBottom w:val="0"/>
                                              <w:divBdr>
                                                <w:top w:val="none" w:sz="0" w:space="0" w:color="auto"/>
                                                <w:left w:val="none" w:sz="0" w:space="0" w:color="auto"/>
                                                <w:bottom w:val="none" w:sz="0" w:space="0" w:color="auto"/>
                                                <w:right w:val="none" w:sz="0" w:space="0" w:color="auto"/>
                                              </w:divBdr>
                                              <w:divsChild>
                                                <w:div w:id="1883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306928">
      <w:bodyDiv w:val="1"/>
      <w:marLeft w:val="0"/>
      <w:marRight w:val="0"/>
      <w:marTop w:val="0"/>
      <w:marBottom w:val="0"/>
      <w:divBdr>
        <w:top w:val="none" w:sz="0" w:space="0" w:color="auto"/>
        <w:left w:val="none" w:sz="0" w:space="0" w:color="auto"/>
        <w:bottom w:val="none" w:sz="0" w:space="0" w:color="auto"/>
        <w:right w:val="none" w:sz="0" w:space="0" w:color="auto"/>
      </w:divBdr>
    </w:div>
    <w:div w:id="622032882">
      <w:bodyDiv w:val="1"/>
      <w:marLeft w:val="0"/>
      <w:marRight w:val="0"/>
      <w:marTop w:val="0"/>
      <w:marBottom w:val="0"/>
      <w:divBdr>
        <w:top w:val="none" w:sz="0" w:space="0" w:color="auto"/>
        <w:left w:val="none" w:sz="0" w:space="0" w:color="auto"/>
        <w:bottom w:val="none" w:sz="0" w:space="0" w:color="auto"/>
        <w:right w:val="none" w:sz="0" w:space="0" w:color="auto"/>
      </w:divBdr>
    </w:div>
    <w:div w:id="662779522">
      <w:bodyDiv w:val="1"/>
      <w:marLeft w:val="0"/>
      <w:marRight w:val="0"/>
      <w:marTop w:val="0"/>
      <w:marBottom w:val="0"/>
      <w:divBdr>
        <w:top w:val="none" w:sz="0" w:space="0" w:color="auto"/>
        <w:left w:val="none" w:sz="0" w:space="0" w:color="auto"/>
        <w:bottom w:val="none" w:sz="0" w:space="0" w:color="auto"/>
        <w:right w:val="none" w:sz="0" w:space="0" w:color="auto"/>
      </w:divBdr>
    </w:div>
    <w:div w:id="694162026">
      <w:bodyDiv w:val="1"/>
      <w:marLeft w:val="0"/>
      <w:marRight w:val="0"/>
      <w:marTop w:val="0"/>
      <w:marBottom w:val="0"/>
      <w:divBdr>
        <w:top w:val="none" w:sz="0" w:space="0" w:color="auto"/>
        <w:left w:val="none" w:sz="0" w:space="0" w:color="auto"/>
        <w:bottom w:val="none" w:sz="0" w:space="0" w:color="auto"/>
        <w:right w:val="none" w:sz="0" w:space="0" w:color="auto"/>
      </w:divBdr>
    </w:div>
    <w:div w:id="698821098">
      <w:bodyDiv w:val="1"/>
      <w:marLeft w:val="0"/>
      <w:marRight w:val="0"/>
      <w:marTop w:val="0"/>
      <w:marBottom w:val="0"/>
      <w:divBdr>
        <w:top w:val="none" w:sz="0" w:space="0" w:color="auto"/>
        <w:left w:val="none" w:sz="0" w:space="0" w:color="auto"/>
        <w:bottom w:val="none" w:sz="0" w:space="0" w:color="auto"/>
        <w:right w:val="none" w:sz="0" w:space="0" w:color="auto"/>
      </w:divBdr>
    </w:div>
    <w:div w:id="711076320">
      <w:bodyDiv w:val="1"/>
      <w:marLeft w:val="0"/>
      <w:marRight w:val="0"/>
      <w:marTop w:val="0"/>
      <w:marBottom w:val="0"/>
      <w:divBdr>
        <w:top w:val="none" w:sz="0" w:space="0" w:color="auto"/>
        <w:left w:val="none" w:sz="0" w:space="0" w:color="auto"/>
        <w:bottom w:val="none" w:sz="0" w:space="0" w:color="auto"/>
        <w:right w:val="none" w:sz="0" w:space="0" w:color="auto"/>
      </w:divBdr>
    </w:div>
    <w:div w:id="782462308">
      <w:bodyDiv w:val="1"/>
      <w:marLeft w:val="0"/>
      <w:marRight w:val="0"/>
      <w:marTop w:val="0"/>
      <w:marBottom w:val="0"/>
      <w:divBdr>
        <w:top w:val="none" w:sz="0" w:space="0" w:color="auto"/>
        <w:left w:val="none" w:sz="0" w:space="0" w:color="auto"/>
        <w:bottom w:val="none" w:sz="0" w:space="0" w:color="auto"/>
        <w:right w:val="none" w:sz="0" w:space="0" w:color="auto"/>
      </w:divBdr>
    </w:div>
    <w:div w:id="797065889">
      <w:bodyDiv w:val="1"/>
      <w:marLeft w:val="0"/>
      <w:marRight w:val="0"/>
      <w:marTop w:val="0"/>
      <w:marBottom w:val="0"/>
      <w:divBdr>
        <w:top w:val="none" w:sz="0" w:space="0" w:color="auto"/>
        <w:left w:val="none" w:sz="0" w:space="0" w:color="auto"/>
        <w:bottom w:val="none" w:sz="0" w:space="0" w:color="auto"/>
        <w:right w:val="none" w:sz="0" w:space="0" w:color="auto"/>
      </w:divBdr>
    </w:div>
    <w:div w:id="830758260">
      <w:bodyDiv w:val="1"/>
      <w:marLeft w:val="0"/>
      <w:marRight w:val="0"/>
      <w:marTop w:val="0"/>
      <w:marBottom w:val="0"/>
      <w:divBdr>
        <w:top w:val="none" w:sz="0" w:space="0" w:color="auto"/>
        <w:left w:val="none" w:sz="0" w:space="0" w:color="auto"/>
        <w:bottom w:val="none" w:sz="0" w:space="0" w:color="auto"/>
        <w:right w:val="none" w:sz="0" w:space="0" w:color="auto"/>
      </w:divBdr>
    </w:div>
    <w:div w:id="841549736">
      <w:bodyDiv w:val="1"/>
      <w:marLeft w:val="0"/>
      <w:marRight w:val="0"/>
      <w:marTop w:val="0"/>
      <w:marBottom w:val="0"/>
      <w:divBdr>
        <w:top w:val="none" w:sz="0" w:space="0" w:color="auto"/>
        <w:left w:val="none" w:sz="0" w:space="0" w:color="auto"/>
        <w:bottom w:val="none" w:sz="0" w:space="0" w:color="auto"/>
        <w:right w:val="none" w:sz="0" w:space="0" w:color="auto"/>
      </w:divBdr>
    </w:div>
    <w:div w:id="870071512">
      <w:bodyDiv w:val="1"/>
      <w:marLeft w:val="0"/>
      <w:marRight w:val="0"/>
      <w:marTop w:val="0"/>
      <w:marBottom w:val="0"/>
      <w:divBdr>
        <w:top w:val="none" w:sz="0" w:space="0" w:color="auto"/>
        <w:left w:val="none" w:sz="0" w:space="0" w:color="auto"/>
        <w:bottom w:val="none" w:sz="0" w:space="0" w:color="auto"/>
        <w:right w:val="none" w:sz="0" w:space="0" w:color="auto"/>
      </w:divBdr>
    </w:div>
    <w:div w:id="901255323">
      <w:bodyDiv w:val="1"/>
      <w:marLeft w:val="0"/>
      <w:marRight w:val="0"/>
      <w:marTop w:val="0"/>
      <w:marBottom w:val="0"/>
      <w:divBdr>
        <w:top w:val="none" w:sz="0" w:space="0" w:color="auto"/>
        <w:left w:val="none" w:sz="0" w:space="0" w:color="auto"/>
        <w:bottom w:val="none" w:sz="0" w:space="0" w:color="auto"/>
        <w:right w:val="none" w:sz="0" w:space="0" w:color="auto"/>
      </w:divBdr>
    </w:div>
    <w:div w:id="911886592">
      <w:bodyDiv w:val="1"/>
      <w:marLeft w:val="0"/>
      <w:marRight w:val="0"/>
      <w:marTop w:val="0"/>
      <w:marBottom w:val="0"/>
      <w:divBdr>
        <w:top w:val="none" w:sz="0" w:space="0" w:color="auto"/>
        <w:left w:val="none" w:sz="0" w:space="0" w:color="auto"/>
        <w:bottom w:val="none" w:sz="0" w:space="0" w:color="auto"/>
        <w:right w:val="none" w:sz="0" w:space="0" w:color="auto"/>
      </w:divBdr>
    </w:div>
    <w:div w:id="912349316">
      <w:bodyDiv w:val="1"/>
      <w:marLeft w:val="0"/>
      <w:marRight w:val="0"/>
      <w:marTop w:val="0"/>
      <w:marBottom w:val="0"/>
      <w:divBdr>
        <w:top w:val="none" w:sz="0" w:space="0" w:color="auto"/>
        <w:left w:val="none" w:sz="0" w:space="0" w:color="auto"/>
        <w:bottom w:val="none" w:sz="0" w:space="0" w:color="auto"/>
        <w:right w:val="none" w:sz="0" w:space="0" w:color="auto"/>
      </w:divBdr>
    </w:div>
    <w:div w:id="915894681">
      <w:bodyDiv w:val="1"/>
      <w:marLeft w:val="0"/>
      <w:marRight w:val="0"/>
      <w:marTop w:val="0"/>
      <w:marBottom w:val="0"/>
      <w:divBdr>
        <w:top w:val="none" w:sz="0" w:space="0" w:color="auto"/>
        <w:left w:val="none" w:sz="0" w:space="0" w:color="auto"/>
        <w:bottom w:val="none" w:sz="0" w:space="0" w:color="auto"/>
        <w:right w:val="none" w:sz="0" w:space="0" w:color="auto"/>
      </w:divBdr>
    </w:div>
    <w:div w:id="994917725">
      <w:bodyDiv w:val="1"/>
      <w:marLeft w:val="0"/>
      <w:marRight w:val="0"/>
      <w:marTop w:val="0"/>
      <w:marBottom w:val="0"/>
      <w:divBdr>
        <w:top w:val="none" w:sz="0" w:space="0" w:color="auto"/>
        <w:left w:val="none" w:sz="0" w:space="0" w:color="auto"/>
        <w:bottom w:val="none" w:sz="0" w:space="0" w:color="auto"/>
        <w:right w:val="none" w:sz="0" w:space="0" w:color="auto"/>
      </w:divBdr>
    </w:div>
    <w:div w:id="998920021">
      <w:bodyDiv w:val="1"/>
      <w:marLeft w:val="0"/>
      <w:marRight w:val="0"/>
      <w:marTop w:val="0"/>
      <w:marBottom w:val="0"/>
      <w:divBdr>
        <w:top w:val="none" w:sz="0" w:space="0" w:color="auto"/>
        <w:left w:val="none" w:sz="0" w:space="0" w:color="auto"/>
        <w:bottom w:val="none" w:sz="0" w:space="0" w:color="auto"/>
        <w:right w:val="none" w:sz="0" w:space="0" w:color="auto"/>
      </w:divBdr>
    </w:div>
    <w:div w:id="1033732043">
      <w:bodyDiv w:val="1"/>
      <w:marLeft w:val="0"/>
      <w:marRight w:val="0"/>
      <w:marTop w:val="0"/>
      <w:marBottom w:val="0"/>
      <w:divBdr>
        <w:top w:val="none" w:sz="0" w:space="0" w:color="auto"/>
        <w:left w:val="none" w:sz="0" w:space="0" w:color="auto"/>
        <w:bottom w:val="none" w:sz="0" w:space="0" w:color="auto"/>
        <w:right w:val="none" w:sz="0" w:space="0" w:color="auto"/>
      </w:divBdr>
    </w:div>
    <w:div w:id="1044598226">
      <w:bodyDiv w:val="1"/>
      <w:marLeft w:val="0"/>
      <w:marRight w:val="0"/>
      <w:marTop w:val="0"/>
      <w:marBottom w:val="0"/>
      <w:divBdr>
        <w:top w:val="none" w:sz="0" w:space="0" w:color="auto"/>
        <w:left w:val="none" w:sz="0" w:space="0" w:color="auto"/>
        <w:bottom w:val="none" w:sz="0" w:space="0" w:color="auto"/>
        <w:right w:val="none" w:sz="0" w:space="0" w:color="auto"/>
      </w:divBdr>
    </w:div>
    <w:div w:id="1072898059">
      <w:bodyDiv w:val="1"/>
      <w:marLeft w:val="0"/>
      <w:marRight w:val="0"/>
      <w:marTop w:val="0"/>
      <w:marBottom w:val="0"/>
      <w:divBdr>
        <w:top w:val="none" w:sz="0" w:space="0" w:color="auto"/>
        <w:left w:val="none" w:sz="0" w:space="0" w:color="auto"/>
        <w:bottom w:val="none" w:sz="0" w:space="0" w:color="auto"/>
        <w:right w:val="none" w:sz="0" w:space="0" w:color="auto"/>
      </w:divBdr>
    </w:div>
    <w:div w:id="1083725844">
      <w:bodyDiv w:val="1"/>
      <w:marLeft w:val="0"/>
      <w:marRight w:val="0"/>
      <w:marTop w:val="0"/>
      <w:marBottom w:val="0"/>
      <w:divBdr>
        <w:top w:val="none" w:sz="0" w:space="0" w:color="auto"/>
        <w:left w:val="none" w:sz="0" w:space="0" w:color="auto"/>
        <w:bottom w:val="none" w:sz="0" w:space="0" w:color="auto"/>
        <w:right w:val="none" w:sz="0" w:space="0" w:color="auto"/>
      </w:divBdr>
    </w:div>
    <w:div w:id="1092168563">
      <w:bodyDiv w:val="1"/>
      <w:marLeft w:val="0"/>
      <w:marRight w:val="0"/>
      <w:marTop w:val="0"/>
      <w:marBottom w:val="0"/>
      <w:divBdr>
        <w:top w:val="none" w:sz="0" w:space="0" w:color="auto"/>
        <w:left w:val="none" w:sz="0" w:space="0" w:color="auto"/>
        <w:bottom w:val="none" w:sz="0" w:space="0" w:color="auto"/>
        <w:right w:val="none" w:sz="0" w:space="0" w:color="auto"/>
      </w:divBdr>
    </w:div>
    <w:div w:id="1102846704">
      <w:bodyDiv w:val="1"/>
      <w:marLeft w:val="0"/>
      <w:marRight w:val="0"/>
      <w:marTop w:val="0"/>
      <w:marBottom w:val="0"/>
      <w:divBdr>
        <w:top w:val="none" w:sz="0" w:space="0" w:color="auto"/>
        <w:left w:val="none" w:sz="0" w:space="0" w:color="auto"/>
        <w:bottom w:val="none" w:sz="0" w:space="0" w:color="auto"/>
        <w:right w:val="none" w:sz="0" w:space="0" w:color="auto"/>
      </w:divBdr>
    </w:div>
    <w:div w:id="1109423471">
      <w:bodyDiv w:val="1"/>
      <w:marLeft w:val="0"/>
      <w:marRight w:val="0"/>
      <w:marTop w:val="0"/>
      <w:marBottom w:val="0"/>
      <w:divBdr>
        <w:top w:val="none" w:sz="0" w:space="0" w:color="auto"/>
        <w:left w:val="none" w:sz="0" w:space="0" w:color="auto"/>
        <w:bottom w:val="none" w:sz="0" w:space="0" w:color="auto"/>
        <w:right w:val="none" w:sz="0" w:space="0" w:color="auto"/>
      </w:divBdr>
    </w:div>
    <w:div w:id="1126579288">
      <w:bodyDiv w:val="1"/>
      <w:marLeft w:val="0"/>
      <w:marRight w:val="0"/>
      <w:marTop w:val="0"/>
      <w:marBottom w:val="0"/>
      <w:divBdr>
        <w:top w:val="none" w:sz="0" w:space="0" w:color="auto"/>
        <w:left w:val="none" w:sz="0" w:space="0" w:color="auto"/>
        <w:bottom w:val="none" w:sz="0" w:space="0" w:color="auto"/>
        <w:right w:val="none" w:sz="0" w:space="0" w:color="auto"/>
      </w:divBdr>
    </w:div>
    <w:div w:id="1148279644">
      <w:bodyDiv w:val="1"/>
      <w:marLeft w:val="0"/>
      <w:marRight w:val="0"/>
      <w:marTop w:val="0"/>
      <w:marBottom w:val="0"/>
      <w:divBdr>
        <w:top w:val="none" w:sz="0" w:space="0" w:color="auto"/>
        <w:left w:val="none" w:sz="0" w:space="0" w:color="auto"/>
        <w:bottom w:val="none" w:sz="0" w:space="0" w:color="auto"/>
        <w:right w:val="none" w:sz="0" w:space="0" w:color="auto"/>
      </w:divBdr>
    </w:div>
    <w:div w:id="1215048107">
      <w:bodyDiv w:val="1"/>
      <w:marLeft w:val="0"/>
      <w:marRight w:val="0"/>
      <w:marTop w:val="0"/>
      <w:marBottom w:val="0"/>
      <w:divBdr>
        <w:top w:val="none" w:sz="0" w:space="0" w:color="auto"/>
        <w:left w:val="none" w:sz="0" w:space="0" w:color="auto"/>
        <w:bottom w:val="none" w:sz="0" w:space="0" w:color="auto"/>
        <w:right w:val="none" w:sz="0" w:space="0" w:color="auto"/>
      </w:divBdr>
    </w:div>
    <w:div w:id="1232231737">
      <w:bodyDiv w:val="1"/>
      <w:marLeft w:val="0"/>
      <w:marRight w:val="0"/>
      <w:marTop w:val="0"/>
      <w:marBottom w:val="0"/>
      <w:divBdr>
        <w:top w:val="none" w:sz="0" w:space="0" w:color="auto"/>
        <w:left w:val="none" w:sz="0" w:space="0" w:color="auto"/>
        <w:bottom w:val="none" w:sz="0" w:space="0" w:color="auto"/>
        <w:right w:val="none" w:sz="0" w:space="0" w:color="auto"/>
      </w:divBdr>
    </w:div>
    <w:div w:id="1237477259">
      <w:bodyDiv w:val="1"/>
      <w:marLeft w:val="0"/>
      <w:marRight w:val="0"/>
      <w:marTop w:val="0"/>
      <w:marBottom w:val="0"/>
      <w:divBdr>
        <w:top w:val="none" w:sz="0" w:space="0" w:color="auto"/>
        <w:left w:val="none" w:sz="0" w:space="0" w:color="auto"/>
        <w:bottom w:val="none" w:sz="0" w:space="0" w:color="auto"/>
        <w:right w:val="none" w:sz="0" w:space="0" w:color="auto"/>
      </w:divBdr>
    </w:div>
    <w:div w:id="1257471863">
      <w:bodyDiv w:val="1"/>
      <w:marLeft w:val="0"/>
      <w:marRight w:val="0"/>
      <w:marTop w:val="0"/>
      <w:marBottom w:val="0"/>
      <w:divBdr>
        <w:top w:val="none" w:sz="0" w:space="0" w:color="auto"/>
        <w:left w:val="none" w:sz="0" w:space="0" w:color="auto"/>
        <w:bottom w:val="none" w:sz="0" w:space="0" w:color="auto"/>
        <w:right w:val="none" w:sz="0" w:space="0" w:color="auto"/>
      </w:divBdr>
    </w:div>
    <w:div w:id="1377464446">
      <w:bodyDiv w:val="1"/>
      <w:marLeft w:val="0"/>
      <w:marRight w:val="0"/>
      <w:marTop w:val="0"/>
      <w:marBottom w:val="0"/>
      <w:divBdr>
        <w:top w:val="none" w:sz="0" w:space="0" w:color="auto"/>
        <w:left w:val="none" w:sz="0" w:space="0" w:color="auto"/>
        <w:bottom w:val="none" w:sz="0" w:space="0" w:color="auto"/>
        <w:right w:val="none" w:sz="0" w:space="0" w:color="auto"/>
      </w:divBdr>
      <w:divsChild>
        <w:div w:id="427625279">
          <w:marLeft w:val="1411"/>
          <w:marRight w:val="0"/>
          <w:marTop w:val="0"/>
          <w:marBottom w:val="0"/>
          <w:divBdr>
            <w:top w:val="none" w:sz="0" w:space="0" w:color="auto"/>
            <w:left w:val="none" w:sz="0" w:space="0" w:color="auto"/>
            <w:bottom w:val="none" w:sz="0" w:space="0" w:color="auto"/>
            <w:right w:val="none" w:sz="0" w:space="0" w:color="auto"/>
          </w:divBdr>
        </w:div>
        <w:div w:id="568031031">
          <w:marLeft w:val="1411"/>
          <w:marRight w:val="0"/>
          <w:marTop w:val="0"/>
          <w:marBottom w:val="0"/>
          <w:divBdr>
            <w:top w:val="none" w:sz="0" w:space="0" w:color="auto"/>
            <w:left w:val="none" w:sz="0" w:space="0" w:color="auto"/>
            <w:bottom w:val="none" w:sz="0" w:space="0" w:color="auto"/>
            <w:right w:val="none" w:sz="0" w:space="0" w:color="auto"/>
          </w:divBdr>
        </w:div>
        <w:div w:id="1324119449">
          <w:marLeft w:val="1411"/>
          <w:marRight w:val="0"/>
          <w:marTop w:val="0"/>
          <w:marBottom w:val="0"/>
          <w:divBdr>
            <w:top w:val="none" w:sz="0" w:space="0" w:color="auto"/>
            <w:left w:val="none" w:sz="0" w:space="0" w:color="auto"/>
            <w:bottom w:val="none" w:sz="0" w:space="0" w:color="auto"/>
            <w:right w:val="none" w:sz="0" w:space="0" w:color="auto"/>
          </w:divBdr>
        </w:div>
        <w:div w:id="1373193343">
          <w:marLeft w:val="562"/>
          <w:marRight w:val="0"/>
          <w:marTop w:val="0"/>
          <w:marBottom w:val="0"/>
          <w:divBdr>
            <w:top w:val="none" w:sz="0" w:space="0" w:color="auto"/>
            <w:left w:val="none" w:sz="0" w:space="0" w:color="auto"/>
            <w:bottom w:val="none" w:sz="0" w:space="0" w:color="auto"/>
            <w:right w:val="none" w:sz="0" w:space="0" w:color="auto"/>
          </w:divBdr>
        </w:div>
        <w:div w:id="1684472485">
          <w:marLeft w:val="1411"/>
          <w:marRight w:val="0"/>
          <w:marTop w:val="0"/>
          <w:marBottom w:val="0"/>
          <w:divBdr>
            <w:top w:val="none" w:sz="0" w:space="0" w:color="auto"/>
            <w:left w:val="none" w:sz="0" w:space="0" w:color="auto"/>
            <w:bottom w:val="none" w:sz="0" w:space="0" w:color="auto"/>
            <w:right w:val="none" w:sz="0" w:space="0" w:color="auto"/>
          </w:divBdr>
        </w:div>
        <w:div w:id="1732801658">
          <w:marLeft w:val="1411"/>
          <w:marRight w:val="0"/>
          <w:marTop w:val="0"/>
          <w:marBottom w:val="0"/>
          <w:divBdr>
            <w:top w:val="none" w:sz="0" w:space="0" w:color="auto"/>
            <w:left w:val="none" w:sz="0" w:space="0" w:color="auto"/>
            <w:bottom w:val="none" w:sz="0" w:space="0" w:color="auto"/>
            <w:right w:val="none" w:sz="0" w:space="0" w:color="auto"/>
          </w:divBdr>
        </w:div>
        <w:div w:id="1783454252">
          <w:marLeft w:val="1411"/>
          <w:marRight w:val="0"/>
          <w:marTop w:val="0"/>
          <w:marBottom w:val="0"/>
          <w:divBdr>
            <w:top w:val="none" w:sz="0" w:space="0" w:color="auto"/>
            <w:left w:val="none" w:sz="0" w:space="0" w:color="auto"/>
            <w:bottom w:val="none" w:sz="0" w:space="0" w:color="auto"/>
            <w:right w:val="none" w:sz="0" w:space="0" w:color="auto"/>
          </w:divBdr>
        </w:div>
        <w:div w:id="2022313867">
          <w:marLeft w:val="562"/>
          <w:marRight w:val="0"/>
          <w:marTop w:val="0"/>
          <w:marBottom w:val="0"/>
          <w:divBdr>
            <w:top w:val="none" w:sz="0" w:space="0" w:color="auto"/>
            <w:left w:val="none" w:sz="0" w:space="0" w:color="auto"/>
            <w:bottom w:val="none" w:sz="0" w:space="0" w:color="auto"/>
            <w:right w:val="none" w:sz="0" w:space="0" w:color="auto"/>
          </w:divBdr>
        </w:div>
      </w:divsChild>
    </w:div>
    <w:div w:id="1378160490">
      <w:bodyDiv w:val="1"/>
      <w:marLeft w:val="0"/>
      <w:marRight w:val="0"/>
      <w:marTop w:val="0"/>
      <w:marBottom w:val="0"/>
      <w:divBdr>
        <w:top w:val="none" w:sz="0" w:space="0" w:color="auto"/>
        <w:left w:val="none" w:sz="0" w:space="0" w:color="auto"/>
        <w:bottom w:val="none" w:sz="0" w:space="0" w:color="auto"/>
        <w:right w:val="none" w:sz="0" w:space="0" w:color="auto"/>
      </w:divBdr>
    </w:div>
    <w:div w:id="1392388646">
      <w:bodyDiv w:val="1"/>
      <w:marLeft w:val="0"/>
      <w:marRight w:val="0"/>
      <w:marTop w:val="0"/>
      <w:marBottom w:val="0"/>
      <w:divBdr>
        <w:top w:val="none" w:sz="0" w:space="0" w:color="auto"/>
        <w:left w:val="none" w:sz="0" w:space="0" w:color="auto"/>
        <w:bottom w:val="none" w:sz="0" w:space="0" w:color="auto"/>
        <w:right w:val="none" w:sz="0" w:space="0" w:color="auto"/>
      </w:divBdr>
    </w:div>
    <w:div w:id="1394700840">
      <w:bodyDiv w:val="1"/>
      <w:marLeft w:val="0"/>
      <w:marRight w:val="0"/>
      <w:marTop w:val="0"/>
      <w:marBottom w:val="0"/>
      <w:divBdr>
        <w:top w:val="none" w:sz="0" w:space="0" w:color="auto"/>
        <w:left w:val="none" w:sz="0" w:space="0" w:color="auto"/>
        <w:bottom w:val="none" w:sz="0" w:space="0" w:color="auto"/>
        <w:right w:val="none" w:sz="0" w:space="0" w:color="auto"/>
      </w:divBdr>
    </w:div>
    <w:div w:id="1443498282">
      <w:bodyDiv w:val="1"/>
      <w:marLeft w:val="0"/>
      <w:marRight w:val="0"/>
      <w:marTop w:val="0"/>
      <w:marBottom w:val="0"/>
      <w:divBdr>
        <w:top w:val="none" w:sz="0" w:space="0" w:color="auto"/>
        <w:left w:val="none" w:sz="0" w:space="0" w:color="auto"/>
        <w:bottom w:val="none" w:sz="0" w:space="0" w:color="auto"/>
        <w:right w:val="none" w:sz="0" w:space="0" w:color="auto"/>
      </w:divBdr>
    </w:div>
    <w:div w:id="1453094426">
      <w:bodyDiv w:val="1"/>
      <w:marLeft w:val="0"/>
      <w:marRight w:val="0"/>
      <w:marTop w:val="0"/>
      <w:marBottom w:val="0"/>
      <w:divBdr>
        <w:top w:val="none" w:sz="0" w:space="0" w:color="auto"/>
        <w:left w:val="none" w:sz="0" w:space="0" w:color="auto"/>
        <w:bottom w:val="none" w:sz="0" w:space="0" w:color="auto"/>
        <w:right w:val="none" w:sz="0" w:space="0" w:color="auto"/>
      </w:divBdr>
    </w:div>
    <w:div w:id="1453982357">
      <w:bodyDiv w:val="1"/>
      <w:marLeft w:val="0"/>
      <w:marRight w:val="0"/>
      <w:marTop w:val="0"/>
      <w:marBottom w:val="0"/>
      <w:divBdr>
        <w:top w:val="none" w:sz="0" w:space="0" w:color="auto"/>
        <w:left w:val="none" w:sz="0" w:space="0" w:color="auto"/>
        <w:bottom w:val="none" w:sz="0" w:space="0" w:color="auto"/>
        <w:right w:val="none" w:sz="0" w:space="0" w:color="auto"/>
      </w:divBdr>
    </w:div>
    <w:div w:id="1462914901">
      <w:bodyDiv w:val="1"/>
      <w:marLeft w:val="0"/>
      <w:marRight w:val="0"/>
      <w:marTop w:val="0"/>
      <w:marBottom w:val="0"/>
      <w:divBdr>
        <w:top w:val="none" w:sz="0" w:space="0" w:color="auto"/>
        <w:left w:val="none" w:sz="0" w:space="0" w:color="auto"/>
        <w:bottom w:val="none" w:sz="0" w:space="0" w:color="auto"/>
        <w:right w:val="none" w:sz="0" w:space="0" w:color="auto"/>
      </w:divBdr>
    </w:div>
    <w:div w:id="1562866229">
      <w:bodyDiv w:val="1"/>
      <w:marLeft w:val="0"/>
      <w:marRight w:val="0"/>
      <w:marTop w:val="0"/>
      <w:marBottom w:val="0"/>
      <w:divBdr>
        <w:top w:val="none" w:sz="0" w:space="0" w:color="auto"/>
        <w:left w:val="none" w:sz="0" w:space="0" w:color="auto"/>
        <w:bottom w:val="none" w:sz="0" w:space="0" w:color="auto"/>
        <w:right w:val="none" w:sz="0" w:space="0" w:color="auto"/>
      </w:divBdr>
      <w:divsChild>
        <w:div w:id="842008112">
          <w:marLeft w:val="432"/>
          <w:marRight w:val="0"/>
          <w:marTop w:val="0"/>
          <w:marBottom w:val="0"/>
          <w:divBdr>
            <w:top w:val="none" w:sz="0" w:space="0" w:color="auto"/>
            <w:left w:val="none" w:sz="0" w:space="0" w:color="auto"/>
            <w:bottom w:val="none" w:sz="0" w:space="0" w:color="auto"/>
            <w:right w:val="none" w:sz="0" w:space="0" w:color="auto"/>
          </w:divBdr>
        </w:div>
        <w:div w:id="960261310">
          <w:marLeft w:val="432"/>
          <w:marRight w:val="0"/>
          <w:marTop w:val="0"/>
          <w:marBottom w:val="0"/>
          <w:divBdr>
            <w:top w:val="none" w:sz="0" w:space="0" w:color="auto"/>
            <w:left w:val="none" w:sz="0" w:space="0" w:color="auto"/>
            <w:bottom w:val="none" w:sz="0" w:space="0" w:color="auto"/>
            <w:right w:val="none" w:sz="0" w:space="0" w:color="auto"/>
          </w:divBdr>
        </w:div>
        <w:div w:id="1004744843">
          <w:marLeft w:val="432"/>
          <w:marRight w:val="0"/>
          <w:marTop w:val="0"/>
          <w:marBottom w:val="0"/>
          <w:divBdr>
            <w:top w:val="none" w:sz="0" w:space="0" w:color="auto"/>
            <w:left w:val="none" w:sz="0" w:space="0" w:color="auto"/>
            <w:bottom w:val="none" w:sz="0" w:space="0" w:color="auto"/>
            <w:right w:val="none" w:sz="0" w:space="0" w:color="auto"/>
          </w:divBdr>
        </w:div>
        <w:div w:id="1449617494">
          <w:marLeft w:val="432"/>
          <w:marRight w:val="0"/>
          <w:marTop w:val="0"/>
          <w:marBottom w:val="0"/>
          <w:divBdr>
            <w:top w:val="none" w:sz="0" w:space="0" w:color="auto"/>
            <w:left w:val="none" w:sz="0" w:space="0" w:color="auto"/>
            <w:bottom w:val="none" w:sz="0" w:space="0" w:color="auto"/>
            <w:right w:val="none" w:sz="0" w:space="0" w:color="auto"/>
          </w:divBdr>
        </w:div>
        <w:div w:id="1642155400">
          <w:marLeft w:val="432"/>
          <w:marRight w:val="0"/>
          <w:marTop w:val="0"/>
          <w:marBottom w:val="0"/>
          <w:divBdr>
            <w:top w:val="none" w:sz="0" w:space="0" w:color="auto"/>
            <w:left w:val="none" w:sz="0" w:space="0" w:color="auto"/>
            <w:bottom w:val="none" w:sz="0" w:space="0" w:color="auto"/>
            <w:right w:val="none" w:sz="0" w:space="0" w:color="auto"/>
          </w:divBdr>
        </w:div>
      </w:divsChild>
    </w:div>
    <w:div w:id="1582059570">
      <w:bodyDiv w:val="1"/>
      <w:marLeft w:val="0"/>
      <w:marRight w:val="0"/>
      <w:marTop w:val="0"/>
      <w:marBottom w:val="0"/>
      <w:divBdr>
        <w:top w:val="none" w:sz="0" w:space="0" w:color="auto"/>
        <w:left w:val="none" w:sz="0" w:space="0" w:color="auto"/>
        <w:bottom w:val="none" w:sz="0" w:space="0" w:color="auto"/>
        <w:right w:val="none" w:sz="0" w:space="0" w:color="auto"/>
      </w:divBdr>
    </w:div>
    <w:div w:id="1585410920">
      <w:bodyDiv w:val="1"/>
      <w:marLeft w:val="0"/>
      <w:marRight w:val="0"/>
      <w:marTop w:val="0"/>
      <w:marBottom w:val="0"/>
      <w:divBdr>
        <w:top w:val="none" w:sz="0" w:space="0" w:color="auto"/>
        <w:left w:val="none" w:sz="0" w:space="0" w:color="auto"/>
        <w:bottom w:val="none" w:sz="0" w:space="0" w:color="auto"/>
        <w:right w:val="none" w:sz="0" w:space="0" w:color="auto"/>
      </w:divBdr>
    </w:div>
    <w:div w:id="1616406584">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80155601">
      <w:bodyDiv w:val="1"/>
      <w:marLeft w:val="0"/>
      <w:marRight w:val="0"/>
      <w:marTop w:val="0"/>
      <w:marBottom w:val="0"/>
      <w:divBdr>
        <w:top w:val="none" w:sz="0" w:space="0" w:color="auto"/>
        <w:left w:val="none" w:sz="0" w:space="0" w:color="auto"/>
        <w:bottom w:val="none" w:sz="0" w:space="0" w:color="auto"/>
        <w:right w:val="none" w:sz="0" w:space="0" w:color="auto"/>
      </w:divBdr>
    </w:div>
    <w:div w:id="1750349545">
      <w:bodyDiv w:val="1"/>
      <w:marLeft w:val="0"/>
      <w:marRight w:val="0"/>
      <w:marTop w:val="0"/>
      <w:marBottom w:val="0"/>
      <w:divBdr>
        <w:top w:val="none" w:sz="0" w:space="0" w:color="auto"/>
        <w:left w:val="none" w:sz="0" w:space="0" w:color="auto"/>
        <w:bottom w:val="none" w:sz="0" w:space="0" w:color="auto"/>
        <w:right w:val="none" w:sz="0" w:space="0" w:color="auto"/>
      </w:divBdr>
    </w:div>
    <w:div w:id="1793595793">
      <w:bodyDiv w:val="1"/>
      <w:marLeft w:val="0"/>
      <w:marRight w:val="0"/>
      <w:marTop w:val="0"/>
      <w:marBottom w:val="0"/>
      <w:divBdr>
        <w:top w:val="none" w:sz="0" w:space="0" w:color="auto"/>
        <w:left w:val="none" w:sz="0" w:space="0" w:color="auto"/>
        <w:bottom w:val="none" w:sz="0" w:space="0" w:color="auto"/>
        <w:right w:val="none" w:sz="0" w:space="0" w:color="auto"/>
      </w:divBdr>
    </w:div>
    <w:div w:id="1926306342">
      <w:bodyDiv w:val="1"/>
      <w:marLeft w:val="0"/>
      <w:marRight w:val="0"/>
      <w:marTop w:val="0"/>
      <w:marBottom w:val="0"/>
      <w:divBdr>
        <w:top w:val="none" w:sz="0" w:space="0" w:color="auto"/>
        <w:left w:val="none" w:sz="0" w:space="0" w:color="auto"/>
        <w:bottom w:val="none" w:sz="0" w:space="0" w:color="auto"/>
        <w:right w:val="none" w:sz="0" w:space="0" w:color="auto"/>
      </w:divBdr>
      <w:divsChild>
        <w:div w:id="706683369">
          <w:marLeft w:val="446"/>
          <w:marRight w:val="0"/>
          <w:marTop w:val="0"/>
          <w:marBottom w:val="0"/>
          <w:divBdr>
            <w:top w:val="none" w:sz="0" w:space="0" w:color="auto"/>
            <w:left w:val="none" w:sz="0" w:space="0" w:color="auto"/>
            <w:bottom w:val="none" w:sz="0" w:space="0" w:color="auto"/>
            <w:right w:val="none" w:sz="0" w:space="0" w:color="auto"/>
          </w:divBdr>
        </w:div>
        <w:div w:id="1413968053">
          <w:marLeft w:val="446"/>
          <w:marRight w:val="0"/>
          <w:marTop w:val="0"/>
          <w:marBottom w:val="0"/>
          <w:divBdr>
            <w:top w:val="none" w:sz="0" w:space="0" w:color="auto"/>
            <w:left w:val="none" w:sz="0" w:space="0" w:color="auto"/>
            <w:bottom w:val="none" w:sz="0" w:space="0" w:color="auto"/>
            <w:right w:val="none" w:sz="0" w:space="0" w:color="auto"/>
          </w:divBdr>
        </w:div>
        <w:div w:id="1800881046">
          <w:marLeft w:val="446"/>
          <w:marRight w:val="0"/>
          <w:marTop w:val="0"/>
          <w:marBottom w:val="0"/>
          <w:divBdr>
            <w:top w:val="none" w:sz="0" w:space="0" w:color="auto"/>
            <w:left w:val="none" w:sz="0" w:space="0" w:color="auto"/>
            <w:bottom w:val="none" w:sz="0" w:space="0" w:color="auto"/>
            <w:right w:val="none" w:sz="0" w:space="0" w:color="auto"/>
          </w:divBdr>
        </w:div>
      </w:divsChild>
    </w:div>
    <w:div w:id="1926647794">
      <w:bodyDiv w:val="1"/>
      <w:marLeft w:val="0"/>
      <w:marRight w:val="0"/>
      <w:marTop w:val="0"/>
      <w:marBottom w:val="0"/>
      <w:divBdr>
        <w:top w:val="none" w:sz="0" w:space="0" w:color="auto"/>
        <w:left w:val="none" w:sz="0" w:space="0" w:color="auto"/>
        <w:bottom w:val="none" w:sz="0" w:space="0" w:color="auto"/>
        <w:right w:val="none" w:sz="0" w:space="0" w:color="auto"/>
      </w:divBdr>
    </w:div>
    <w:div w:id="1927500358">
      <w:bodyDiv w:val="1"/>
      <w:marLeft w:val="0"/>
      <w:marRight w:val="0"/>
      <w:marTop w:val="0"/>
      <w:marBottom w:val="0"/>
      <w:divBdr>
        <w:top w:val="none" w:sz="0" w:space="0" w:color="auto"/>
        <w:left w:val="none" w:sz="0" w:space="0" w:color="auto"/>
        <w:bottom w:val="none" w:sz="0" w:space="0" w:color="auto"/>
        <w:right w:val="none" w:sz="0" w:space="0" w:color="auto"/>
      </w:divBdr>
      <w:divsChild>
        <w:div w:id="111636357">
          <w:marLeft w:val="446"/>
          <w:marRight w:val="0"/>
          <w:marTop w:val="0"/>
          <w:marBottom w:val="0"/>
          <w:divBdr>
            <w:top w:val="none" w:sz="0" w:space="0" w:color="auto"/>
            <w:left w:val="none" w:sz="0" w:space="0" w:color="auto"/>
            <w:bottom w:val="none" w:sz="0" w:space="0" w:color="auto"/>
            <w:right w:val="none" w:sz="0" w:space="0" w:color="auto"/>
          </w:divBdr>
        </w:div>
        <w:div w:id="265116485">
          <w:marLeft w:val="446"/>
          <w:marRight w:val="0"/>
          <w:marTop w:val="0"/>
          <w:marBottom w:val="0"/>
          <w:divBdr>
            <w:top w:val="none" w:sz="0" w:space="0" w:color="auto"/>
            <w:left w:val="none" w:sz="0" w:space="0" w:color="auto"/>
            <w:bottom w:val="none" w:sz="0" w:space="0" w:color="auto"/>
            <w:right w:val="none" w:sz="0" w:space="0" w:color="auto"/>
          </w:divBdr>
        </w:div>
        <w:div w:id="1220169965">
          <w:marLeft w:val="446"/>
          <w:marRight w:val="0"/>
          <w:marTop w:val="0"/>
          <w:marBottom w:val="0"/>
          <w:divBdr>
            <w:top w:val="none" w:sz="0" w:space="0" w:color="auto"/>
            <w:left w:val="none" w:sz="0" w:space="0" w:color="auto"/>
            <w:bottom w:val="none" w:sz="0" w:space="0" w:color="auto"/>
            <w:right w:val="none" w:sz="0" w:space="0" w:color="auto"/>
          </w:divBdr>
        </w:div>
        <w:div w:id="1231111033">
          <w:marLeft w:val="446"/>
          <w:marRight w:val="0"/>
          <w:marTop w:val="0"/>
          <w:marBottom w:val="0"/>
          <w:divBdr>
            <w:top w:val="none" w:sz="0" w:space="0" w:color="auto"/>
            <w:left w:val="none" w:sz="0" w:space="0" w:color="auto"/>
            <w:bottom w:val="none" w:sz="0" w:space="0" w:color="auto"/>
            <w:right w:val="none" w:sz="0" w:space="0" w:color="auto"/>
          </w:divBdr>
        </w:div>
        <w:div w:id="1743327666">
          <w:marLeft w:val="446"/>
          <w:marRight w:val="0"/>
          <w:marTop w:val="0"/>
          <w:marBottom w:val="0"/>
          <w:divBdr>
            <w:top w:val="none" w:sz="0" w:space="0" w:color="auto"/>
            <w:left w:val="none" w:sz="0" w:space="0" w:color="auto"/>
            <w:bottom w:val="none" w:sz="0" w:space="0" w:color="auto"/>
            <w:right w:val="none" w:sz="0" w:space="0" w:color="auto"/>
          </w:divBdr>
        </w:div>
      </w:divsChild>
    </w:div>
    <w:div w:id="1935819426">
      <w:bodyDiv w:val="1"/>
      <w:marLeft w:val="0"/>
      <w:marRight w:val="0"/>
      <w:marTop w:val="0"/>
      <w:marBottom w:val="0"/>
      <w:divBdr>
        <w:top w:val="none" w:sz="0" w:space="0" w:color="auto"/>
        <w:left w:val="none" w:sz="0" w:space="0" w:color="auto"/>
        <w:bottom w:val="none" w:sz="0" w:space="0" w:color="auto"/>
        <w:right w:val="none" w:sz="0" w:space="0" w:color="auto"/>
      </w:divBdr>
    </w:div>
    <w:div w:id="1940601479">
      <w:bodyDiv w:val="1"/>
      <w:marLeft w:val="0"/>
      <w:marRight w:val="0"/>
      <w:marTop w:val="0"/>
      <w:marBottom w:val="0"/>
      <w:divBdr>
        <w:top w:val="none" w:sz="0" w:space="0" w:color="auto"/>
        <w:left w:val="none" w:sz="0" w:space="0" w:color="auto"/>
        <w:bottom w:val="none" w:sz="0" w:space="0" w:color="auto"/>
        <w:right w:val="none" w:sz="0" w:space="0" w:color="auto"/>
      </w:divBdr>
      <w:divsChild>
        <w:div w:id="393697833">
          <w:marLeft w:val="850"/>
          <w:marRight w:val="0"/>
          <w:marTop w:val="96"/>
          <w:marBottom w:val="0"/>
          <w:divBdr>
            <w:top w:val="none" w:sz="0" w:space="0" w:color="auto"/>
            <w:left w:val="none" w:sz="0" w:space="0" w:color="auto"/>
            <w:bottom w:val="none" w:sz="0" w:space="0" w:color="auto"/>
            <w:right w:val="none" w:sz="0" w:space="0" w:color="auto"/>
          </w:divBdr>
        </w:div>
        <w:div w:id="996568741">
          <w:marLeft w:val="850"/>
          <w:marRight w:val="0"/>
          <w:marTop w:val="96"/>
          <w:marBottom w:val="0"/>
          <w:divBdr>
            <w:top w:val="none" w:sz="0" w:space="0" w:color="auto"/>
            <w:left w:val="none" w:sz="0" w:space="0" w:color="auto"/>
            <w:bottom w:val="none" w:sz="0" w:space="0" w:color="auto"/>
            <w:right w:val="none" w:sz="0" w:space="0" w:color="auto"/>
          </w:divBdr>
        </w:div>
        <w:div w:id="1347247584">
          <w:marLeft w:val="850"/>
          <w:marRight w:val="0"/>
          <w:marTop w:val="96"/>
          <w:marBottom w:val="0"/>
          <w:divBdr>
            <w:top w:val="none" w:sz="0" w:space="0" w:color="auto"/>
            <w:left w:val="none" w:sz="0" w:space="0" w:color="auto"/>
            <w:bottom w:val="none" w:sz="0" w:space="0" w:color="auto"/>
            <w:right w:val="none" w:sz="0" w:space="0" w:color="auto"/>
          </w:divBdr>
        </w:div>
        <w:div w:id="1514804994">
          <w:marLeft w:val="850"/>
          <w:marRight w:val="0"/>
          <w:marTop w:val="96"/>
          <w:marBottom w:val="0"/>
          <w:divBdr>
            <w:top w:val="none" w:sz="0" w:space="0" w:color="auto"/>
            <w:left w:val="none" w:sz="0" w:space="0" w:color="auto"/>
            <w:bottom w:val="none" w:sz="0" w:space="0" w:color="auto"/>
            <w:right w:val="none" w:sz="0" w:space="0" w:color="auto"/>
          </w:divBdr>
        </w:div>
        <w:div w:id="2027633872">
          <w:marLeft w:val="850"/>
          <w:marRight w:val="0"/>
          <w:marTop w:val="96"/>
          <w:marBottom w:val="0"/>
          <w:divBdr>
            <w:top w:val="none" w:sz="0" w:space="0" w:color="auto"/>
            <w:left w:val="none" w:sz="0" w:space="0" w:color="auto"/>
            <w:bottom w:val="none" w:sz="0" w:space="0" w:color="auto"/>
            <w:right w:val="none" w:sz="0" w:space="0" w:color="auto"/>
          </w:divBdr>
        </w:div>
      </w:divsChild>
    </w:div>
    <w:div w:id="1942107982">
      <w:bodyDiv w:val="1"/>
      <w:marLeft w:val="0"/>
      <w:marRight w:val="0"/>
      <w:marTop w:val="0"/>
      <w:marBottom w:val="0"/>
      <w:divBdr>
        <w:top w:val="none" w:sz="0" w:space="0" w:color="auto"/>
        <w:left w:val="none" w:sz="0" w:space="0" w:color="auto"/>
        <w:bottom w:val="none" w:sz="0" w:space="0" w:color="auto"/>
        <w:right w:val="none" w:sz="0" w:space="0" w:color="auto"/>
      </w:divBdr>
    </w:div>
    <w:div w:id="1969160249">
      <w:bodyDiv w:val="1"/>
      <w:marLeft w:val="0"/>
      <w:marRight w:val="0"/>
      <w:marTop w:val="0"/>
      <w:marBottom w:val="0"/>
      <w:divBdr>
        <w:top w:val="none" w:sz="0" w:space="0" w:color="auto"/>
        <w:left w:val="none" w:sz="0" w:space="0" w:color="auto"/>
        <w:bottom w:val="none" w:sz="0" w:space="0" w:color="auto"/>
        <w:right w:val="none" w:sz="0" w:space="0" w:color="auto"/>
      </w:divBdr>
    </w:div>
    <w:div w:id="2000037407">
      <w:bodyDiv w:val="1"/>
      <w:marLeft w:val="0"/>
      <w:marRight w:val="0"/>
      <w:marTop w:val="0"/>
      <w:marBottom w:val="0"/>
      <w:divBdr>
        <w:top w:val="none" w:sz="0" w:space="0" w:color="auto"/>
        <w:left w:val="none" w:sz="0" w:space="0" w:color="auto"/>
        <w:bottom w:val="none" w:sz="0" w:space="0" w:color="auto"/>
        <w:right w:val="none" w:sz="0" w:space="0" w:color="auto"/>
      </w:divBdr>
    </w:div>
    <w:div w:id="2037193323">
      <w:bodyDiv w:val="1"/>
      <w:marLeft w:val="0"/>
      <w:marRight w:val="0"/>
      <w:marTop w:val="0"/>
      <w:marBottom w:val="0"/>
      <w:divBdr>
        <w:top w:val="none" w:sz="0" w:space="0" w:color="auto"/>
        <w:left w:val="none" w:sz="0" w:space="0" w:color="auto"/>
        <w:bottom w:val="none" w:sz="0" w:space="0" w:color="auto"/>
        <w:right w:val="none" w:sz="0" w:space="0" w:color="auto"/>
      </w:divBdr>
    </w:div>
    <w:div w:id="2052849951">
      <w:bodyDiv w:val="1"/>
      <w:marLeft w:val="0"/>
      <w:marRight w:val="0"/>
      <w:marTop w:val="0"/>
      <w:marBottom w:val="0"/>
      <w:divBdr>
        <w:top w:val="none" w:sz="0" w:space="0" w:color="auto"/>
        <w:left w:val="none" w:sz="0" w:space="0" w:color="auto"/>
        <w:bottom w:val="none" w:sz="0" w:space="0" w:color="auto"/>
        <w:right w:val="none" w:sz="0" w:space="0" w:color="auto"/>
      </w:divBdr>
    </w:div>
    <w:div w:id="2073304315">
      <w:bodyDiv w:val="1"/>
      <w:marLeft w:val="0"/>
      <w:marRight w:val="0"/>
      <w:marTop w:val="0"/>
      <w:marBottom w:val="0"/>
      <w:divBdr>
        <w:top w:val="none" w:sz="0" w:space="0" w:color="auto"/>
        <w:left w:val="none" w:sz="0" w:space="0" w:color="auto"/>
        <w:bottom w:val="none" w:sz="0" w:space="0" w:color="auto"/>
        <w:right w:val="none" w:sz="0" w:space="0" w:color="auto"/>
      </w:divBdr>
    </w:div>
    <w:div w:id="21066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image" Target="media/image8.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2.emf"/><Relationship Id="rId32" Type="http://schemas.openxmlformats.org/officeDocument/2006/relationships/image" Target="media/image7.emf"/><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emf"/><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image" Target="media/image5.emf"/><Relationship Id="rId35"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eefoper12\Documents\2019\DEF\Informe%20de%20Medio%20a&#241;o\Graficos%20del%20Informe%20de%20medio%20a&#241;o.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eefoper12\Documents\2019\DEF\Informe%20de%20Medio%20a&#241;o\Cuadros%20a%20junio.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2205589098147"/>
          <c:y val="0.11854457881041355"/>
          <c:w val="0.86756955380577427"/>
          <c:h val="0.7677029450043199"/>
        </c:manualLayout>
      </c:layout>
      <c:barChart>
        <c:barDir val="col"/>
        <c:grouping val="stacked"/>
        <c:varyColors val="0"/>
        <c:ser>
          <c:idx val="0"/>
          <c:order val="0"/>
          <c:spPr>
            <a:solidFill>
              <a:schemeClr val="accent1"/>
            </a:solidFill>
            <a:ln w="12700">
              <a:noFill/>
            </a:ln>
            <a:effectLst>
              <a:innerShdw blurRad="63500" dist="50800" dir="16200000">
                <a:schemeClr val="accent2">
                  <a:alpha val="50000"/>
                </a:schemeClr>
              </a:innerShdw>
            </a:effectLst>
            <a:scene3d>
              <a:camera prst="orthographicFront"/>
              <a:lightRig rig="threePt" dir="t"/>
            </a:scene3d>
            <a:sp3d>
              <a:bevelT/>
            </a:sp3d>
          </c:spPr>
          <c:invertIfNegative val="0"/>
          <c:dPt>
            <c:idx val="8"/>
            <c:invertIfNegative val="0"/>
            <c:bubble3D val="0"/>
          </c:dPt>
          <c:dPt>
            <c:idx val="11"/>
            <c:invertIfNegative val="0"/>
            <c:bubble3D val="0"/>
            <c:spPr>
              <a:solidFill>
                <a:schemeClr val="tx2"/>
              </a:solidFill>
              <a:ln w="12700">
                <a:noFill/>
              </a:ln>
              <a:effectLst>
                <a:innerShdw blurRad="63500" dist="50800" dir="16200000">
                  <a:schemeClr val="accent2">
                    <a:alpha val="50000"/>
                  </a:schemeClr>
                </a:innerShdw>
              </a:effectLst>
              <a:scene3d>
                <a:camera prst="orthographicFront"/>
                <a:lightRig rig="threePt" dir="t"/>
              </a:scene3d>
              <a:sp3d>
                <a:bevelT/>
              </a:sp3d>
            </c:spPr>
          </c:dPt>
          <c:dPt>
            <c:idx val="12"/>
            <c:invertIfNegative val="0"/>
            <c:bubble3D val="0"/>
            <c:spPr>
              <a:solidFill>
                <a:schemeClr val="tx2"/>
              </a:solidFill>
              <a:ln w="12700">
                <a:noFill/>
              </a:ln>
              <a:effectLst>
                <a:innerShdw blurRad="63500" dist="50800" dir="16200000">
                  <a:schemeClr val="accent2">
                    <a:alpha val="50000"/>
                  </a:schemeClr>
                </a:innerShdw>
              </a:effectLst>
              <a:scene3d>
                <a:camera prst="orthographicFront"/>
                <a:lightRig rig="threePt" dir="t"/>
              </a:scene3d>
              <a:sp3d>
                <a:bevelT/>
              </a:sp3d>
            </c:spPr>
          </c:dPt>
          <c:dLbls>
            <c:dLbl>
              <c:idx val="0"/>
              <c:layout>
                <c:manualLayout>
                  <c:x val="-1.7777841165364943E-3"/>
                  <c:y val="-0.3057996515504412"/>
                </c:manualLayout>
              </c:layout>
              <c:dLblPos val="ctr"/>
              <c:showLegendKey val="0"/>
              <c:showVal val="1"/>
              <c:showCatName val="0"/>
              <c:showSerName val="0"/>
              <c:showPercent val="0"/>
              <c:showBubbleSize val="0"/>
            </c:dLbl>
            <c:dLbl>
              <c:idx val="1"/>
              <c:layout>
                <c:manualLayout>
                  <c:x val="-1.7777777777777779E-3"/>
                  <c:y val="-6.626178249457948E-2"/>
                </c:manualLayout>
              </c:layout>
              <c:dLblPos val="ctr"/>
              <c:showLegendKey val="0"/>
              <c:showVal val="1"/>
              <c:showCatName val="0"/>
              <c:showSerName val="0"/>
              <c:showPercent val="0"/>
              <c:showBubbleSize val="0"/>
            </c:dLbl>
            <c:dLbl>
              <c:idx val="2"/>
              <c:layout>
                <c:manualLayout>
                  <c:x val="0"/>
                  <c:y val="-0.27543589972773264"/>
                </c:manualLayout>
              </c:layout>
              <c:dLblPos val="ctr"/>
              <c:showLegendKey val="0"/>
              <c:showVal val="1"/>
              <c:showCatName val="0"/>
              <c:showSerName val="0"/>
              <c:showPercent val="0"/>
              <c:showBubbleSize val="0"/>
            </c:dLbl>
            <c:dLbl>
              <c:idx val="3"/>
              <c:layout>
                <c:manualLayout>
                  <c:x val="0"/>
                  <c:y val="-0.37928689440952906"/>
                </c:manualLayout>
              </c:layout>
              <c:dLblPos val="ctr"/>
              <c:showLegendKey val="0"/>
              <c:showVal val="1"/>
              <c:showCatName val="0"/>
              <c:showSerName val="0"/>
              <c:showPercent val="0"/>
              <c:showBubbleSize val="0"/>
            </c:dLbl>
            <c:dLbl>
              <c:idx val="4"/>
              <c:layout>
                <c:manualLayout>
                  <c:x val="2.2641253790627236E-3"/>
                  <c:y val="-0.28213362822323634"/>
                </c:manualLayout>
              </c:layout>
              <c:dLblPos val="ctr"/>
              <c:showLegendKey val="0"/>
              <c:showVal val="1"/>
              <c:showCatName val="0"/>
              <c:showSerName val="0"/>
              <c:showPercent val="0"/>
              <c:showBubbleSize val="0"/>
            </c:dLbl>
            <c:dLbl>
              <c:idx val="5"/>
              <c:layout>
                <c:manualLayout>
                  <c:x val="0"/>
                  <c:y val="-0.34389387012164557"/>
                </c:manualLayout>
              </c:layout>
              <c:dLblPos val="ctr"/>
              <c:showLegendKey val="0"/>
              <c:showVal val="1"/>
              <c:showCatName val="0"/>
              <c:showSerName val="0"/>
              <c:showPercent val="0"/>
              <c:showBubbleSize val="0"/>
            </c:dLbl>
            <c:dLbl>
              <c:idx val="6"/>
              <c:layout>
                <c:manualLayout>
                  <c:x val="2.2641253790627236E-3"/>
                  <c:y val="-0.38449527646101628"/>
                </c:manualLayout>
              </c:layout>
              <c:dLblPos val="ctr"/>
              <c:showLegendKey val="0"/>
              <c:showVal val="1"/>
              <c:showCatName val="0"/>
              <c:showSerName val="0"/>
              <c:showPercent val="0"/>
              <c:showBubbleSize val="0"/>
            </c:dLbl>
            <c:dLbl>
              <c:idx val="7"/>
              <c:layout>
                <c:manualLayout>
                  <c:x val="2.2641253790627236E-3"/>
                  <c:y val="-0.3778186808180562"/>
                </c:manualLayout>
              </c:layout>
              <c:dLblPos val="ctr"/>
              <c:showLegendKey val="0"/>
              <c:showVal val="1"/>
              <c:showCatName val="0"/>
              <c:showSerName val="0"/>
              <c:showPercent val="0"/>
              <c:showBubbleSize val="0"/>
            </c:dLbl>
            <c:dLbl>
              <c:idx val="8"/>
              <c:layout>
                <c:manualLayout>
                  <c:x val="0"/>
                  <c:y val="-0.2903161994400833"/>
                </c:manualLayout>
              </c:layout>
              <c:dLblPos val="ctr"/>
              <c:showLegendKey val="0"/>
              <c:showVal val="1"/>
              <c:showCatName val="0"/>
              <c:showSerName val="0"/>
              <c:showPercent val="0"/>
              <c:showBubbleSize val="0"/>
            </c:dLbl>
            <c:dLbl>
              <c:idx val="9"/>
              <c:layout>
                <c:manualLayout>
                  <c:x val="0"/>
                  <c:y val="-0.26225142482195574"/>
                </c:manualLayout>
              </c:layout>
              <c:dLblPos val="ctr"/>
              <c:showLegendKey val="0"/>
              <c:showVal val="1"/>
              <c:showCatName val="0"/>
              <c:showSerName val="0"/>
              <c:showPercent val="0"/>
              <c:showBubbleSize val="0"/>
            </c:dLbl>
            <c:dLbl>
              <c:idx val="10"/>
              <c:layout>
                <c:manualLayout>
                  <c:x val="2.2641253790627236E-3"/>
                  <c:y val="-0.28991259660052082"/>
                </c:manualLayout>
              </c:layout>
              <c:dLblPos val="ctr"/>
              <c:showLegendKey val="0"/>
              <c:showVal val="1"/>
              <c:showCatName val="0"/>
              <c:showSerName val="0"/>
              <c:showPercent val="0"/>
              <c:showBubbleSize val="0"/>
            </c:dLbl>
            <c:dLbl>
              <c:idx val="11"/>
              <c:layout>
                <c:manualLayout>
                  <c:x val="0"/>
                  <c:y val="-0.31813500151221152"/>
                </c:manualLayout>
              </c:layout>
              <c:dLblPos val="ctr"/>
              <c:showLegendKey val="0"/>
              <c:showVal val="1"/>
              <c:showCatName val="0"/>
              <c:showSerName val="0"/>
              <c:showPercent val="0"/>
              <c:showBubbleSize val="0"/>
            </c:dLbl>
            <c:txPr>
              <a:bodyPr/>
              <a:lstStyle/>
              <a:p>
                <a:pPr>
                  <a:defRPr sz="700"/>
                </a:pPr>
                <a:endParaRPr lang="es-GT"/>
              </a:p>
            </c:txPr>
            <c:dLblPos val="inEnd"/>
            <c:showLegendKey val="0"/>
            <c:showVal val="1"/>
            <c:showCatName val="0"/>
            <c:showSerName val="0"/>
            <c:showPercent val="0"/>
            <c:showBubbleSize val="0"/>
            <c:showLeaderLines val="0"/>
          </c:dLbls>
          <c:cat>
            <c:strRef>
              <c:f>'PIB Nacional'!$B$7:$B$18</c:f>
              <c:strCache>
                <c:ptCount val="12"/>
                <c:pt idx="0">
                  <c:v>2008</c:v>
                </c:pt>
                <c:pt idx="1">
                  <c:v>2009</c:v>
                </c:pt>
                <c:pt idx="2">
                  <c:v>2010</c:v>
                </c:pt>
                <c:pt idx="3">
                  <c:v>2011</c:v>
                </c:pt>
                <c:pt idx="4">
                  <c:v>2012</c:v>
                </c:pt>
                <c:pt idx="5">
                  <c:v>2013</c:v>
                </c:pt>
                <c:pt idx="6">
                  <c:v>2014</c:v>
                </c:pt>
                <c:pt idx="7">
                  <c:v>2015</c:v>
                </c:pt>
                <c:pt idx="8">
                  <c:v>2016</c:v>
                </c:pt>
                <c:pt idx="9">
                  <c:v>2017 p/</c:v>
                </c:pt>
                <c:pt idx="10">
                  <c:v>2018 p/</c:v>
                </c:pt>
                <c:pt idx="11">
                  <c:v>2019 py </c:v>
                </c:pt>
              </c:strCache>
            </c:strRef>
          </c:cat>
          <c:val>
            <c:numRef>
              <c:f>'PIB Nacional'!$D$7:$D$18</c:f>
              <c:numCache>
                <c:formatCode>#,##0.0</c:formatCode>
                <c:ptCount val="12"/>
                <c:pt idx="0">
                  <c:v>3.2810798155511236</c:v>
                </c:pt>
                <c:pt idx="1">
                  <c:v>0.52604301774603357</c:v>
                </c:pt>
                <c:pt idx="2">
                  <c:v>2.8694877371278551</c:v>
                </c:pt>
                <c:pt idx="3">
                  <c:v>4.1620489461922716</c:v>
                </c:pt>
                <c:pt idx="4">
                  <c:v>2.9698574268847437</c:v>
                </c:pt>
                <c:pt idx="5">
                  <c:v>3.6975855779096634</c:v>
                </c:pt>
                <c:pt idx="6">
                  <c:v>4.174169136581753</c:v>
                </c:pt>
                <c:pt idx="7">
                  <c:v>4.1400443582547837</c:v>
                </c:pt>
                <c:pt idx="8">
                  <c:v>3.0924825576909001</c:v>
                </c:pt>
                <c:pt idx="9">
                  <c:v>2.7603384836662173</c:v>
                </c:pt>
                <c:pt idx="10">
                  <c:v>3.1</c:v>
                </c:pt>
                <c:pt idx="11">
                  <c:v>3.4</c:v>
                </c:pt>
              </c:numCache>
            </c:numRef>
          </c:val>
        </c:ser>
        <c:dLbls>
          <c:showLegendKey val="0"/>
          <c:showVal val="0"/>
          <c:showCatName val="0"/>
          <c:showSerName val="0"/>
          <c:showPercent val="0"/>
          <c:showBubbleSize val="0"/>
        </c:dLbls>
        <c:gapWidth val="21"/>
        <c:overlap val="-61"/>
        <c:axId val="65222912"/>
        <c:axId val="156934144"/>
      </c:barChart>
      <c:catAx>
        <c:axId val="65222912"/>
        <c:scaling>
          <c:orientation val="minMax"/>
        </c:scaling>
        <c:delete val="0"/>
        <c:axPos val="b"/>
        <c:numFmt formatCode="0" sourceLinked="0"/>
        <c:majorTickMark val="none"/>
        <c:minorTickMark val="none"/>
        <c:tickLblPos val="nextTo"/>
        <c:spPr>
          <a:ln w="12700"/>
          <a:effectLst>
            <a:softEdge rad="12700"/>
          </a:effectLst>
        </c:spPr>
        <c:txPr>
          <a:bodyPr/>
          <a:lstStyle/>
          <a:p>
            <a:pPr>
              <a:defRPr sz="800"/>
            </a:pPr>
            <a:endParaRPr lang="es-GT"/>
          </a:p>
        </c:txPr>
        <c:crossAx val="156934144"/>
        <c:crosses val="autoZero"/>
        <c:auto val="1"/>
        <c:lblAlgn val="ctr"/>
        <c:lblOffset val="100"/>
        <c:noMultiLvlLbl val="0"/>
      </c:catAx>
      <c:valAx>
        <c:axId val="156934144"/>
        <c:scaling>
          <c:orientation val="minMax"/>
        </c:scaling>
        <c:delete val="0"/>
        <c:axPos val="l"/>
        <c:title>
          <c:tx>
            <c:rich>
              <a:bodyPr rot="0" vert="horz"/>
              <a:lstStyle/>
              <a:p>
                <a:pPr>
                  <a:defRPr/>
                </a:pPr>
                <a:r>
                  <a:rPr lang="es-GT"/>
                  <a:t>Porcentaje</a:t>
                </a:r>
              </a:p>
            </c:rich>
          </c:tx>
          <c:layout>
            <c:manualLayout>
              <c:xMode val="edge"/>
              <c:yMode val="edge"/>
              <c:x val="1.4466071741032371E-2"/>
              <c:y val="3.6667209702235491E-2"/>
            </c:manualLayout>
          </c:layout>
          <c:overlay val="0"/>
        </c:title>
        <c:numFmt formatCode="#,##0.0" sourceLinked="0"/>
        <c:majorTickMark val="none"/>
        <c:minorTickMark val="none"/>
        <c:tickLblPos val="nextTo"/>
        <c:txPr>
          <a:bodyPr/>
          <a:lstStyle/>
          <a:p>
            <a:pPr>
              <a:defRPr sz="800"/>
            </a:pPr>
            <a:endParaRPr lang="es-GT"/>
          </a:p>
        </c:txPr>
        <c:crossAx val="65222912"/>
        <c:crossesAt val="1"/>
        <c:crossBetween val="between"/>
      </c:valAx>
      <c:spPr>
        <a:noFill/>
        <a:ln>
          <a:noFill/>
        </a:ln>
        <a:effectLst>
          <a:glow rad="101600">
            <a:schemeClr val="accent5">
              <a:satMod val="175000"/>
              <a:alpha val="40000"/>
            </a:schemeClr>
          </a:glow>
          <a:innerShdw blurRad="63500" dist="50800" dir="16200000">
            <a:prstClr val="black">
              <a:alpha val="50000"/>
            </a:prstClr>
          </a:innerShdw>
        </a:effectLst>
        <a:scene3d>
          <a:camera prst="orthographicFront"/>
          <a:lightRig rig="threePt" dir="t"/>
        </a:scene3d>
        <a:sp3d>
          <a:bevelT/>
        </a:sp3d>
      </c:spPr>
    </c:plotArea>
    <c:plotVisOnly val="1"/>
    <c:dispBlanksAs val="gap"/>
    <c:showDLblsOverMax val="0"/>
  </c:chart>
  <c:spPr>
    <a:ln>
      <a:solidFill>
        <a:sysClr val="windowText" lastClr="000000"/>
      </a:solidFill>
    </a:ln>
  </c:spPr>
  <c:txPr>
    <a:bodyPr/>
    <a:lstStyle/>
    <a:p>
      <a:pPr>
        <a:defRPr sz="900">
          <a:latin typeface="Times New Roman" pitchFamily="18" charset="0"/>
          <a:cs typeface="Times New Roman" pitchFamily="18" charset="0"/>
        </a:defRPr>
      </a:pPr>
      <a:endParaRPr lang="es-GT"/>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2018</a:t>
            </a:r>
          </a:p>
        </c:rich>
      </c:tx>
      <c:overlay val="0"/>
    </c:title>
    <c:autoTitleDeleted val="0"/>
    <c:view3D>
      <c:rotX val="30"/>
      <c:rotY val="217"/>
      <c:rAngAx val="0"/>
      <c:perspective val="3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spPr>
            <a:scene3d>
              <a:camera prst="orthographicFront"/>
              <a:lightRig rig="threePt" dir="t"/>
            </a:scene3d>
            <a:sp3d prstMaterial="dkEdge">
              <a:bevelT/>
            </a:sp3d>
          </c:spPr>
          <c:explosion val="25"/>
          <c:dLbls>
            <c:numFmt formatCode="0.0%" sourceLinked="0"/>
            <c:txPr>
              <a:bodyPr/>
              <a:lstStyle/>
              <a:p>
                <a:pPr>
                  <a:defRPr sz="700"/>
                </a:pPr>
                <a:endParaRPr lang="es-GT"/>
              </a:p>
            </c:txPr>
            <c:showLegendKey val="0"/>
            <c:showVal val="1"/>
            <c:showCatName val="1"/>
            <c:showSerName val="0"/>
            <c:showPercent val="1"/>
            <c:showBubbleSize val="0"/>
            <c:showLeaderLines val="1"/>
          </c:dLbls>
          <c:cat>
            <c:strRef>
              <c:f>Ingresos!$K$62:$K$63</c:f>
              <c:strCache>
                <c:ptCount val="2"/>
                <c:pt idx="0">
                  <c:v>Directos</c:v>
                </c:pt>
                <c:pt idx="1">
                  <c:v>Indirectos</c:v>
                </c:pt>
              </c:strCache>
            </c:strRef>
          </c:cat>
          <c:val>
            <c:numRef>
              <c:f>Ingresos!$L$62:$L$63</c:f>
              <c:numCache>
                <c:formatCode>#,##0.0</c:formatCode>
                <c:ptCount val="2"/>
                <c:pt idx="0">
                  <c:v>10586.647670359998</c:v>
                </c:pt>
                <c:pt idx="1">
                  <c:v>18322.705730990001</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2019</a:t>
            </a:r>
          </a:p>
        </c:rich>
      </c:tx>
      <c:overlay val="0"/>
    </c:title>
    <c:autoTitleDeleted val="0"/>
    <c:view3D>
      <c:rotX val="30"/>
      <c:rotY val="217"/>
      <c:rAngAx val="0"/>
      <c:perspective val="3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spPr>
            <a:scene3d>
              <a:camera prst="orthographicFront"/>
              <a:lightRig rig="threePt" dir="t"/>
            </a:scene3d>
            <a:sp3d prstMaterial="dkEdge">
              <a:bevelT/>
            </a:sp3d>
          </c:spPr>
          <c:explosion val="25"/>
          <c:dLbls>
            <c:dLbl>
              <c:idx val="0"/>
              <c:numFmt formatCode="0.0%" sourceLinked="0"/>
              <c:spPr/>
              <c:txPr>
                <a:bodyPr/>
                <a:lstStyle/>
                <a:p>
                  <a:pPr>
                    <a:defRPr sz="700"/>
                  </a:pPr>
                  <a:endParaRPr lang="es-GT"/>
                </a:p>
              </c:txPr>
              <c:showLegendKey val="0"/>
              <c:showVal val="1"/>
              <c:showCatName val="1"/>
              <c:showSerName val="0"/>
              <c:showPercent val="1"/>
              <c:showBubbleSize val="0"/>
            </c:dLbl>
            <c:dLbl>
              <c:idx val="1"/>
              <c:tx>
                <c:rich>
                  <a:bodyPr/>
                  <a:lstStyle/>
                  <a:p>
                    <a:r>
                      <a:rPr lang="en-US"/>
                      <a:t>Indirectos, 19,355.4, 64.4%</a:t>
                    </a:r>
                  </a:p>
                </c:rich>
              </c:tx>
              <c:showLegendKey val="0"/>
              <c:showVal val="1"/>
              <c:showCatName val="1"/>
              <c:showSerName val="0"/>
              <c:showPercent val="1"/>
              <c:showBubbleSize val="0"/>
            </c:dLbl>
            <c:numFmt formatCode="0.00%" sourceLinked="0"/>
            <c:txPr>
              <a:bodyPr/>
              <a:lstStyle/>
              <a:p>
                <a:pPr>
                  <a:defRPr sz="700"/>
                </a:pPr>
                <a:endParaRPr lang="es-GT"/>
              </a:p>
            </c:txPr>
            <c:showLegendKey val="0"/>
            <c:showVal val="1"/>
            <c:showCatName val="1"/>
            <c:showSerName val="0"/>
            <c:showPercent val="1"/>
            <c:showBubbleSize val="0"/>
            <c:showLeaderLines val="1"/>
          </c:dLbls>
          <c:cat>
            <c:strRef>
              <c:f>Ingresos!$K$62:$K$63</c:f>
              <c:strCache>
                <c:ptCount val="2"/>
                <c:pt idx="0">
                  <c:v>Directos</c:v>
                </c:pt>
                <c:pt idx="1">
                  <c:v>Indirectos</c:v>
                </c:pt>
              </c:strCache>
            </c:strRef>
          </c:cat>
          <c:val>
            <c:numRef>
              <c:f>Ingresos!$M$62:$M$63</c:f>
              <c:numCache>
                <c:formatCode>#,##0.0</c:formatCode>
                <c:ptCount val="2"/>
                <c:pt idx="0">
                  <c:v>10705.806306530001</c:v>
                </c:pt>
                <c:pt idx="1">
                  <c:v>19355.35710528</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7566686463462"/>
          <c:y val="2.0941538430364014E-2"/>
          <c:w val="0.8673035966307131"/>
          <c:h val="0.89964589725447952"/>
        </c:manualLayout>
      </c:layout>
      <c:barChart>
        <c:barDir val="col"/>
        <c:grouping val="clustered"/>
        <c:varyColors val="0"/>
        <c:ser>
          <c:idx val="0"/>
          <c:order val="0"/>
          <c:tx>
            <c:strRef>
              <c:f>Hoja1!$T$110</c:f>
              <c:strCache>
                <c:ptCount val="1"/>
                <c:pt idx="0">
                  <c:v>Tributarios</c:v>
                </c:pt>
              </c:strCache>
            </c:strRef>
          </c:tx>
          <c:spPr>
            <a:scene3d>
              <a:camera prst="orthographicFront"/>
              <a:lightRig rig="threePt" dir="t"/>
            </a:scene3d>
            <a:sp3d prstMaterial="matte">
              <a:bevelT/>
            </a:sp3d>
          </c:spPr>
          <c:invertIfNegative val="0"/>
          <c:dPt>
            <c:idx val="8"/>
            <c:invertIfNegative val="0"/>
            <c:bubble3D val="0"/>
            <c:spPr>
              <a:solidFill>
                <a:schemeClr val="accent1"/>
              </a:solidFill>
              <a:scene3d>
                <a:camera prst="orthographicFront"/>
                <a:lightRig rig="threePt" dir="t"/>
              </a:scene3d>
              <a:sp3d prstMaterial="matte">
                <a:bevelT/>
              </a:sp3d>
            </c:spPr>
          </c:dPt>
          <c:dPt>
            <c:idx val="9"/>
            <c:invertIfNegative val="0"/>
            <c:bubble3D val="0"/>
            <c:spPr>
              <a:solidFill>
                <a:schemeClr val="tx2"/>
              </a:solidFill>
              <a:scene3d>
                <a:camera prst="orthographicFront"/>
                <a:lightRig rig="threePt" dir="t"/>
              </a:scene3d>
              <a:sp3d prstMaterial="matte">
                <a:bevelT/>
              </a:sp3d>
            </c:spPr>
          </c:dPt>
          <c:dLbls>
            <c:txPr>
              <a:bodyPr/>
              <a:lstStyle/>
              <a:p>
                <a:pPr>
                  <a:defRPr sz="800">
                    <a:solidFill>
                      <a:schemeClr val="bg1"/>
                    </a:solidFill>
                  </a:defRPr>
                </a:pPr>
                <a:endParaRPr lang="es-GT"/>
              </a:p>
            </c:txPr>
            <c:dLblPos val="inEnd"/>
            <c:showLegendKey val="0"/>
            <c:showVal val="1"/>
            <c:showCatName val="0"/>
            <c:showSerName val="0"/>
            <c:showPercent val="0"/>
            <c:showBubbleSize val="0"/>
            <c:showLeaderLines val="0"/>
          </c:dLbls>
          <c:cat>
            <c:numRef>
              <c:f>Hoja1!$S$111:$S$120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Hoja1!$T$111:$T$120</c:f>
              <c:numCache>
                <c:formatCode>_(* #,##0.0_);_(* \(#,##0.0\);_(* "-"??_);_(@_)</c:formatCode>
                <c:ptCount val="10"/>
                <c:pt idx="0">
                  <c:v>16710.348476880001</c:v>
                </c:pt>
                <c:pt idx="1">
                  <c:v>19928.128004149996</c:v>
                </c:pt>
                <c:pt idx="2">
                  <c:v>21126.831012910003</c:v>
                </c:pt>
                <c:pt idx="3">
                  <c:v>22925.634540209991</c:v>
                </c:pt>
                <c:pt idx="4" formatCode="#,##0.0">
                  <c:v>23962.010832309996</c:v>
                </c:pt>
                <c:pt idx="5" formatCode="#,##0.0">
                  <c:v>24494.55701004</c:v>
                </c:pt>
                <c:pt idx="6" formatCode="#,##0.0">
                  <c:v>26112.501618939998</c:v>
                </c:pt>
                <c:pt idx="7">
                  <c:v>28099.595988659996</c:v>
                </c:pt>
                <c:pt idx="8">
                  <c:v>28909.418401349998</c:v>
                </c:pt>
                <c:pt idx="9">
                  <c:v>30061.163411809997</c:v>
                </c:pt>
              </c:numCache>
            </c:numRef>
          </c:val>
        </c:ser>
        <c:dLbls>
          <c:showLegendKey val="0"/>
          <c:showVal val="0"/>
          <c:showCatName val="0"/>
          <c:showSerName val="0"/>
          <c:showPercent val="0"/>
          <c:showBubbleSize val="0"/>
        </c:dLbls>
        <c:gapWidth val="15"/>
        <c:axId val="228116736"/>
        <c:axId val="228122624"/>
      </c:barChart>
      <c:catAx>
        <c:axId val="228116736"/>
        <c:scaling>
          <c:orientation val="minMax"/>
        </c:scaling>
        <c:delete val="0"/>
        <c:axPos val="b"/>
        <c:numFmt formatCode="General"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s-GT"/>
          </a:p>
        </c:txPr>
        <c:crossAx val="228122624"/>
        <c:crosses val="autoZero"/>
        <c:auto val="1"/>
        <c:lblAlgn val="ctr"/>
        <c:lblOffset val="100"/>
        <c:noMultiLvlLbl val="0"/>
      </c:catAx>
      <c:valAx>
        <c:axId val="228122624"/>
        <c:scaling>
          <c:orientation val="minMax"/>
        </c:scaling>
        <c:delete val="0"/>
        <c:axPos val="l"/>
        <c:title>
          <c:tx>
            <c:rich>
              <a:bodyPr/>
              <a:lstStyle/>
              <a:p>
                <a:pPr>
                  <a:defRPr sz="800" b="0"/>
                </a:pPr>
                <a:r>
                  <a:rPr lang="es-GT" sz="800" b="0"/>
                  <a:t>Millones de Quetzales</a:t>
                </a:r>
              </a:p>
            </c:rich>
          </c:tx>
          <c:overlay val="0"/>
        </c:title>
        <c:numFmt formatCode="_(* #,##0.0_);_(* \(#,##0.0\);_(* &quot;-&quot;??_);_(@_)" sourceLinked="1"/>
        <c:majorTickMark val="none"/>
        <c:minorTickMark val="none"/>
        <c:tickLblPos val="nextTo"/>
        <c:txPr>
          <a:bodyPr/>
          <a:lstStyle/>
          <a:p>
            <a:pPr>
              <a:defRPr sz="800"/>
            </a:pPr>
            <a:endParaRPr lang="es-GT"/>
          </a:p>
        </c:txPr>
        <c:crossAx val="228116736"/>
        <c:crosses val="autoZero"/>
        <c:crossBetween val="between"/>
      </c:valAx>
    </c:plotArea>
    <c:plotVisOnly val="1"/>
    <c:dispBlanksAs val="gap"/>
    <c:showDLblsOverMax val="0"/>
  </c:chart>
  <c:spPr>
    <a:noFill/>
    <a:ln>
      <a:solidFill>
        <a:sysClr val="windowText" lastClr="000000"/>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2018</a:t>
            </a:r>
          </a:p>
        </c:rich>
      </c:tx>
      <c:overlay val="0"/>
    </c:title>
    <c:autoTitleDeleted val="0"/>
    <c:view3D>
      <c:rotX val="40"/>
      <c:rotY val="50"/>
      <c:rAngAx val="1"/>
    </c:view3D>
    <c:floor>
      <c:thickness val="0"/>
    </c:floor>
    <c:sideWall>
      <c:thickness val="0"/>
      <c:spPr>
        <a:scene3d>
          <a:camera prst="orthographicFront"/>
          <a:lightRig rig="threePt" dir="t"/>
        </a:scene3d>
        <a:sp3d prstMaterial="dkEdge"/>
      </c:spPr>
    </c:sideWall>
    <c:backWall>
      <c:thickness val="0"/>
      <c:spPr>
        <a:scene3d>
          <a:camera prst="orthographicFront"/>
          <a:lightRig rig="threePt" dir="t"/>
        </a:scene3d>
        <a:sp3d prstMaterial="dkEdge"/>
      </c:spPr>
    </c:backWall>
    <c:plotArea>
      <c:layout>
        <c:manualLayout>
          <c:layoutTarget val="inner"/>
          <c:xMode val="edge"/>
          <c:yMode val="edge"/>
          <c:x val="3.3375047763109693E-3"/>
          <c:y val="0.14145277930915776"/>
          <c:w val="0.9966625080308984"/>
          <c:h val="0.84152670079738134"/>
        </c:manualLayout>
      </c:layout>
      <c:pie3DChart>
        <c:varyColors val="1"/>
        <c:ser>
          <c:idx val="0"/>
          <c:order val="0"/>
          <c:tx>
            <c:strRef>
              <c:f>'X Entidad'!$D$67</c:f>
              <c:strCache>
                <c:ptCount val="1"/>
                <c:pt idx="0">
                  <c:v>2018</c:v>
                </c:pt>
              </c:strCache>
            </c:strRef>
          </c:tx>
          <c:spPr>
            <a:scene3d>
              <a:camera prst="orthographicFront"/>
              <a:lightRig rig="threePt" dir="t"/>
            </a:scene3d>
            <a:sp3d prstMaterial="dkEdge">
              <a:bevelT/>
            </a:sp3d>
          </c:spPr>
          <c:explosion val="25"/>
          <c:dLbls>
            <c:dLbl>
              <c:idx val="0"/>
              <c:layout>
                <c:manualLayout>
                  <c:x val="-0.15056105774555303"/>
                  <c:y val="-0.1303721103483115"/>
                </c:manualLayout>
              </c:layout>
              <c:showLegendKey val="0"/>
              <c:showVal val="1"/>
              <c:showCatName val="1"/>
              <c:showSerName val="0"/>
              <c:showPercent val="0"/>
              <c:showBubbleSize val="0"/>
              <c:separator>
</c:separator>
            </c:dLbl>
            <c:dLbl>
              <c:idx val="1"/>
              <c:layout>
                <c:manualLayout>
                  <c:x val="0.14001282682397984"/>
                  <c:y val="-7.7394518820804156E-2"/>
                </c:manualLayout>
              </c:layout>
              <c:showLegendKey val="0"/>
              <c:showVal val="1"/>
              <c:showCatName val="1"/>
              <c:showSerName val="0"/>
              <c:showPercent val="0"/>
              <c:showBubbleSize val="0"/>
              <c:separator>
</c:separator>
            </c:dLbl>
            <c:dLbl>
              <c:idx val="2"/>
              <c:layout>
                <c:manualLayout>
                  <c:x val="-0.11858074519383621"/>
                  <c:y val="0.14561270660733136"/>
                </c:manualLayout>
              </c:layout>
              <c:showLegendKey val="0"/>
              <c:showVal val="1"/>
              <c:showCatName val="1"/>
              <c:showSerName val="0"/>
              <c:showPercent val="0"/>
              <c:showBubbleSize val="0"/>
              <c:separator>
</c:separator>
            </c:dLbl>
            <c:txPr>
              <a:bodyPr/>
              <a:lstStyle/>
              <a:p>
                <a:pPr>
                  <a:defRPr sz="700">
                    <a:latin typeface="Times New Roman" panose="02020603050405020304" pitchFamily="18" charset="0"/>
                    <a:cs typeface="Times New Roman" panose="02020603050405020304" pitchFamily="18" charset="0"/>
                  </a:defRPr>
                </a:pPr>
                <a:endParaRPr lang="es-GT"/>
              </a:p>
            </c:txPr>
            <c:showLegendKey val="0"/>
            <c:showVal val="1"/>
            <c:showCatName val="1"/>
            <c:showSerName val="0"/>
            <c:showPercent val="0"/>
            <c:showBubbleSize val="0"/>
            <c:separator>
</c:separator>
            <c:showLeaderLines val="1"/>
          </c:dLbls>
          <c:cat>
            <c:strRef>
              <c:f>'X Entidad'!$C$68:$C$70</c:f>
              <c:strCache>
                <c:ptCount val="3"/>
                <c:pt idx="0">
                  <c:v>Obligaciones</c:v>
                </c:pt>
                <c:pt idx="1">
                  <c:v>Educación, Deuda, Salud y Gobernación</c:v>
                </c:pt>
                <c:pt idx="2">
                  <c:v>Otros</c:v>
                </c:pt>
              </c:strCache>
            </c:strRef>
          </c:cat>
          <c:val>
            <c:numRef>
              <c:f>'X Entidad'!$D$68:$D$70</c:f>
              <c:numCache>
                <c:formatCode>0.0%</c:formatCode>
                <c:ptCount val="3"/>
                <c:pt idx="0">
                  <c:v>0.35462364073433528</c:v>
                </c:pt>
                <c:pt idx="1">
                  <c:v>0.49774975473919825</c:v>
                </c:pt>
                <c:pt idx="2">
                  <c:v>0.14762660452646656</c:v>
                </c:pt>
              </c:numCache>
            </c:numRef>
          </c:val>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2019</a:t>
            </a:r>
          </a:p>
        </c:rich>
      </c:tx>
      <c:overlay val="0"/>
    </c:title>
    <c:autoTitleDeleted val="0"/>
    <c:view3D>
      <c:rotX val="40"/>
      <c:rotY val="50"/>
      <c:rAngAx val="0"/>
      <c:perspective val="30"/>
    </c:view3D>
    <c:floor>
      <c:thickness val="0"/>
    </c:floor>
    <c:sideWall>
      <c:thickness val="0"/>
    </c:sideWall>
    <c:backWall>
      <c:thickness val="0"/>
    </c:backWall>
    <c:plotArea>
      <c:layout>
        <c:manualLayout>
          <c:layoutTarget val="inner"/>
          <c:xMode val="edge"/>
          <c:yMode val="edge"/>
          <c:x val="8.3333333333333332E-3"/>
          <c:y val="0.19460119568387285"/>
          <c:w val="0.95191119458691531"/>
          <c:h val="0.74724578782490902"/>
        </c:manualLayout>
      </c:layout>
      <c:pie3DChart>
        <c:varyColors val="1"/>
        <c:ser>
          <c:idx val="0"/>
          <c:order val="0"/>
          <c:tx>
            <c:strRef>
              <c:f>'X Entidad'!$D$75</c:f>
              <c:strCache>
                <c:ptCount val="1"/>
                <c:pt idx="0">
                  <c:v>2019</c:v>
                </c:pt>
              </c:strCache>
            </c:strRef>
          </c:tx>
          <c:spPr>
            <a:scene3d>
              <a:camera prst="orthographicFront"/>
              <a:lightRig rig="threePt" dir="t"/>
            </a:scene3d>
            <a:sp3d prstMaterial="dkEdge">
              <a:bevelT/>
            </a:sp3d>
          </c:spPr>
          <c:explosion val="25"/>
          <c:dLbls>
            <c:dLbl>
              <c:idx val="1"/>
              <c:layout>
                <c:manualLayout>
                  <c:x val="0.21919480500788657"/>
                  <c:y val="-8.2980738509879304E-2"/>
                </c:manualLayout>
              </c:layout>
              <c:showLegendKey val="0"/>
              <c:showVal val="1"/>
              <c:showCatName val="1"/>
              <c:showSerName val="0"/>
              <c:showPercent val="0"/>
              <c:showBubbleSize val="0"/>
              <c:separator>
</c:separator>
            </c:dLbl>
            <c:dLbl>
              <c:idx val="2"/>
              <c:layout>
                <c:manualLayout>
                  <c:x val="-9.7629392079411834E-2"/>
                  <c:y val="0.15229789407175948"/>
                </c:manualLayout>
              </c:layout>
              <c:showLegendKey val="0"/>
              <c:showVal val="1"/>
              <c:showCatName val="1"/>
              <c:showSerName val="0"/>
              <c:showPercent val="0"/>
              <c:showBubbleSize val="0"/>
              <c:separator>
</c:separator>
            </c:dLbl>
            <c:txPr>
              <a:bodyPr/>
              <a:lstStyle/>
              <a:p>
                <a:pPr>
                  <a:defRPr sz="700">
                    <a:latin typeface="Times New Roman" panose="02020603050405020304" pitchFamily="18" charset="0"/>
                    <a:cs typeface="Times New Roman" panose="02020603050405020304" pitchFamily="18" charset="0"/>
                  </a:defRPr>
                </a:pPr>
                <a:endParaRPr lang="es-GT"/>
              </a:p>
            </c:txPr>
            <c:showLegendKey val="0"/>
            <c:showVal val="1"/>
            <c:showCatName val="1"/>
            <c:showSerName val="0"/>
            <c:showPercent val="0"/>
            <c:showBubbleSize val="0"/>
            <c:separator>
</c:separator>
            <c:showLeaderLines val="1"/>
          </c:dLbls>
          <c:cat>
            <c:strRef>
              <c:f>'X Entidad'!$C$76:$C$78</c:f>
              <c:strCache>
                <c:ptCount val="3"/>
                <c:pt idx="0">
                  <c:v>Obligaciones</c:v>
                </c:pt>
                <c:pt idx="1">
                  <c:v>Educación, Deuda, Salud y Gobernación</c:v>
                </c:pt>
                <c:pt idx="2">
                  <c:v>Otros</c:v>
                </c:pt>
              </c:strCache>
            </c:strRef>
          </c:cat>
          <c:val>
            <c:numRef>
              <c:f>'X Entidad'!$D$76:$D$78</c:f>
              <c:numCache>
                <c:formatCode>0.0%</c:formatCode>
                <c:ptCount val="3"/>
                <c:pt idx="0">
                  <c:v>0.33698871110265166</c:v>
                </c:pt>
                <c:pt idx="1">
                  <c:v>0.49959546518681192</c:v>
                </c:pt>
                <c:pt idx="2">
                  <c:v>0.16341582371053631</c:v>
                </c:pt>
              </c:numCache>
            </c:numRef>
          </c:val>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'Resultado Presupuestario'!$K$22</c:f>
              <c:strCache>
                <c:ptCount val="1"/>
                <c:pt idx="0">
                  <c:v>Resultado Presupuestario</c:v>
                </c:pt>
              </c:strCache>
            </c:strRef>
          </c:tx>
          <c:spPr>
            <a:solidFill>
              <a:srgbClr val="00B050"/>
            </a:solidFill>
            <a:scene3d>
              <a:camera prst="orthographicFront"/>
              <a:lightRig rig="threePt" dir="t"/>
            </a:scene3d>
            <a:sp3d>
              <a:bevelT/>
            </a:sp3d>
          </c:spPr>
          <c:invertIfNegative val="0"/>
          <c:dPt>
            <c:idx val="4"/>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0-8601-4E2B-845A-8558A57A2EE8}"/>
              </c:ext>
            </c:extLst>
          </c:dPt>
          <c:dPt>
            <c:idx val="5"/>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601-4E2B-845A-8558A57A2EE8}"/>
              </c:ext>
            </c:extLst>
          </c:dPt>
          <c:dPt>
            <c:idx val="6"/>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2-8601-4E2B-845A-8558A57A2EE8}"/>
              </c:ext>
            </c:extLst>
          </c:dPt>
          <c:dPt>
            <c:idx val="7"/>
            <c:invertIfNegative val="0"/>
            <c:bubble3D val="0"/>
            <c:spPr>
              <a:solidFill>
                <a:schemeClr val="accent6">
                  <a:lumMod val="75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8601-4E2B-845A-8558A57A2EE8}"/>
              </c:ext>
            </c:extLst>
          </c:dPt>
          <c:dPt>
            <c:idx val="8"/>
            <c:invertIfNegative val="0"/>
            <c:bubble3D val="0"/>
            <c:spPr>
              <a:solidFill>
                <a:schemeClr val="tx2"/>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4-8601-4E2B-845A-8558A57A2EE8}"/>
              </c:ext>
            </c:extLst>
          </c:dPt>
          <c:dPt>
            <c:idx val="9"/>
            <c:invertIfNegative val="0"/>
            <c:bubble3D val="0"/>
            <c:spPr>
              <a:solidFill>
                <a:schemeClr val="tx2"/>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8601-4E2B-845A-8558A57A2EE8}"/>
              </c:ext>
            </c:extLst>
          </c:dPt>
          <c:dPt>
            <c:idx val="10"/>
            <c:invertIfNegative val="0"/>
            <c:bubble3D val="0"/>
            <c:spPr>
              <a:solidFill>
                <a:schemeClr val="tx2"/>
              </a:solidFill>
              <a:scene3d>
                <a:camera prst="orthographicFront"/>
                <a:lightRig rig="threePt" dir="t"/>
              </a:scene3d>
              <a:sp3d>
                <a:bevelT/>
              </a:sp3d>
            </c:spPr>
          </c:dPt>
          <c:dPt>
            <c:idx val="11"/>
            <c:invertIfNegative val="0"/>
            <c:bubble3D val="0"/>
            <c:spPr>
              <a:solidFill>
                <a:schemeClr val="tx2"/>
              </a:solidFill>
              <a:scene3d>
                <a:camera prst="orthographicFront"/>
                <a:lightRig rig="threePt" dir="t"/>
              </a:scene3d>
              <a:sp3d>
                <a:bevelT/>
              </a:sp3d>
            </c:spPr>
          </c:dPt>
          <c:dLbls>
            <c:dLbl>
              <c:idx val="0"/>
              <c:layout>
                <c:manualLayout>
                  <c:x val="3.4532374100719423E-2"/>
                  <c:y val="3.7365561862906672E-3"/>
                </c:manualLayout>
              </c:layout>
              <c:dLblPos val="outEnd"/>
              <c:showLegendKey val="0"/>
              <c:showVal val="1"/>
              <c:showCatName val="0"/>
              <c:showSerName val="0"/>
              <c:showPercent val="0"/>
              <c:showBubbleSize val="0"/>
            </c:dLbl>
            <c:dLbl>
              <c:idx val="4"/>
              <c:layout>
                <c:manualLayout>
                  <c:x val="5.7553956834532375E-3"/>
                  <c:y val="1.0039919428676066E-2"/>
                </c:manualLayout>
              </c:layout>
              <c:dLblPos val="outEnd"/>
              <c:showLegendKey val="0"/>
              <c:showVal val="1"/>
              <c:showCatName val="0"/>
              <c:showSerName val="0"/>
              <c:showPercent val="0"/>
              <c:showBubbleSize val="0"/>
            </c:dLbl>
            <c:dLbl>
              <c:idx val="7"/>
              <c:layout>
                <c:manualLayout>
                  <c:x val="1.9184652278176754E-3"/>
                  <c:y val="0.2238915949459806"/>
                </c:manualLayout>
              </c:layout>
              <c:dLblPos val="outEnd"/>
              <c:showLegendKey val="0"/>
              <c:showVal val="1"/>
              <c:showCatName val="0"/>
              <c:showSerName val="0"/>
              <c:showPercent val="0"/>
              <c:showBubbleSize val="0"/>
            </c:dLbl>
            <c:dLbl>
              <c:idx val="8"/>
              <c:spPr/>
              <c:txPr>
                <a:bodyPr/>
                <a:lstStyle/>
                <a:p>
                  <a:pPr>
                    <a:defRPr sz="800" b="1">
                      <a:solidFill>
                        <a:schemeClr val="bg1"/>
                      </a:solidFill>
                    </a:defRPr>
                  </a:pPr>
                  <a:endParaRPr lang="es-GT"/>
                </a:p>
              </c:txPr>
              <c:dLblPos val="inEnd"/>
              <c:showLegendKey val="0"/>
              <c:showVal val="1"/>
              <c:showCatName val="0"/>
              <c:showSerName val="0"/>
              <c:showPercent val="0"/>
              <c:showBubbleSize val="0"/>
            </c:dLbl>
            <c:dLbl>
              <c:idx val="9"/>
              <c:spPr/>
              <c:txPr>
                <a:bodyPr/>
                <a:lstStyle/>
                <a:p>
                  <a:pPr>
                    <a:defRPr sz="800" b="1">
                      <a:solidFill>
                        <a:schemeClr val="bg1"/>
                      </a:solidFill>
                    </a:defRPr>
                  </a:pPr>
                  <a:endParaRPr lang="es-GT"/>
                </a:p>
              </c:txPr>
              <c:dLblPos val="inEnd"/>
              <c:showLegendKey val="0"/>
              <c:showVal val="1"/>
              <c:showCatName val="0"/>
              <c:showSerName val="0"/>
              <c:showPercent val="0"/>
              <c:showBubbleSize val="0"/>
            </c:dLbl>
            <c:dLbl>
              <c:idx val="10"/>
              <c:layout>
                <c:manualLayout>
                  <c:x val="0"/>
                  <c:y val="6.1735945797472991E-2"/>
                </c:manualLayout>
              </c:layout>
              <c:spPr/>
              <c:txPr>
                <a:bodyPr/>
                <a:lstStyle/>
                <a:p>
                  <a:pPr>
                    <a:defRPr sz="800" b="1">
                      <a:solidFill>
                        <a:schemeClr val="bg1"/>
                      </a:solidFill>
                    </a:defRPr>
                  </a:pPr>
                  <a:endParaRPr lang="es-GT"/>
                </a:p>
              </c:txPr>
              <c:dLblPos val="outEnd"/>
              <c:showLegendKey val="0"/>
              <c:showVal val="1"/>
              <c:showCatName val="0"/>
              <c:showSerName val="0"/>
              <c:showPercent val="0"/>
              <c:showBubbleSize val="0"/>
            </c:dLbl>
            <c:dLbl>
              <c:idx val="11"/>
              <c:spPr/>
              <c:txPr>
                <a:bodyPr/>
                <a:lstStyle/>
                <a:p>
                  <a:pPr>
                    <a:defRPr sz="800" b="1">
                      <a:solidFill>
                        <a:schemeClr val="bg1"/>
                      </a:solidFill>
                    </a:defRPr>
                  </a:pPr>
                  <a:endParaRPr lang="es-GT"/>
                </a:p>
              </c:txPr>
              <c:dLblPos val="inEnd"/>
              <c:showLegendKey val="0"/>
              <c:showVal val="1"/>
              <c:showCatName val="0"/>
              <c:showSerName val="0"/>
              <c:showPercent val="0"/>
              <c:showBubbleSize val="0"/>
            </c:dLbl>
            <c:txPr>
              <a:bodyPr/>
              <a:lstStyle/>
              <a:p>
                <a:pPr>
                  <a:defRPr sz="800" b="1"/>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 Presupuestario'!$J$23:$J$34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'Resultado Presupuestario'!$K$23:$K$34</c:f>
              <c:numCache>
                <c:formatCode>#,##0.0</c:formatCode>
                <c:ptCount val="12"/>
                <c:pt idx="0">
                  <c:v>1344.6844330900058</c:v>
                </c:pt>
                <c:pt idx="1">
                  <c:v>-1903.1</c:v>
                </c:pt>
                <c:pt idx="2">
                  <c:v>-3089.5</c:v>
                </c:pt>
                <c:pt idx="3">
                  <c:v>-2856.2</c:v>
                </c:pt>
                <c:pt idx="4">
                  <c:v>209.2</c:v>
                </c:pt>
                <c:pt idx="5">
                  <c:v>-2090.4</c:v>
                </c:pt>
                <c:pt idx="6">
                  <c:v>-2438.1</c:v>
                </c:pt>
                <c:pt idx="7">
                  <c:v>-3679.4</c:v>
                </c:pt>
                <c:pt idx="8">
                  <c:v>516.4</c:v>
                </c:pt>
                <c:pt idx="9">
                  <c:v>472.3</c:v>
                </c:pt>
                <c:pt idx="10">
                  <c:v>-609.79999999999995</c:v>
                </c:pt>
                <c:pt idx="11">
                  <c:v>-4497.8</c:v>
                </c:pt>
              </c:numCache>
            </c:numRef>
          </c:val>
          <c:extLst xmlns:c16r2="http://schemas.microsoft.com/office/drawing/2015/06/chart">
            <c:ext xmlns:c16="http://schemas.microsoft.com/office/drawing/2014/chart" uri="{C3380CC4-5D6E-409C-BE32-E72D297353CC}">
              <c16:uniqueId val="{00000006-8601-4E2B-845A-8558A57A2EE8}"/>
            </c:ext>
          </c:extLst>
        </c:ser>
        <c:dLbls>
          <c:showLegendKey val="0"/>
          <c:showVal val="0"/>
          <c:showCatName val="0"/>
          <c:showSerName val="0"/>
          <c:showPercent val="0"/>
          <c:showBubbleSize val="0"/>
        </c:dLbls>
        <c:gapWidth val="12"/>
        <c:axId val="228006912"/>
        <c:axId val="228643584"/>
      </c:barChart>
      <c:lineChart>
        <c:grouping val="standard"/>
        <c:varyColors val="0"/>
        <c:ser>
          <c:idx val="1"/>
          <c:order val="1"/>
          <c:tx>
            <c:strRef>
              <c:f>'Resultado Presupuestario'!$L$22</c:f>
              <c:strCache>
                <c:ptCount val="1"/>
                <c:pt idx="0">
                  <c:v>%PIB</c:v>
                </c:pt>
              </c:strCache>
            </c:strRef>
          </c:tx>
          <c:spPr>
            <a:ln>
              <a:solidFill>
                <a:srgbClr val="FF0000"/>
              </a:solidFill>
            </a:ln>
          </c:spPr>
          <c:marker>
            <c:symbol val="none"/>
          </c:marker>
          <c:dLbls>
            <c:dLbl>
              <c:idx val="0"/>
              <c:layout>
                <c:manualLayout>
                  <c:x val="-1.342925659472422E-2"/>
                  <c:y val="-8.9922480620155038E-2"/>
                </c:manualLayout>
              </c:layout>
              <c:showLegendKey val="0"/>
              <c:showVal val="1"/>
              <c:showCatName val="0"/>
              <c:showSerName val="0"/>
              <c:showPercent val="0"/>
              <c:showBubbleSize val="0"/>
            </c:dLbl>
            <c:dLbl>
              <c:idx val="1"/>
              <c:layout>
                <c:manualLayout>
                  <c:x val="-6.6768328491742385E-2"/>
                  <c:y val="1.3888888888888888E-2"/>
                </c:manualLayout>
              </c:layout>
              <c:showLegendKey val="0"/>
              <c:showVal val="1"/>
              <c:showCatName val="0"/>
              <c:showSerName val="0"/>
              <c:showPercent val="0"/>
              <c:showBubbleSize val="0"/>
            </c:dLbl>
            <c:dLbl>
              <c:idx val="2"/>
              <c:layout>
                <c:manualLayout>
                  <c:x val="-6.6666666666666666E-2"/>
                  <c:y val="1.3888888888888888E-2"/>
                </c:manualLayout>
              </c:layout>
              <c:showLegendKey val="0"/>
              <c:showVal val="1"/>
              <c:showCatName val="0"/>
              <c:showSerName val="0"/>
              <c:showPercent val="0"/>
              <c:showBubbleSize val="0"/>
            </c:dLbl>
            <c:dLbl>
              <c:idx val="3"/>
              <c:layout>
                <c:manualLayout>
                  <c:x val="-3.6770633886591512E-2"/>
                  <c:y val="4.4810596349874873E-2"/>
                </c:manualLayout>
              </c:layout>
              <c:showLegendKey val="0"/>
              <c:showVal val="1"/>
              <c:showCatName val="0"/>
              <c:showSerName val="0"/>
              <c:showPercent val="0"/>
              <c:showBubbleSize val="0"/>
            </c:dLbl>
            <c:dLbl>
              <c:idx val="4"/>
              <c:layout>
                <c:manualLayout>
                  <c:x val="-3.0615465750712157E-2"/>
                  <c:y val="-2.1772401805037526E-2"/>
                </c:manualLayout>
              </c:layout>
              <c:showLegendKey val="0"/>
              <c:showVal val="1"/>
              <c:showCatName val="0"/>
              <c:showSerName val="0"/>
              <c:showPercent val="0"/>
              <c:showBubbleSize val="0"/>
            </c:dLbl>
            <c:dLbl>
              <c:idx val="5"/>
              <c:layout>
                <c:manualLayout>
                  <c:x val="-4.7222309851483554E-2"/>
                  <c:y val="2.8265011281484551E-2"/>
                </c:manualLayout>
              </c:layout>
              <c:showLegendKey val="0"/>
              <c:showVal val="1"/>
              <c:showCatName val="0"/>
              <c:showSerName val="0"/>
              <c:showPercent val="0"/>
              <c:showBubbleSize val="0"/>
            </c:dLbl>
            <c:dLbl>
              <c:idx val="6"/>
              <c:layout>
                <c:manualLayout>
                  <c:x val="-4.6508146224067008E-2"/>
                  <c:y val="3.0295102914767232E-2"/>
                </c:manualLayout>
              </c:layout>
              <c:showLegendKey val="0"/>
              <c:showVal val="1"/>
              <c:showCatName val="0"/>
              <c:showSerName val="0"/>
              <c:showPercent val="0"/>
              <c:showBubbleSize val="0"/>
            </c:dLbl>
            <c:dLbl>
              <c:idx val="7"/>
              <c:layout>
                <c:manualLayout>
                  <c:x val="-3.9488358919163878E-2"/>
                  <c:y val="3.0490874687175845E-2"/>
                </c:manualLayout>
              </c:layout>
              <c:showLegendKey val="0"/>
              <c:showVal val="1"/>
              <c:showCatName val="0"/>
              <c:showSerName val="0"/>
              <c:showPercent val="0"/>
              <c:showBubbleSize val="0"/>
            </c:dLbl>
            <c:dLbl>
              <c:idx val="8"/>
              <c:layout>
                <c:manualLayout>
                  <c:x val="-1.9436764259523533E-2"/>
                  <c:y val="3.0037528203711378E-2"/>
                </c:manualLayout>
              </c:layout>
              <c:showLegendKey val="0"/>
              <c:showVal val="1"/>
              <c:showCatName val="0"/>
              <c:showSerName val="0"/>
              <c:showPercent val="0"/>
              <c:showBubbleSize val="0"/>
            </c:dLbl>
            <c:dLbl>
              <c:idx val="9"/>
              <c:layout>
                <c:manualLayout>
                  <c:x val="-4.0353007498628975E-2"/>
                  <c:y val="2.4122519224570614E-2"/>
                </c:manualLayout>
              </c:layout>
              <c:showLegendKey val="0"/>
              <c:showVal val="1"/>
              <c:showCatName val="0"/>
              <c:showSerName val="0"/>
              <c:showPercent val="0"/>
              <c:showBubbleSize val="0"/>
            </c:dLbl>
            <c:dLbl>
              <c:idx val="10"/>
              <c:layout>
                <c:manualLayout>
                  <c:x val="-5.8333276685738025E-2"/>
                  <c:y val="4.1494475981200027E-2"/>
                </c:manualLayout>
              </c:layout>
              <c:showLegendKey val="0"/>
              <c:showVal val="1"/>
              <c:showCatName val="0"/>
              <c:showSerName val="0"/>
              <c:showPercent val="0"/>
              <c:showBubbleSize val="0"/>
            </c:dLbl>
            <c:dLbl>
              <c:idx val="11"/>
              <c:layout>
                <c:manualLayout>
                  <c:x val="-4.220623501199041E-2"/>
                  <c:y val="7.4418604651162679E-2"/>
                </c:manualLayout>
              </c:layout>
              <c:showLegendKey val="0"/>
              <c:showVal val="1"/>
              <c:showCatName val="0"/>
              <c:showSerName val="0"/>
              <c:showPercent val="0"/>
              <c:showBubbleSize val="0"/>
            </c:dLbl>
            <c:txPr>
              <a:bodyPr/>
              <a:lstStyle/>
              <a:p>
                <a:pPr>
                  <a:defRPr sz="700" b="1">
                    <a:solidFill>
                      <a:srgbClr val="FF0000"/>
                    </a:solidFill>
                  </a:defRPr>
                </a:pPr>
                <a:endParaRPr lang="es-GT"/>
              </a:p>
            </c:txPr>
            <c:showLegendKey val="0"/>
            <c:showVal val="1"/>
            <c:showCatName val="0"/>
            <c:showSerName val="0"/>
            <c:showPercent val="0"/>
            <c:showBubbleSize val="0"/>
            <c:showLeaderLines val="0"/>
          </c:dLbls>
          <c:cat>
            <c:numRef>
              <c:f>'Resultado Presupuestario'!$J$23:$J$34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'Resultado Presupuestario'!$L$23:$L$34</c:f>
              <c:numCache>
                <c:formatCode>0.0%</c:formatCode>
                <c:ptCount val="12"/>
                <c:pt idx="0">
                  <c:v>4.5448258216489448E-3</c:v>
                </c:pt>
                <c:pt idx="1">
                  <c:v>-6.1795662256881106E-3</c:v>
                </c:pt>
                <c:pt idx="2">
                  <c:v>-9.2751762718804986E-3</c:v>
                </c:pt>
                <c:pt idx="3">
                  <c:v>-7.6984115860528352E-3</c:v>
                </c:pt>
                <c:pt idx="4">
                  <c:v>5.2999191838327129E-4</c:v>
                </c:pt>
                <c:pt idx="5">
                  <c:v>-4.9407028211214572E-3</c:v>
                </c:pt>
                <c:pt idx="6">
                  <c:v>-5.369639830433817E-3</c:v>
                </c:pt>
                <c:pt idx="7">
                  <c:v>-7.5346126516127321E-3</c:v>
                </c:pt>
                <c:pt idx="8">
                  <c:v>9.8911002125130851E-4</c:v>
                </c:pt>
                <c:pt idx="9">
                  <c:v>8.4372010001021816E-4</c:v>
                </c:pt>
                <c:pt idx="10">
                  <c:v>-1.0336297490100171E-3</c:v>
                </c:pt>
                <c:pt idx="11">
                  <c:v>-8.0402380144984562E-3</c:v>
                </c:pt>
              </c:numCache>
            </c:numRef>
          </c:val>
          <c:smooth val="0"/>
          <c:extLst xmlns:c16r2="http://schemas.microsoft.com/office/drawing/2015/06/chart">
            <c:ext xmlns:c16="http://schemas.microsoft.com/office/drawing/2014/chart" uri="{C3380CC4-5D6E-409C-BE32-E72D297353CC}">
              <c16:uniqueId val="{00000007-8601-4E2B-845A-8558A57A2EE8}"/>
            </c:ext>
          </c:extLst>
        </c:ser>
        <c:dLbls>
          <c:showLegendKey val="0"/>
          <c:showVal val="0"/>
          <c:showCatName val="0"/>
          <c:showSerName val="0"/>
          <c:showPercent val="0"/>
          <c:showBubbleSize val="0"/>
        </c:dLbls>
        <c:marker val="1"/>
        <c:smooth val="0"/>
        <c:axId val="228645120"/>
        <c:axId val="228741120"/>
      </c:lineChart>
      <c:catAx>
        <c:axId val="228006912"/>
        <c:scaling>
          <c:orientation val="minMax"/>
        </c:scaling>
        <c:delete val="0"/>
        <c:axPos val="b"/>
        <c:numFmt formatCode="General" sourceLinked="1"/>
        <c:majorTickMark val="out"/>
        <c:minorTickMark val="none"/>
        <c:tickLblPos val="low"/>
        <c:txPr>
          <a:bodyPr rot="0" vert="horz" anchor="t" anchorCtr="1"/>
          <a:lstStyle/>
          <a:p>
            <a:pPr>
              <a:defRPr b="1"/>
            </a:pPr>
            <a:endParaRPr lang="es-GT"/>
          </a:p>
        </c:txPr>
        <c:crossAx val="228643584"/>
        <c:crosses val="autoZero"/>
        <c:auto val="0"/>
        <c:lblAlgn val="ctr"/>
        <c:lblOffset val="100"/>
        <c:tickLblSkip val="1"/>
        <c:noMultiLvlLbl val="0"/>
      </c:catAx>
      <c:valAx>
        <c:axId val="228643584"/>
        <c:scaling>
          <c:orientation val="minMax"/>
        </c:scaling>
        <c:delete val="0"/>
        <c:axPos val="l"/>
        <c:numFmt formatCode="#,##0.0" sourceLinked="1"/>
        <c:majorTickMark val="out"/>
        <c:minorTickMark val="none"/>
        <c:tickLblPos val="nextTo"/>
        <c:txPr>
          <a:bodyPr/>
          <a:lstStyle/>
          <a:p>
            <a:pPr>
              <a:defRPr sz="800"/>
            </a:pPr>
            <a:endParaRPr lang="es-GT"/>
          </a:p>
        </c:txPr>
        <c:crossAx val="228006912"/>
        <c:crosses val="autoZero"/>
        <c:crossBetween val="midCat"/>
      </c:valAx>
      <c:catAx>
        <c:axId val="228645120"/>
        <c:scaling>
          <c:orientation val="minMax"/>
        </c:scaling>
        <c:delete val="1"/>
        <c:axPos val="b"/>
        <c:numFmt formatCode="General" sourceLinked="1"/>
        <c:majorTickMark val="out"/>
        <c:minorTickMark val="none"/>
        <c:tickLblPos val="nextTo"/>
        <c:crossAx val="228741120"/>
        <c:crosses val="autoZero"/>
        <c:auto val="1"/>
        <c:lblAlgn val="ctr"/>
        <c:lblOffset val="100"/>
        <c:noMultiLvlLbl val="0"/>
      </c:catAx>
      <c:valAx>
        <c:axId val="228741120"/>
        <c:scaling>
          <c:orientation val="minMax"/>
        </c:scaling>
        <c:delete val="0"/>
        <c:axPos val="r"/>
        <c:numFmt formatCode="0.0%" sourceLinked="1"/>
        <c:majorTickMark val="out"/>
        <c:minorTickMark val="none"/>
        <c:tickLblPos val="nextTo"/>
        <c:txPr>
          <a:bodyPr/>
          <a:lstStyle/>
          <a:p>
            <a:pPr>
              <a:defRPr sz="800"/>
            </a:pPr>
            <a:endParaRPr lang="es-GT"/>
          </a:p>
        </c:txPr>
        <c:crossAx val="228645120"/>
        <c:crosses val="max"/>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'Deuda Publica'!$B$10</c:f>
              <c:strCache>
                <c:ptCount val="1"/>
                <c:pt idx="0">
                  <c:v>Saldo Deuda</c:v>
                </c:pt>
              </c:strCache>
            </c:strRef>
          </c:tx>
          <c:spPr>
            <a:scene3d>
              <a:camera prst="orthographicFront"/>
              <a:lightRig rig="threePt" dir="t"/>
            </a:scene3d>
            <a:sp3d>
              <a:bevelT/>
            </a:sp3d>
          </c:spPr>
          <c:invertIfNegative val="0"/>
          <c:dLbls>
            <c:txPr>
              <a:bodyPr/>
              <a:lstStyle/>
              <a:p>
                <a:pPr>
                  <a:defRPr sz="700"/>
                </a:pPr>
                <a:endParaRPr lang="es-GT"/>
              </a:p>
            </c:txPr>
            <c:showLegendKey val="0"/>
            <c:showVal val="1"/>
            <c:showCatName val="0"/>
            <c:showSerName val="0"/>
            <c:showPercent val="0"/>
            <c:showBubbleSize val="0"/>
            <c:showLeaderLines val="0"/>
          </c:dLbls>
          <c:cat>
            <c:strRef>
              <c:f>'Deuda Publica'!$A$11:$A$21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'Deuda Publica'!$B$11:$B$21</c:f>
              <c:numCache>
                <c:formatCode>#,##0.0</c:formatCode>
                <c:ptCount val="11"/>
                <c:pt idx="0">
                  <c:v>71887.679999999993</c:v>
                </c:pt>
                <c:pt idx="1">
                  <c:v>81366.89</c:v>
                </c:pt>
                <c:pt idx="2">
                  <c:v>88806.8</c:v>
                </c:pt>
                <c:pt idx="3">
                  <c:v>96960.33</c:v>
                </c:pt>
                <c:pt idx="4">
                  <c:v>104843.92</c:v>
                </c:pt>
                <c:pt idx="5">
                  <c:v>110904.06</c:v>
                </c:pt>
                <c:pt idx="6">
                  <c:v>118625.74</c:v>
                </c:pt>
                <c:pt idx="7">
                  <c:v>125676.09</c:v>
                </c:pt>
                <c:pt idx="8">
                  <c:v>132449.59</c:v>
                </c:pt>
                <c:pt idx="9">
                  <c:v>146020.6</c:v>
                </c:pt>
                <c:pt idx="10">
                  <c:v>149623.9</c:v>
                </c:pt>
              </c:numCache>
            </c:numRef>
          </c:val>
        </c:ser>
        <c:dLbls>
          <c:showLegendKey val="0"/>
          <c:showVal val="0"/>
          <c:showCatName val="0"/>
          <c:showSerName val="0"/>
          <c:showPercent val="0"/>
          <c:showBubbleSize val="0"/>
        </c:dLbls>
        <c:gapWidth val="40"/>
        <c:axId val="230991744"/>
        <c:axId val="230993280"/>
      </c:barChart>
      <c:lineChart>
        <c:grouping val="standard"/>
        <c:varyColors val="0"/>
        <c:ser>
          <c:idx val="1"/>
          <c:order val="1"/>
          <c:tx>
            <c:strRef>
              <c:f>'Deuda Publica'!$C$10</c:f>
              <c:strCache>
                <c:ptCount val="1"/>
                <c:pt idx="0">
                  <c:v>% PIB</c:v>
                </c:pt>
              </c:strCache>
            </c:strRef>
          </c:tx>
          <c:marker>
            <c:symbol val="none"/>
          </c:marker>
          <c:dLbls>
            <c:dLbl>
              <c:idx val="1"/>
              <c:layout>
                <c:manualLayout>
                  <c:x val="-3.1116509919598374E-2"/>
                  <c:y val="0.31313695898526961"/>
                </c:manualLayout>
              </c:layout>
              <c:dLblPos val="r"/>
              <c:showLegendKey val="0"/>
              <c:showVal val="1"/>
              <c:showCatName val="0"/>
              <c:showSerName val="0"/>
              <c:showPercent val="0"/>
              <c:showBubbleSize val="0"/>
            </c:dLbl>
            <c:dLbl>
              <c:idx val="2"/>
              <c:layout>
                <c:manualLayout>
                  <c:x val="-3.7900632721836365E-2"/>
                  <c:y val="0.12800022403616496"/>
                </c:manualLayout>
              </c:layout>
              <c:dLblPos val="r"/>
              <c:showLegendKey val="0"/>
              <c:showVal val="1"/>
              <c:showCatName val="0"/>
              <c:showSerName val="0"/>
              <c:showPercent val="0"/>
              <c:showBubbleSize val="0"/>
            </c:dLbl>
            <c:dLbl>
              <c:idx val="3"/>
              <c:layout>
                <c:manualLayout>
                  <c:x val="-3.5639258454423735E-2"/>
                  <c:y val="0.31313695898526961"/>
                </c:manualLayout>
              </c:layout>
              <c:dLblPos val="r"/>
              <c:showLegendKey val="0"/>
              <c:showVal val="1"/>
              <c:showCatName val="0"/>
              <c:showSerName val="0"/>
              <c:showPercent val="0"/>
              <c:showBubbleSize val="0"/>
            </c:dLbl>
            <c:dLbl>
              <c:idx val="4"/>
              <c:layout>
                <c:manualLayout>
                  <c:x val="-3.7900632721836365E-2"/>
                  <c:y val="0.32775301700756737"/>
                </c:manualLayout>
              </c:layout>
              <c:dLblPos val="r"/>
              <c:showLegendKey val="0"/>
              <c:showVal val="1"/>
              <c:showCatName val="0"/>
              <c:showSerName val="0"/>
              <c:showPercent val="0"/>
              <c:showBubbleSize val="0"/>
            </c:dLbl>
            <c:dLbl>
              <c:idx val="5"/>
              <c:layout>
                <c:manualLayout>
                  <c:x val="-3.7782934423351344E-2"/>
                  <c:y val="0.17401510402720347"/>
                </c:manualLayout>
              </c:layout>
              <c:dLblPos val="r"/>
              <c:showLegendKey val="0"/>
              <c:showVal val="1"/>
              <c:showCatName val="0"/>
              <c:showSerName val="0"/>
              <c:showPercent val="0"/>
              <c:showBubbleSize val="0"/>
            </c:dLbl>
            <c:dLbl>
              <c:idx val="6"/>
              <c:layout>
                <c:manualLayout>
                  <c:x val="-3.5639258454423693E-2"/>
                  <c:y val="0.12312820469539909"/>
                </c:manualLayout>
              </c:layout>
              <c:dLblPos val="r"/>
              <c:showLegendKey val="0"/>
              <c:showVal val="1"/>
              <c:showCatName val="0"/>
              <c:showSerName val="0"/>
              <c:showPercent val="0"/>
              <c:showBubbleSize val="0"/>
            </c:dLbl>
            <c:dLbl>
              <c:idx val="9"/>
              <c:layout>
                <c:manualLayout>
                  <c:x val="-3.3375169140862471E-2"/>
                  <c:y val="0.1308649126646893"/>
                </c:manualLayout>
              </c:layout>
              <c:dLblPos val="r"/>
              <c:showLegendKey val="0"/>
              <c:showVal val="1"/>
              <c:showCatName val="0"/>
              <c:showSerName val="0"/>
              <c:showPercent val="0"/>
              <c:showBubbleSize val="0"/>
            </c:dLbl>
            <c:txPr>
              <a:bodyPr/>
              <a:lstStyle/>
              <a:p>
                <a:pPr>
                  <a:defRPr sz="700"/>
                </a:pPr>
                <a:endParaRPr lang="es-GT"/>
              </a:p>
            </c:txPr>
            <c:dLblPos val="b"/>
            <c:showLegendKey val="0"/>
            <c:showVal val="1"/>
            <c:showCatName val="0"/>
            <c:showSerName val="0"/>
            <c:showPercent val="0"/>
            <c:showBubbleSize val="0"/>
            <c:showLeaderLines val="0"/>
          </c:dLbls>
          <c:cat>
            <c:strRef>
              <c:f>'Deuda Publica'!$A$11:$A$21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'Deuda Publica'!$C$11:$C$21</c:f>
              <c:numCache>
                <c:formatCode>General</c:formatCode>
                <c:ptCount val="11"/>
                <c:pt idx="0">
                  <c:v>23.3</c:v>
                </c:pt>
                <c:pt idx="1">
                  <c:v>24.4</c:v>
                </c:pt>
                <c:pt idx="2">
                  <c:v>23.9</c:v>
                </c:pt>
                <c:pt idx="3">
                  <c:v>24.6</c:v>
                </c:pt>
                <c:pt idx="4">
                  <c:v>24.8</c:v>
                </c:pt>
                <c:pt idx="5">
                  <c:v>24.4</c:v>
                </c:pt>
                <c:pt idx="6">
                  <c:v>24.3</c:v>
                </c:pt>
                <c:pt idx="7">
                  <c:v>24.1</c:v>
                </c:pt>
                <c:pt idx="8">
                  <c:v>23.8</c:v>
                </c:pt>
                <c:pt idx="9">
                  <c:v>24.8</c:v>
                </c:pt>
                <c:pt idx="10">
                  <c:v>23.7</c:v>
                </c:pt>
              </c:numCache>
            </c:numRef>
          </c:val>
          <c:smooth val="0"/>
        </c:ser>
        <c:dLbls>
          <c:showLegendKey val="0"/>
          <c:showVal val="0"/>
          <c:showCatName val="0"/>
          <c:showSerName val="0"/>
          <c:showPercent val="0"/>
          <c:showBubbleSize val="0"/>
        </c:dLbls>
        <c:marker val="1"/>
        <c:smooth val="0"/>
        <c:axId val="231008896"/>
        <c:axId val="231007360"/>
      </c:lineChart>
      <c:catAx>
        <c:axId val="230991744"/>
        <c:scaling>
          <c:orientation val="minMax"/>
        </c:scaling>
        <c:delete val="0"/>
        <c:axPos val="b"/>
        <c:numFmt formatCode="General" sourceLinked="1"/>
        <c:majorTickMark val="out"/>
        <c:minorTickMark val="none"/>
        <c:tickLblPos val="nextTo"/>
        <c:txPr>
          <a:bodyPr/>
          <a:lstStyle/>
          <a:p>
            <a:pPr>
              <a:defRPr sz="800"/>
            </a:pPr>
            <a:endParaRPr lang="es-GT"/>
          </a:p>
        </c:txPr>
        <c:crossAx val="230993280"/>
        <c:crosses val="autoZero"/>
        <c:auto val="1"/>
        <c:lblAlgn val="ctr"/>
        <c:lblOffset val="100"/>
        <c:noMultiLvlLbl val="0"/>
      </c:catAx>
      <c:valAx>
        <c:axId val="230993280"/>
        <c:scaling>
          <c:orientation val="minMax"/>
        </c:scaling>
        <c:delete val="0"/>
        <c:axPos val="l"/>
        <c:numFmt formatCode="#,##0.0" sourceLinked="1"/>
        <c:majorTickMark val="out"/>
        <c:minorTickMark val="none"/>
        <c:tickLblPos val="nextTo"/>
        <c:txPr>
          <a:bodyPr/>
          <a:lstStyle/>
          <a:p>
            <a:pPr>
              <a:defRPr sz="700"/>
            </a:pPr>
            <a:endParaRPr lang="es-GT"/>
          </a:p>
        </c:txPr>
        <c:crossAx val="230991744"/>
        <c:crosses val="autoZero"/>
        <c:crossBetween val="between"/>
      </c:valAx>
      <c:valAx>
        <c:axId val="231007360"/>
        <c:scaling>
          <c:orientation val="minMax"/>
        </c:scaling>
        <c:delete val="0"/>
        <c:axPos val="r"/>
        <c:numFmt formatCode="General" sourceLinked="1"/>
        <c:majorTickMark val="out"/>
        <c:minorTickMark val="none"/>
        <c:tickLblPos val="nextTo"/>
        <c:txPr>
          <a:bodyPr/>
          <a:lstStyle/>
          <a:p>
            <a:pPr>
              <a:defRPr sz="700"/>
            </a:pPr>
            <a:endParaRPr lang="es-GT"/>
          </a:p>
        </c:txPr>
        <c:crossAx val="231008896"/>
        <c:crosses val="max"/>
        <c:crossBetween val="between"/>
      </c:valAx>
      <c:catAx>
        <c:axId val="231008896"/>
        <c:scaling>
          <c:orientation val="minMax"/>
        </c:scaling>
        <c:delete val="1"/>
        <c:axPos val="b"/>
        <c:numFmt formatCode="General" sourceLinked="1"/>
        <c:majorTickMark val="out"/>
        <c:minorTickMark val="none"/>
        <c:tickLblPos val="nextTo"/>
        <c:crossAx val="231007360"/>
        <c:crosses val="autoZero"/>
        <c:auto val="1"/>
        <c:lblAlgn val="ctr"/>
        <c:lblOffset val="100"/>
        <c:noMultiLvlLbl val="0"/>
      </c:catAx>
    </c:plotArea>
    <c:legend>
      <c:legendPos val="b"/>
      <c:layout>
        <c:manualLayout>
          <c:xMode val="edge"/>
          <c:yMode val="edge"/>
          <c:x val="0.29844567021613394"/>
          <c:y val="0.89880202031516976"/>
          <c:w val="0.48702487547306345"/>
          <c:h val="7.1965863640234745E-2"/>
        </c:manualLayout>
      </c:layout>
      <c:overlay val="0"/>
      <c:txPr>
        <a:bodyPr/>
        <a:lstStyle/>
        <a:p>
          <a:pPr>
            <a:defRPr sz="800"/>
          </a:pPr>
          <a:endParaRPr lang="es-GT"/>
        </a:p>
      </c:txPr>
    </c:legend>
    <c:plotVisOnly val="1"/>
    <c:dispBlanksAs val="gap"/>
    <c:showDLblsOverMax val="0"/>
  </c:chart>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6455882377774"/>
          <c:y val="0.11131021306160259"/>
          <c:w val="0.74630505520929546"/>
          <c:h val="0.80864245488135589"/>
        </c:manualLayout>
      </c:layout>
      <c:radarChart>
        <c:radarStyle val="marker"/>
        <c:varyColors val="0"/>
        <c:ser>
          <c:idx val="0"/>
          <c:order val="0"/>
          <c:tx>
            <c:strRef>
              <c:f>Hoja1!$B$1</c:f>
              <c:strCache>
                <c:ptCount val="1"/>
                <c:pt idx="0">
                  <c:v>Trib neto</c:v>
                </c:pt>
              </c:strCache>
            </c:strRef>
          </c:tx>
          <c:spPr>
            <a:ln w="22225" cap="rnd">
              <a:solidFill>
                <a:srgbClr val="0070C0"/>
              </a:solidFill>
              <a:round/>
            </a:ln>
            <a:effectLst/>
          </c:spPr>
          <c:marker>
            <c:symbol val="circle"/>
            <c:size val="3"/>
            <c:spPr>
              <a:solidFill>
                <a:schemeClr val="lt1"/>
              </a:solidFill>
              <a:ln w="15875">
                <a:solidFill>
                  <a:srgbClr val="0070C0"/>
                </a:solidFill>
                <a:round/>
              </a:ln>
              <a:effectLst/>
            </c:spPr>
          </c:marker>
          <c:dPt>
            <c:idx val="2"/>
            <c:bubble3D val="0"/>
            <c:extLst xmlns:c16r2="http://schemas.microsoft.com/office/drawing/2015/06/chart">
              <c:ext xmlns:c16="http://schemas.microsoft.com/office/drawing/2014/chart" uri="{C3380CC4-5D6E-409C-BE32-E72D297353CC}">
                <c16:uniqueId val="{00000000-A827-46A2-AB32-F07B78EA2FA3}"/>
              </c:ext>
            </c:extLst>
          </c:dPt>
          <c:dPt>
            <c:idx val="3"/>
            <c:bubble3D val="0"/>
            <c:extLst xmlns:c16r2="http://schemas.microsoft.com/office/drawing/2015/06/chart">
              <c:ext xmlns:c16="http://schemas.microsoft.com/office/drawing/2014/chart" uri="{C3380CC4-5D6E-409C-BE32-E72D297353CC}">
                <c16:uniqueId val="{00000001-A827-46A2-AB32-F07B78EA2FA3}"/>
              </c:ext>
            </c:extLst>
          </c:dPt>
          <c:dPt>
            <c:idx val="4"/>
            <c:bubble3D val="0"/>
            <c:extLst xmlns:c16r2="http://schemas.microsoft.com/office/drawing/2015/06/chart">
              <c:ext xmlns:c16="http://schemas.microsoft.com/office/drawing/2014/chart" uri="{C3380CC4-5D6E-409C-BE32-E72D297353CC}">
                <c16:uniqueId val="{00000002-A827-46A2-AB32-F07B78EA2FA3}"/>
              </c:ext>
            </c:extLst>
          </c:dPt>
          <c:dLbls>
            <c:dLbl>
              <c:idx val="0"/>
              <c:layout>
                <c:manualLayout>
                  <c:x val="1.1088397887062377E-2"/>
                  <c:y val="-9.33540931608718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27-46A2-AB32-F07B78EA2FA3}"/>
                </c:ext>
              </c:extLst>
            </c:dLbl>
            <c:dLbl>
              <c:idx val="1"/>
              <c:layout>
                <c:manualLayout>
                  <c:x val="3.2428135944386142E-2"/>
                  <c:y val="8.72640050136213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27-46A2-AB32-F07B78EA2FA3}"/>
                </c:ext>
              </c:extLst>
            </c:dLbl>
            <c:dLbl>
              <c:idx val="2"/>
              <c:layout>
                <c:manualLayout>
                  <c:x val="0.19979578357921693"/>
                  <c:y val="-4.59533714396540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27-46A2-AB32-F07B78EA2FA3}"/>
                </c:ext>
              </c:extLst>
            </c:dLbl>
            <c:dLbl>
              <c:idx val="3"/>
              <c:layout>
                <c:manualLayout>
                  <c:x val="0.15617727660114722"/>
                  <c:y val="8.8111066765906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27-46A2-AB32-F07B78EA2FA3}"/>
                </c:ext>
              </c:extLst>
            </c:dLbl>
            <c:dLbl>
              <c:idx val="4"/>
              <c:layout>
                <c:manualLayout>
                  <c:x val="0.16485546150615013"/>
                  <c:y val="0.201104979572459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27-46A2-AB32-F07B78EA2FA3}"/>
                </c:ext>
              </c:extLst>
            </c:dLbl>
            <c:dLbl>
              <c:idx val="5"/>
              <c:layout>
                <c:manualLayout>
                  <c:x val="0"/>
                  <c:y val="0.198665470672884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27-46A2-AB32-F07B78EA2FA3}"/>
                </c:ext>
              </c:extLst>
            </c:dLbl>
            <c:dLbl>
              <c:idx val="6"/>
              <c:layout>
                <c:manualLayout>
                  <c:x val="-0.12192713039461582"/>
                  <c:y val="0.173714237331433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827-46A2-AB32-F07B78EA2FA3}"/>
                </c:ext>
              </c:extLst>
            </c:dLbl>
            <c:dLbl>
              <c:idx val="7"/>
              <c:layout>
                <c:manualLayout>
                  <c:x val="-0.15899470685083961"/>
                  <c:y val="9.70350667644593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27-46A2-AB32-F07B78EA2FA3}"/>
                </c:ext>
              </c:extLst>
            </c:dLbl>
            <c:dLbl>
              <c:idx val="8"/>
              <c:layout>
                <c:manualLayout>
                  <c:x val="-0.22991567968816479"/>
                  <c:y val="-1.1198149128459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827-46A2-AB32-F07B78EA2FA3}"/>
                </c:ext>
              </c:extLst>
            </c:dLbl>
            <c:dLbl>
              <c:idx val="9"/>
              <c:layout>
                <c:manualLayout>
                  <c:x val="-0.14351614556637626"/>
                  <c:y val="-9.2439749092109613E-2"/>
                </c:manualLayout>
              </c:layout>
              <c:numFmt formatCode="0.0%" sourceLinked="0"/>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27-46A2-AB32-F07B78EA2FA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Hoja1!$A$2:$A$15</c:f>
              <c:numCache>
                <c:formatCode>mmm\-yy</c:formatCode>
                <c:ptCount val="10"/>
                <c:pt idx="0">
                  <c:v>40330</c:v>
                </c:pt>
                <c:pt idx="1">
                  <c:v>40695</c:v>
                </c:pt>
                <c:pt idx="2">
                  <c:v>41061</c:v>
                </c:pt>
                <c:pt idx="3">
                  <c:v>41426</c:v>
                </c:pt>
                <c:pt idx="4">
                  <c:v>41791</c:v>
                </c:pt>
                <c:pt idx="5">
                  <c:v>42156</c:v>
                </c:pt>
                <c:pt idx="6">
                  <c:v>42522</c:v>
                </c:pt>
                <c:pt idx="7">
                  <c:v>42887</c:v>
                </c:pt>
                <c:pt idx="8">
                  <c:v>43252</c:v>
                </c:pt>
                <c:pt idx="9">
                  <c:v>43617</c:v>
                </c:pt>
              </c:numCache>
            </c:numRef>
          </c:cat>
          <c:val>
            <c:numRef>
              <c:f>Hoja1!$B$2:$B$15</c:f>
              <c:numCache>
                <c:formatCode>General</c:formatCode>
                <c:ptCount val="10"/>
                <c:pt idx="0">
                  <c:v>9.0723883905867941E-2</c:v>
                </c:pt>
                <c:pt idx="1">
                  <c:v>0.1925620840117146</c:v>
                </c:pt>
                <c:pt idx="2">
                  <c:v>6.0151310173759409E-2</c:v>
                </c:pt>
                <c:pt idx="3">
                  <c:v>8.5143083039798562E-2</c:v>
                </c:pt>
                <c:pt idx="4">
                  <c:v>4.5206002489583064E-2</c:v>
                </c:pt>
                <c:pt idx="5">
                  <c:v>2.2224602995835729E-2</c:v>
                </c:pt>
                <c:pt idx="6">
                  <c:v>6.605323003950736E-2</c:v>
                </c:pt>
                <c:pt idx="7">
                  <c:v>7.6097434045871548E-2</c:v>
                </c:pt>
                <c:pt idx="8">
                  <c:v>2.8817404101354249E-2</c:v>
                </c:pt>
                <c:pt idx="9">
                  <c:v>3.9842122875228592E-2</c:v>
                </c:pt>
              </c:numCache>
            </c:numRef>
          </c:val>
          <c:extLst xmlns:c16r2="http://schemas.microsoft.com/office/drawing/2015/06/chart">
            <c:ext xmlns:c16="http://schemas.microsoft.com/office/drawing/2014/chart" uri="{C3380CC4-5D6E-409C-BE32-E72D297353CC}">
              <c16:uniqueId val="{0000000A-A827-46A2-AB32-F07B78EA2FA3}"/>
            </c:ext>
          </c:extLst>
        </c:ser>
        <c:dLbls>
          <c:showLegendKey val="0"/>
          <c:showVal val="0"/>
          <c:showCatName val="0"/>
          <c:showSerName val="0"/>
          <c:showPercent val="0"/>
          <c:showBubbleSize val="0"/>
        </c:dLbls>
        <c:axId val="233333888"/>
        <c:axId val="233335424"/>
      </c:radarChart>
      <c:catAx>
        <c:axId val="233333888"/>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ysClr val="windowText" lastClr="000000"/>
                </a:solidFill>
                <a:latin typeface="+mn-lt"/>
                <a:ea typeface="+mn-ea"/>
                <a:cs typeface="+mn-cs"/>
              </a:defRPr>
            </a:pPr>
            <a:endParaRPr lang="es-GT"/>
          </a:p>
        </c:txPr>
        <c:crossAx val="233335424"/>
        <c:crosses val="autoZero"/>
        <c:auto val="0"/>
        <c:lblAlgn val="ctr"/>
        <c:lblOffset val="100"/>
        <c:noMultiLvlLbl val="1"/>
      </c:catAx>
      <c:valAx>
        <c:axId val="233335424"/>
        <c:scaling>
          <c:orientation val="minMax"/>
          <c:max val="0.20500000000000002"/>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es-GT"/>
          </a:p>
        </c:txPr>
        <c:crossAx val="2333338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013940474421839E-2"/>
          <c:y val="4.1198501872659173E-2"/>
          <c:w val="0.93097348090922594"/>
          <c:h val="0.91571647645167953"/>
        </c:manualLayout>
      </c:layout>
      <c:lineChart>
        <c:grouping val="standard"/>
        <c:varyColors val="0"/>
        <c:ser>
          <c:idx val="0"/>
          <c:order val="0"/>
          <c:tx>
            <c:strRef>
              <c:f>IMAE!$B$3</c:f>
              <c:strCache>
                <c:ptCount val="1"/>
              </c:strCache>
            </c:strRef>
          </c:tx>
          <c:marker>
            <c:symbol val="none"/>
          </c:marker>
          <c:dLbls>
            <c:dLbl>
              <c:idx val="29"/>
              <c:layout>
                <c:manualLayout>
                  <c:x val="-4.3006666835390159E-2"/>
                  <c:y val="-2.6573132958426646E-2"/>
                </c:manualLayout>
              </c:layout>
              <c:showLegendKey val="0"/>
              <c:showVal val="1"/>
              <c:showCatName val="0"/>
              <c:showSerName val="0"/>
              <c:showPercent val="0"/>
              <c:showBubbleSize val="0"/>
            </c:dLbl>
            <c:dLbl>
              <c:idx val="35"/>
              <c:layout>
                <c:manualLayout>
                  <c:x val="-4.7533684397010174E-2"/>
                  <c:y val="-5.3146265916853293E-2"/>
                </c:manualLayout>
              </c:layout>
              <c:showLegendKey val="0"/>
              <c:showVal val="1"/>
              <c:showCatName val="0"/>
              <c:showSerName val="0"/>
              <c:showPercent val="0"/>
              <c:showBubbleSize val="0"/>
            </c:dLbl>
            <c:dLbl>
              <c:idx val="41"/>
              <c:layout>
                <c:manualLayout>
                  <c:x val="0"/>
                  <c:y val="3.5430843944568864E-2"/>
                </c:manualLayout>
              </c:layout>
              <c:showLegendKey val="0"/>
              <c:showVal val="1"/>
              <c:showCatName val="0"/>
              <c:showSerName val="0"/>
              <c:showPercent val="0"/>
              <c:showBubbleSize val="0"/>
            </c:dLbl>
            <c:txPr>
              <a:bodyPr/>
              <a:lstStyle/>
              <a:p>
                <a:pPr>
                  <a:defRPr sz="700"/>
                </a:pPr>
                <a:endParaRPr lang="es-GT"/>
              </a:p>
            </c:txPr>
            <c:showLegendKey val="0"/>
            <c:showVal val="0"/>
            <c:showCatName val="0"/>
            <c:showSerName val="0"/>
            <c:showPercent val="0"/>
            <c:showBubbleSize val="0"/>
          </c:dLbls>
          <c:cat>
            <c:numRef>
              <c:f>IMAE!$A$16:$A$57</c:f>
              <c:numCache>
                <c:formatCode>mmm\-yy</c:formatCode>
                <c:ptCount val="4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numCache>
            </c:numRef>
          </c:cat>
          <c:val>
            <c:numRef>
              <c:f>IMAE!$B$16:$B$57</c:f>
              <c:numCache>
                <c:formatCode>0.0</c:formatCode>
                <c:ptCount val="42"/>
                <c:pt idx="0">
                  <c:v>67</c:v>
                </c:pt>
                <c:pt idx="1">
                  <c:v>60.7</c:v>
                </c:pt>
                <c:pt idx="2">
                  <c:v>61.5</c:v>
                </c:pt>
                <c:pt idx="3">
                  <c:v>62.5</c:v>
                </c:pt>
                <c:pt idx="4">
                  <c:v>61.7</c:v>
                </c:pt>
                <c:pt idx="5">
                  <c:v>50.9</c:v>
                </c:pt>
                <c:pt idx="6">
                  <c:v>45</c:v>
                </c:pt>
                <c:pt idx="7">
                  <c:v>37.5</c:v>
                </c:pt>
                <c:pt idx="8">
                  <c:v>38.9</c:v>
                </c:pt>
                <c:pt idx="9">
                  <c:v>45.1</c:v>
                </c:pt>
                <c:pt idx="10">
                  <c:v>43.5</c:v>
                </c:pt>
                <c:pt idx="11">
                  <c:v>57</c:v>
                </c:pt>
                <c:pt idx="12">
                  <c:v>58.04</c:v>
                </c:pt>
                <c:pt idx="13">
                  <c:v>55</c:v>
                </c:pt>
                <c:pt idx="14">
                  <c:v>50</c:v>
                </c:pt>
                <c:pt idx="15">
                  <c:v>54.17</c:v>
                </c:pt>
                <c:pt idx="16">
                  <c:v>53.58</c:v>
                </c:pt>
                <c:pt idx="17">
                  <c:v>50</c:v>
                </c:pt>
                <c:pt idx="18">
                  <c:v>46.67</c:v>
                </c:pt>
                <c:pt idx="19">
                  <c:v>44.45</c:v>
                </c:pt>
                <c:pt idx="20">
                  <c:v>25</c:v>
                </c:pt>
                <c:pt idx="21">
                  <c:v>20.84</c:v>
                </c:pt>
                <c:pt idx="22">
                  <c:v>30.15</c:v>
                </c:pt>
                <c:pt idx="23">
                  <c:v>33.340000000000003</c:v>
                </c:pt>
                <c:pt idx="24" formatCode="General">
                  <c:v>49.22</c:v>
                </c:pt>
                <c:pt idx="25" formatCode="General">
                  <c:v>46.83</c:v>
                </c:pt>
                <c:pt idx="26" formatCode="General">
                  <c:v>47.31</c:v>
                </c:pt>
                <c:pt idx="27" formatCode="General">
                  <c:v>42.88</c:v>
                </c:pt>
                <c:pt idx="28" formatCode="General">
                  <c:v>41.25</c:v>
                </c:pt>
                <c:pt idx="29" formatCode="General">
                  <c:v>44.28</c:v>
                </c:pt>
                <c:pt idx="30" formatCode="General">
                  <c:v>39.58</c:v>
                </c:pt>
                <c:pt idx="31" formatCode="General">
                  <c:v>44.17</c:v>
                </c:pt>
                <c:pt idx="32" formatCode="General">
                  <c:v>44</c:v>
                </c:pt>
                <c:pt idx="33" formatCode="General">
                  <c:v>44.82</c:v>
                </c:pt>
                <c:pt idx="34" formatCode="General">
                  <c:v>45.27</c:v>
                </c:pt>
                <c:pt idx="35" formatCode="General">
                  <c:v>48.81</c:v>
                </c:pt>
                <c:pt idx="36" formatCode="General">
                  <c:v>47.76</c:v>
                </c:pt>
                <c:pt idx="37" formatCode="General">
                  <c:v>43.29</c:v>
                </c:pt>
                <c:pt idx="38" formatCode="General">
                  <c:v>44.58</c:v>
                </c:pt>
                <c:pt idx="39" formatCode="General">
                  <c:v>44.61</c:v>
                </c:pt>
                <c:pt idx="40" formatCode="General">
                  <c:v>46.96</c:v>
                </c:pt>
                <c:pt idx="41" formatCode="General">
                  <c:v>37.520000000000003</c:v>
                </c:pt>
              </c:numCache>
            </c:numRef>
          </c:val>
          <c:smooth val="0"/>
        </c:ser>
        <c:ser>
          <c:idx val="1"/>
          <c:order val="1"/>
          <c:tx>
            <c:strRef>
              <c:f>IMAE!$C$3</c:f>
              <c:strCache>
                <c:ptCount val="1"/>
              </c:strCache>
            </c:strRef>
          </c:tx>
          <c:marker>
            <c:symbol val="none"/>
          </c:marker>
          <c:cat>
            <c:numRef>
              <c:f>IMAE!$A$16:$A$57</c:f>
              <c:numCache>
                <c:formatCode>mmm\-yy</c:formatCode>
                <c:ptCount val="4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numCache>
            </c:numRef>
          </c:cat>
          <c:val>
            <c:numRef>
              <c:f>IMAE!$C$4:$C$57</c:f>
              <c:numCache>
                <c:formatCode>General</c:formatCode>
                <c:ptCount val="54"/>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numCache>
            </c:numRef>
          </c:val>
          <c:smooth val="0"/>
        </c:ser>
        <c:dLbls>
          <c:showLegendKey val="0"/>
          <c:showVal val="0"/>
          <c:showCatName val="0"/>
          <c:showSerName val="0"/>
          <c:showPercent val="0"/>
          <c:showBubbleSize val="0"/>
        </c:dLbls>
        <c:marker val="1"/>
        <c:smooth val="0"/>
        <c:axId val="158706304"/>
        <c:axId val="159682944"/>
      </c:lineChart>
      <c:dateAx>
        <c:axId val="158706304"/>
        <c:scaling>
          <c:orientation val="minMax"/>
        </c:scaling>
        <c:delete val="0"/>
        <c:axPos val="b"/>
        <c:numFmt formatCode="mmm\-yy" sourceLinked="1"/>
        <c:majorTickMark val="out"/>
        <c:minorTickMark val="none"/>
        <c:tickLblPos val="nextTo"/>
        <c:txPr>
          <a:bodyPr rot="-5400000" vert="horz"/>
          <a:lstStyle/>
          <a:p>
            <a:pPr>
              <a:defRPr sz="800"/>
            </a:pPr>
            <a:endParaRPr lang="es-GT"/>
          </a:p>
        </c:txPr>
        <c:crossAx val="159682944"/>
        <c:crosses val="autoZero"/>
        <c:auto val="1"/>
        <c:lblOffset val="100"/>
        <c:baseTimeUnit val="months"/>
      </c:dateAx>
      <c:valAx>
        <c:axId val="159682944"/>
        <c:scaling>
          <c:orientation val="minMax"/>
          <c:max val="80"/>
        </c:scaling>
        <c:delete val="0"/>
        <c:axPos val="l"/>
        <c:numFmt formatCode="0.0" sourceLinked="1"/>
        <c:majorTickMark val="out"/>
        <c:minorTickMark val="none"/>
        <c:tickLblPos val="nextTo"/>
        <c:txPr>
          <a:bodyPr/>
          <a:lstStyle/>
          <a:p>
            <a:pPr>
              <a:defRPr sz="800"/>
            </a:pPr>
            <a:endParaRPr lang="es-GT"/>
          </a:p>
        </c:txPr>
        <c:crossAx val="158706304"/>
        <c:crosses val="autoZero"/>
        <c:crossBetween val="between"/>
        <c:majorUnit val="15"/>
      </c:valAx>
    </c:plotArea>
    <c:plotVisOnly val="1"/>
    <c:dispBlanksAs val="gap"/>
    <c:showDLblsOverMax val="0"/>
  </c:chart>
  <c:spPr>
    <a:ln>
      <a:solidFill>
        <a:sysClr val="windowText" lastClr="000000"/>
      </a:solidFill>
    </a:ln>
  </c:spPr>
  <c:txPr>
    <a:bodyPr/>
    <a:lstStyle/>
    <a:p>
      <a:pPr>
        <a:defRPr sz="900">
          <a:latin typeface="Times New Roman" pitchFamily="18" charset="0"/>
          <a:cs typeface="Times New Roman" pitchFamily="18"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19822944930456E-2"/>
          <c:y val="3.5974137768277792E-2"/>
          <c:w val="0.89342601084379147"/>
          <c:h val="0.8000712190708531"/>
        </c:manualLayout>
      </c:layout>
      <c:lineChart>
        <c:grouping val="standard"/>
        <c:varyColors val="0"/>
        <c:ser>
          <c:idx val="0"/>
          <c:order val="0"/>
          <c:spPr>
            <a:ln>
              <a:solidFill>
                <a:schemeClr val="accent2">
                  <a:lumMod val="75000"/>
                </a:schemeClr>
              </a:solidFill>
            </a:ln>
          </c:spPr>
          <c:marker>
            <c:symbol val="none"/>
          </c:marker>
          <c:dLbls>
            <c:dLbl>
              <c:idx val="77"/>
              <c:layout>
                <c:manualLayout>
                  <c:x val="-2.7162100528645056E-2"/>
                  <c:y val="4.8091724171620054E-2"/>
                </c:manualLayout>
              </c:layout>
              <c:spPr/>
              <c:txPr>
                <a:bodyPr/>
                <a:lstStyle/>
                <a:p>
                  <a:pPr>
                    <a:defRPr sz="700"/>
                  </a:pPr>
                  <a:endParaRPr lang="es-GT"/>
                </a:p>
              </c:txPr>
              <c:showLegendKey val="0"/>
              <c:showVal val="1"/>
              <c:showCatName val="0"/>
              <c:showSerName val="0"/>
              <c:showPercent val="0"/>
              <c:showBubbleSize val="0"/>
            </c:dLbl>
            <c:showLegendKey val="0"/>
            <c:showVal val="0"/>
            <c:showCatName val="0"/>
            <c:showSerName val="0"/>
            <c:showPercent val="0"/>
            <c:showBubbleSize val="0"/>
          </c:dLbls>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'!$B$32:$B$121</c:f>
              <c:numCache>
                <c:formatCode>0.00</c:formatCode>
                <c:ptCount val="90"/>
                <c:pt idx="0">
                  <c:v>3.84</c:v>
                </c:pt>
                <c:pt idx="1">
                  <c:v>4</c:v>
                </c:pt>
                <c:pt idx="2">
                  <c:v>4</c:v>
                </c:pt>
                <c:pt idx="3">
                  <c:v>3.9</c:v>
                </c:pt>
                <c:pt idx="4">
                  <c:v>3.95</c:v>
                </c:pt>
                <c:pt idx="5">
                  <c:v>4.04</c:v>
                </c:pt>
                <c:pt idx="6">
                  <c:v>3.94</c:v>
                </c:pt>
                <c:pt idx="7">
                  <c:v>3.71</c:v>
                </c:pt>
                <c:pt idx="8">
                  <c:v>3.54</c:v>
                </c:pt>
                <c:pt idx="9">
                  <c:v>3.46</c:v>
                </c:pt>
                <c:pt idx="10">
                  <c:v>3.56</c:v>
                </c:pt>
                <c:pt idx="11">
                  <c:v>3.49</c:v>
                </c:pt>
                <c:pt idx="12">
                  <c:v>3.35</c:v>
                </c:pt>
                <c:pt idx="13">
                  <c:v>3.12</c:v>
                </c:pt>
                <c:pt idx="14">
                  <c:v>3.06</c:v>
                </c:pt>
                <c:pt idx="15">
                  <c:v>3.08</c:v>
                </c:pt>
                <c:pt idx="16">
                  <c:v>3.02</c:v>
                </c:pt>
                <c:pt idx="17">
                  <c:v>2.94</c:v>
                </c:pt>
                <c:pt idx="18">
                  <c:v>3.04</c:v>
                </c:pt>
                <c:pt idx="19">
                  <c:v>3.23</c:v>
                </c:pt>
                <c:pt idx="20">
                  <c:v>3.28</c:v>
                </c:pt>
                <c:pt idx="21">
                  <c:v>3.32</c:v>
                </c:pt>
                <c:pt idx="22">
                  <c:v>3.2</c:v>
                </c:pt>
                <c:pt idx="23">
                  <c:v>3.25</c:v>
                </c:pt>
                <c:pt idx="24">
                  <c:v>3.23</c:v>
                </c:pt>
                <c:pt idx="25">
                  <c:v>3.26</c:v>
                </c:pt>
                <c:pt idx="26">
                  <c:v>3.19</c:v>
                </c:pt>
                <c:pt idx="27">
                  <c:v>3.18</c:v>
                </c:pt>
                <c:pt idx="28">
                  <c:v>3.21</c:v>
                </c:pt>
                <c:pt idx="29">
                  <c:v>3.23</c:v>
                </c:pt>
                <c:pt idx="30">
                  <c:v>3.27</c:v>
                </c:pt>
                <c:pt idx="31">
                  <c:v>3.2</c:v>
                </c:pt>
                <c:pt idx="32">
                  <c:v>3.1</c:v>
                </c:pt>
                <c:pt idx="33">
                  <c:v>3.11</c:v>
                </c:pt>
                <c:pt idx="34">
                  <c:v>3.13</c:v>
                </c:pt>
                <c:pt idx="35">
                  <c:v>3.15</c:v>
                </c:pt>
                <c:pt idx="36">
                  <c:v>3.17</c:v>
                </c:pt>
                <c:pt idx="37">
                  <c:v>3.2</c:v>
                </c:pt>
                <c:pt idx="38">
                  <c:v>3.24</c:v>
                </c:pt>
                <c:pt idx="39">
                  <c:v>3.18</c:v>
                </c:pt>
                <c:pt idx="40">
                  <c:v>3.26</c:v>
                </c:pt>
                <c:pt idx="41">
                  <c:v>3.18</c:v>
                </c:pt>
                <c:pt idx="42">
                  <c:v>3.15</c:v>
                </c:pt>
                <c:pt idx="43">
                  <c:v>3.03</c:v>
                </c:pt>
                <c:pt idx="44">
                  <c:v>2.94</c:v>
                </c:pt>
                <c:pt idx="45">
                  <c:v>3</c:v>
                </c:pt>
                <c:pt idx="46">
                  <c:v>3.06</c:v>
                </c:pt>
                <c:pt idx="47">
                  <c:v>3.05</c:v>
                </c:pt>
                <c:pt idx="48">
                  <c:v>3.16</c:v>
                </c:pt>
                <c:pt idx="49">
                  <c:v>3.1</c:v>
                </c:pt>
                <c:pt idx="50">
                  <c:v>3.08</c:v>
                </c:pt>
                <c:pt idx="51">
                  <c:v>3.03</c:v>
                </c:pt>
                <c:pt idx="52">
                  <c:v>2.87</c:v>
                </c:pt>
                <c:pt idx="53">
                  <c:v>2.94</c:v>
                </c:pt>
                <c:pt idx="54">
                  <c:v>2.92</c:v>
                </c:pt>
                <c:pt idx="55">
                  <c:v>2.76</c:v>
                </c:pt>
                <c:pt idx="56">
                  <c:v>2.84</c:v>
                </c:pt>
                <c:pt idx="57">
                  <c:v>2.9</c:v>
                </c:pt>
                <c:pt idx="58">
                  <c:v>2.94</c:v>
                </c:pt>
                <c:pt idx="59">
                  <c:v>2.96</c:v>
                </c:pt>
                <c:pt idx="60">
                  <c:v>2.66</c:v>
                </c:pt>
                <c:pt idx="61">
                  <c:v>2.57</c:v>
                </c:pt>
                <c:pt idx="62">
                  <c:v>2.62</c:v>
                </c:pt>
                <c:pt idx="63">
                  <c:v>2.58</c:v>
                </c:pt>
                <c:pt idx="64">
                  <c:v>2.61</c:v>
                </c:pt>
                <c:pt idx="65">
                  <c:v>2.6</c:v>
                </c:pt>
                <c:pt idx="66">
                  <c:v>2.57</c:v>
                </c:pt>
                <c:pt idx="67">
                  <c:v>2.79</c:v>
                </c:pt>
                <c:pt idx="68">
                  <c:v>2.87</c:v>
                </c:pt>
                <c:pt idx="69">
                  <c:v>2.9</c:v>
                </c:pt>
                <c:pt idx="70">
                  <c:v>2.92</c:v>
                </c:pt>
                <c:pt idx="71">
                  <c:v>2.95</c:v>
                </c:pt>
                <c:pt idx="72">
                  <c:v>2.66</c:v>
                </c:pt>
                <c:pt idx="73">
                  <c:v>2.57</c:v>
                </c:pt>
                <c:pt idx="74">
                  <c:v>2.62</c:v>
                </c:pt>
                <c:pt idx="75">
                  <c:v>2.58</c:v>
                </c:pt>
                <c:pt idx="76">
                  <c:v>2.61</c:v>
                </c:pt>
                <c:pt idx="77">
                  <c:v>2.6</c:v>
                </c:pt>
                <c:pt idx="78">
                  <c:v>2.57</c:v>
                </c:pt>
                <c:pt idx="79">
                  <c:v>2.79</c:v>
                </c:pt>
                <c:pt idx="80">
                  <c:v>2.87</c:v>
                </c:pt>
                <c:pt idx="81">
                  <c:v>2.9</c:v>
                </c:pt>
                <c:pt idx="82">
                  <c:v>2.92</c:v>
                </c:pt>
                <c:pt idx="83">
                  <c:v>2.95</c:v>
                </c:pt>
                <c:pt idx="84">
                  <c:v>3.03</c:v>
                </c:pt>
                <c:pt idx="85">
                  <c:v>3.07</c:v>
                </c:pt>
                <c:pt idx="86">
                  <c:v>2.94</c:v>
                </c:pt>
                <c:pt idx="87">
                  <c:v>3.04</c:v>
                </c:pt>
                <c:pt idx="88">
                  <c:v>3.02</c:v>
                </c:pt>
                <c:pt idx="89">
                  <c:v>3.09</c:v>
                </c:pt>
              </c:numCache>
            </c:numRef>
          </c:val>
          <c:smooth val="0"/>
        </c:ser>
        <c:ser>
          <c:idx val="1"/>
          <c:order val="1"/>
          <c:spPr>
            <a:ln>
              <a:solidFill>
                <a:schemeClr val="accent3"/>
              </a:solidFill>
            </a:ln>
          </c:spPr>
          <c:marker>
            <c:symbol val="none"/>
          </c:marker>
          <c:dLbls>
            <c:dLbl>
              <c:idx val="89"/>
              <c:showLegendKey val="0"/>
              <c:showVal val="1"/>
              <c:showCatName val="0"/>
              <c:showSerName val="0"/>
              <c:showPercent val="0"/>
              <c:showBubbleSize val="0"/>
            </c:dLbl>
            <c:txPr>
              <a:bodyPr/>
              <a:lstStyle/>
              <a:p>
                <a:pPr>
                  <a:defRPr sz="700"/>
                </a:pPr>
                <a:endParaRPr lang="es-GT"/>
              </a:p>
            </c:txPr>
            <c:showLegendKey val="0"/>
            <c:showVal val="0"/>
            <c:showCatName val="0"/>
            <c:showSerName val="0"/>
            <c:showPercent val="0"/>
            <c:showBubbleSize val="0"/>
          </c:dLbls>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'!$C$32:$C$121</c:f>
              <c:numCache>
                <c:formatCode>0.00</c:formatCode>
                <c:ptCount val="90"/>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numCache>
            </c:numRef>
          </c:val>
          <c:smooth val="0"/>
        </c:ser>
        <c:ser>
          <c:idx val="2"/>
          <c:order val="2"/>
          <c:spPr>
            <a:ln>
              <a:solidFill>
                <a:schemeClr val="accent1"/>
              </a:solidFill>
            </a:ln>
          </c:spPr>
          <c:marker>
            <c:symbol val="none"/>
          </c:marker>
          <c:dLbls>
            <c:dLbl>
              <c:idx val="77"/>
              <c:layout>
                <c:manualLayout>
                  <c:x val="-5.8851217812064288E-2"/>
                  <c:y val="2.4045862085810069E-2"/>
                </c:manualLayout>
              </c:layout>
              <c:showLegendKey val="0"/>
              <c:showVal val="1"/>
              <c:showCatName val="0"/>
              <c:showSerName val="0"/>
              <c:showPercent val="0"/>
              <c:showBubbleSize val="0"/>
            </c:dLbl>
            <c:dLbl>
              <c:idx val="89"/>
              <c:showLegendKey val="0"/>
              <c:showVal val="1"/>
              <c:showCatName val="0"/>
              <c:showSerName val="0"/>
              <c:showPercent val="0"/>
              <c:showBubbleSize val="0"/>
            </c:dLbl>
            <c:txPr>
              <a:bodyPr/>
              <a:lstStyle/>
              <a:p>
                <a:pPr>
                  <a:defRPr sz="700"/>
                </a:pPr>
                <a:endParaRPr lang="es-GT"/>
              </a:p>
            </c:txPr>
            <c:showLegendKey val="0"/>
            <c:showVal val="0"/>
            <c:showCatName val="0"/>
            <c:showSerName val="0"/>
            <c:showPercent val="0"/>
            <c:showBubbleSize val="0"/>
          </c:dLbls>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'!$D$32:$D$121</c:f>
              <c:numCache>
                <c:formatCode>0.00</c:formatCode>
                <c:ptCount val="90"/>
                <c:pt idx="0">
                  <c:v>5.44</c:v>
                </c:pt>
                <c:pt idx="1">
                  <c:v>5.17</c:v>
                </c:pt>
                <c:pt idx="2">
                  <c:v>4.55</c:v>
                </c:pt>
                <c:pt idx="3">
                  <c:v>4.2699999999999996</c:v>
                </c:pt>
                <c:pt idx="4">
                  <c:v>3.9</c:v>
                </c:pt>
                <c:pt idx="5">
                  <c:v>3.47</c:v>
                </c:pt>
                <c:pt idx="6">
                  <c:v>2.86</c:v>
                </c:pt>
                <c:pt idx="7">
                  <c:v>2.71</c:v>
                </c:pt>
                <c:pt idx="8">
                  <c:v>3.28</c:v>
                </c:pt>
                <c:pt idx="9">
                  <c:v>3.35</c:v>
                </c:pt>
                <c:pt idx="10">
                  <c:v>3.11</c:v>
                </c:pt>
                <c:pt idx="11">
                  <c:v>3.45</c:v>
                </c:pt>
                <c:pt idx="12">
                  <c:v>3.86</c:v>
                </c:pt>
                <c:pt idx="13">
                  <c:v>4.18</c:v>
                </c:pt>
                <c:pt idx="14">
                  <c:v>4.34</c:v>
                </c:pt>
                <c:pt idx="15">
                  <c:v>4.13</c:v>
                </c:pt>
                <c:pt idx="16">
                  <c:v>4.2699999999999996</c:v>
                </c:pt>
                <c:pt idx="17">
                  <c:v>4.79</c:v>
                </c:pt>
                <c:pt idx="18">
                  <c:v>4.74</c:v>
                </c:pt>
                <c:pt idx="19">
                  <c:v>4.42</c:v>
                </c:pt>
                <c:pt idx="20">
                  <c:v>4.21</c:v>
                </c:pt>
                <c:pt idx="21">
                  <c:v>4.1500000000000004</c:v>
                </c:pt>
                <c:pt idx="22">
                  <c:v>4.63</c:v>
                </c:pt>
                <c:pt idx="23">
                  <c:v>4.3899999999999997</c:v>
                </c:pt>
                <c:pt idx="24">
                  <c:v>4.1399999999999997</c:v>
                </c:pt>
                <c:pt idx="25">
                  <c:v>3.5</c:v>
                </c:pt>
                <c:pt idx="26">
                  <c:v>3.25</c:v>
                </c:pt>
                <c:pt idx="27">
                  <c:v>3.27</c:v>
                </c:pt>
                <c:pt idx="28">
                  <c:v>3.22</c:v>
                </c:pt>
                <c:pt idx="29">
                  <c:v>3.13</c:v>
                </c:pt>
                <c:pt idx="30">
                  <c:v>3.41</c:v>
                </c:pt>
                <c:pt idx="31">
                  <c:v>3.7</c:v>
                </c:pt>
                <c:pt idx="32">
                  <c:v>3.45</c:v>
                </c:pt>
                <c:pt idx="33">
                  <c:v>3.64</c:v>
                </c:pt>
                <c:pt idx="34">
                  <c:v>3.38</c:v>
                </c:pt>
                <c:pt idx="35">
                  <c:v>2.95</c:v>
                </c:pt>
                <c:pt idx="36">
                  <c:v>2.3199999999999998</c:v>
                </c:pt>
                <c:pt idx="37">
                  <c:v>2.44</c:v>
                </c:pt>
                <c:pt idx="38">
                  <c:v>2.4300000000000002</c:v>
                </c:pt>
                <c:pt idx="39">
                  <c:v>2.58</c:v>
                </c:pt>
                <c:pt idx="40">
                  <c:v>2.5499999999999998</c:v>
                </c:pt>
                <c:pt idx="41">
                  <c:v>2.39</c:v>
                </c:pt>
                <c:pt idx="42">
                  <c:v>2.3199999999999998</c:v>
                </c:pt>
                <c:pt idx="43">
                  <c:v>1.96</c:v>
                </c:pt>
                <c:pt idx="44">
                  <c:v>1.88</c:v>
                </c:pt>
                <c:pt idx="45">
                  <c:v>2.23</c:v>
                </c:pt>
                <c:pt idx="46">
                  <c:v>2.5099999999999998</c:v>
                </c:pt>
                <c:pt idx="47">
                  <c:v>3.07</c:v>
                </c:pt>
                <c:pt idx="48">
                  <c:v>4.38</c:v>
                </c:pt>
                <c:pt idx="49">
                  <c:v>4.2699999999999996</c:v>
                </c:pt>
                <c:pt idx="50">
                  <c:v>4.26</c:v>
                </c:pt>
                <c:pt idx="51">
                  <c:v>4.09</c:v>
                </c:pt>
                <c:pt idx="52">
                  <c:v>4.3600000000000003</c:v>
                </c:pt>
                <c:pt idx="53">
                  <c:v>4.43</c:v>
                </c:pt>
                <c:pt idx="54">
                  <c:v>4.62</c:v>
                </c:pt>
                <c:pt idx="55">
                  <c:v>4.74</c:v>
                </c:pt>
                <c:pt idx="56">
                  <c:v>4.5599999999999996</c:v>
                </c:pt>
                <c:pt idx="57">
                  <c:v>4.76</c:v>
                </c:pt>
                <c:pt idx="58">
                  <c:v>4.67</c:v>
                </c:pt>
                <c:pt idx="59">
                  <c:v>4.2300000000000004</c:v>
                </c:pt>
                <c:pt idx="60">
                  <c:v>3.83</c:v>
                </c:pt>
                <c:pt idx="61">
                  <c:v>3.96</c:v>
                </c:pt>
                <c:pt idx="62">
                  <c:v>4</c:v>
                </c:pt>
                <c:pt idx="63">
                  <c:v>4.09</c:v>
                </c:pt>
                <c:pt idx="64">
                  <c:v>3.93</c:v>
                </c:pt>
                <c:pt idx="65">
                  <c:v>4.3600000000000003</c:v>
                </c:pt>
                <c:pt idx="66">
                  <c:v>5.22</c:v>
                </c:pt>
                <c:pt idx="67">
                  <c:v>4.72</c:v>
                </c:pt>
                <c:pt idx="68">
                  <c:v>4.3600000000000003</c:v>
                </c:pt>
                <c:pt idx="69">
                  <c:v>4.2</c:v>
                </c:pt>
                <c:pt idx="70">
                  <c:v>4.6900000000000004</c:v>
                </c:pt>
                <c:pt idx="71">
                  <c:v>5.68</c:v>
                </c:pt>
                <c:pt idx="72">
                  <c:v>4.71</c:v>
                </c:pt>
                <c:pt idx="73">
                  <c:v>4.1500000000000004</c:v>
                </c:pt>
                <c:pt idx="74">
                  <c:v>4.1399999999999997</c:v>
                </c:pt>
                <c:pt idx="75">
                  <c:v>3.92</c:v>
                </c:pt>
                <c:pt idx="76">
                  <c:v>4.09</c:v>
                </c:pt>
                <c:pt idx="77">
                  <c:v>3.79</c:v>
                </c:pt>
                <c:pt idx="78">
                  <c:v>2.61</c:v>
                </c:pt>
                <c:pt idx="79">
                  <c:v>3.36</c:v>
                </c:pt>
                <c:pt idx="80">
                  <c:v>4.55</c:v>
                </c:pt>
                <c:pt idx="81">
                  <c:v>4.34</c:v>
                </c:pt>
                <c:pt idx="82">
                  <c:v>3.15</c:v>
                </c:pt>
                <c:pt idx="83">
                  <c:v>2.31</c:v>
                </c:pt>
                <c:pt idx="84">
                  <c:v>4.0999999999999996</c:v>
                </c:pt>
                <c:pt idx="85">
                  <c:v>4.46</c:v>
                </c:pt>
                <c:pt idx="86">
                  <c:v>4.17</c:v>
                </c:pt>
                <c:pt idx="87">
                  <c:v>4.75</c:v>
                </c:pt>
                <c:pt idx="88">
                  <c:v>4.54</c:v>
                </c:pt>
                <c:pt idx="89">
                  <c:v>4.8</c:v>
                </c:pt>
              </c:numCache>
            </c:numRef>
          </c:val>
          <c:smooth val="0"/>
        </c:ser>
        <c:ser>
          <c:idx val="3"/>
          <c:order val="3"/>
          <c:marker>
            <c:symbol val="none"/>
          </c:marker>
          <c:cat>
            <c:numRef>
              <c:f>'Inflación '!$A$32:$A$121</c:f>
              <c:numCache>
                <c:formatCode>mmm\-yy</c:formatCode>
                <c:ptCount val="9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numCache>
            </c:numRef>
          </c:cat>
          <c:val>
            <c:numRef>
              <c:f>'Inflación '!$E$32:$E$121</c:f>
              <c:numCache>
                <c:formatCode>0.00</c:formatCode>
                <c:ptCount val="9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numCache>
            </c:numRef>
          </c:val>
          <c:smooth val="0"/>
        </c:ser>
        <c:dLbls>
          <c:showLegendKey val="0"/>
          <c:showVal val="0"/>
          <c:showCatName val="0"/>
          <c:showSerName val="0"/>
          <c:showPercent val="0"/>
          <c:showBubbleSize val="0"/>
        </c:dLbls>
        <c:marker val="1"/>
        <c:smooth val="0"/>
        <c:axId val="163245056"/>
        <c:axId val="163255040"/>
      </c:lineChart>
      <c:dateAx>
        <c:axId val="163245056"/>
        <c:scaling>
          <c:orientation val="minMax"/>
        </c:scaling>
        <c:delete val="0"/>
        <c:axPos val="b"/>
        <c:numFmt formatCode="mmm\-yy" sourceLinked="1"/>
        <c:majorTickMark val="out"/>
        <c:minorTickMark val="none"/>
        <c:tickLblPos val="nextTo"/>
        <c:txPr>
          <a:bodyPr rot="-5400000" vert="horz"/>
          <a:lstStyle/>
          <a:p>
            <a:pPr>
              <a:defRPr sz="800"/>
            </a:pPr>
            <a:endParaRPr lang="es-GT"/>
          </a:p>
        </c:txPr>
        <c:crossAx val="163255040"/>
        <c:crosses val="autoZero"/>
        <c:auto val="1"/>
        <c:lblOffset val="100"/>
        <c:baseTimeUnit val="months"/>
        <c:majorUnit val="4"/>
        <c:majorTimeUnit val="months"/>
      </c:dateAx>
      <c:valAx>
        <c:axId val="163255040"/>
        <c:scaling>
          <c:orientation val="minMax"/>
        </c:scaling>
        <c:delete val="0"/>
        <c:axPos val="l"/>
        <c:numFmt formatCode="0.00" sourceLinked="1"/>
        <c:majorTickMark val="out"/>
        <c:minorTickMark val="none"/>
        <c:tickLblPos val="nextTo"/>
        <c:txPr>
          <a:bodyPr/>
          <a:lstStyle/>
          <a:p>
            <a:pPr>
              <a:defRPr sz="800"/>
            </a:pPr>
            <a:endParaRPr lang="es-GT"/>
          </a:p>
        </c:txPr>
        <c:crossAx val="163245056"/>
        <c:crosses val="autoZero"/>
        <c:crossBetween val="between"/>
      </c:valAx>
    </c:plotArea>
    <c:plotVisOnly val="1"/>
    <c:dispBlanksAs val="gap"/>
    <c:showDLblsOverMax val="0"/>
  </c:chart>
  <c:spPr>
    <a:ln>
      <a:solidFill>
        <a:sysClr val="windowText" lastClr="000000"/>
      </a:solidFill>
    </a:ln>
  </c:spPr>
  <c:txPr>
    <a:bodyPr/>
    <a:lstStyle/>
    <a:p>
      <a:pPr>
        <a:defRPr sz="900">
          <a:latin typeface="Times New Roman" pitchFamily="18" charset="0"/>
          <a:cs typeface="Times New Roman" pitchFamily="18" charset="0"/>
        </a:defRPr>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0"/>
          <c:spPr>
            <a:solidFill>
              <a:srgbClr val="336699"/>
            </a:solidFill>
            <a:effectLst>
              <a:innerShdw blurRad="114300">
                <a:prstClr val="black"/>
              </a:innerShdw>
            </a:effectLst>
          </c:spPr>
          <c:invertIfNegative val="0"/>
          <c:dPt>
            <c:idx val="9"/>
            <c:invertIfNegative val="0"/>
            <c:bubble3D val="0"/>
          </c:dPt>
          <c:dLbls>
            <c:numFmt formatCode="#,##0.0" sourceLinked="0"/>
            <c:txPr>
              <a:bodyPr/>
              <a:lstStyle/>
              <a:p>
                <a:pPr>
                  <a:defRPr sz="700">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dLbls>
          <c:cat>
            <c:numRef>
              <c:f>Remesas!$B$10:$K$10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Remesas!$D$67:$M$67</c:f>
              <c:numCache>
                <c:formatCode>_(* #,##0.00_);_(* \(#,##0.00\);_(* "-"??_);_(@_)</c:formatCode>
                <c:ptCount val="10"/>
                <c:pt idx="0">
                  <c:v>4126.7840999999999</c:v>
                </c:pt>
                <c:pt idx="1">
                  <c:v>4378.0320000000002</c:v>
                </c:pt>
                <c:pt idx="2">
                  <c:v>4782.7287000000006</c:v>
                </c:pt>
                <c:pt idx="3">
                  <c:v>5105.1890000000012</c:v>
                </c:pt>
                <c:pt idx="4">
                  <c:v>5544.0975999999991</c:v>
                </c:pt>
                <c:pt idx="5">
                  <c:v>6284.9778422000009</c:v>
                </c:pt>
                <c:pt idx="6">
                  <c:v>7159.9676000000018</c:v>
                </c:pt>
                <c:pt idx="7">
                  <c:v>8192.213099999999</c:v>
                </c:pt>
                <c:pt idx="8">
                  <c:v>9287.7706999999991</c:v>
                </c:pt>
                <c:pt idx="9">
                  <c:v>4926.9296999999997</c:v>
                </c:pt>
              </c:numCache>
            </c:numRef>
          </c:val>
        </c:ser>
        <c:dLbls>
          <c:showLegendKey val="0"/>
          <c:showVal val="0"/>
          <c:showCatName val="0"/>
          <c:showSerName val="0"/>
          <c:showPercent val="0"/>
          <c:showBubbleSize val="0"/>
        </c:dLbls>
        <c:gapWidth val="39"/>
        <c:axId val="163758464"/>
        <c:axId val="163760000"/>
      </c:barChart>
      <c:catAx>
        <c:axId val="163758464"/>
        <c:scaling>
          <c:orientation val="minMax"/>
        </c:scaling>
        <c:delete val="0"/>
        <c:axPos val="b"/>
        <c:numFmt formatCode="General" sourceLinked="1"/>
        <c:majorTickMark val="out"/>
        <c:minorTickMark val="none"/>
        <c:tickLblPos val="nextTo"/>
        <c:txPr>
          <a:bodyPr rot="0" vert="horz"/>
          <a:lstStyle/>
          <a:p>
            <a:pPr>
              <a:defRPr>
                <a:latin typeface="Times New Roman" pitchFamily="18" charset="0"/>
                <a:cs typeface="Times New Roman" pitchFamily="18" charset="0"/>
              </a:defRPr>
            </a:pPr>
            <a:endParaRPr lang="es-GT"/>
          </a:p>
        </c:txPr>
        <c:crossAx val="163760000"/>
        <c:crosses val="autoZero"/>
        <c:auto val="1"/>
        <c:lblAlgn val="ctr"/>
        <c:lblOffset val="100"/>
        <c:noMultiLvlLbl val="0"/>
      </c:catAx>
      <c:valAx>
        <c:axId val="163760000"/>
        <c:scaling>
          <c:orientation val="minMax"/>
        </c:scaling>
        <c:delete val="0"/>
        <c:axPos val="l"/>
        <c:numFmt formatCode="_(* #,##0.00_);_(* \(#,##0.00\);_(* &quot;-&quot;??_);_(@_)" sourceLinked="1"/>
        <c:majorTickMark val="out"/>
        <c:minorTickMark val="none"/>
        <c:tickLblPos val="nextTo"/>
        <c:txPr>
          <a:bodyPr rot="0" vert="horz"/>
          <a:lstStyle/>
          <a:p>
            <a:pPr>
              <a:defRPr>
                <a:latin typeface="Times New Roman" pitchFamily="18" charset="0"/>
                <a:cs typeface="Times New Roman" pitchFamily="18" charset="0"/>
              </a:defRPr>
            </a:pPr>
            <a:endParaRPr lang="es-GT"/>
          </a:p>
        </c:txPr>
        <c:crossAx val="1637584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513270148410076E-2"/>
          <c:y val="2.3148148148148147E-2"/>
          <c:w val="0.8752525299946855"/>
          <c:h val="0.91033985335166445"/>
        </c:manualLayout>
      </c:layout>
      <c:barChart>
        <c:barDir val="col"/>
        <c:grouping val="clustered"/>
        <c:varyColors val="0"/>
        <c:ser>
          <c:idx val="1"/>
          <c:order val="0"/>
          <c:spPr>
            <a:solidFill>
              <a:schemeClr val="accent1"/>
            </a:solidFill>
            <a:scene3d>
              <a:camera prst="orthographicFront"/>
              <a:lightRig rig="threePt" dir="t"/>
            </a:scene3d>
            <a:sp3d prstMaterial="dkEdge">
              <a:bevelT/>
            </a:sp3d>
          </c:spPr>
          <c:invertIfNegative val="0"/>
          <c:dPt>
            <c:idx val="9"/>
            <c:invertIfNegative val="0"/>
            <c:bubble3D val="0"/>
            <c:spPr>
              <a:solidFill>
                <a:schemeClr val="tx2"/>
              </a:solidFill>
              <a:scene3d>
                <a:camera prst="orthographicFront"/>
                <a:lightRig rig="threePt" dir="t"/>
              </a:scene3d>
              <a:sp3d prstMaterial="dkEdge">
                <a:bevelT/>
              </a:sp3d>
            </c:spPr>
          </c:dPt>
          <c:dLbls>
            <c:numFmt formatCode="#,##0.0" sourceLinked="0"/>
            <c:txPr>
              <a:bodyPr/>
              <a:lstStyle/>
              <a:p>
                <a:pPr>
                  <a:defRPr sz="700"/>
                </a:pPr>
                <a:endParaRPr lang="es-GT"/>
              </a:p>
            </c:txPr>
            <c:showLegendKey val="0"/>
            <c:showVal val="1"/>
            <c:showCatName val="0"/>
            <c:showSerName val="0"/>
            <c:showPercent val="0"/>
            <c:showBubbleSize val="0"/>
            <c:showLeaderLines val="0"/>
          </c:dLbls>
          <c:cat>
            <c:numRef>
              <c:f>RMI!$B$36:$B$45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RMI!$C$36:$C$45</c:f>
              <c:numCache>
                <c:formatCode>#,##0.0</c:formatCode>
                <c:ptCount val="10"/>
                <c:pt idx="0">
                  <c:v>5953.8</c:v>
                </c:pt>
                <c:pt idx="1">
                  <c:v>6187.9</c:v>
                </c:pt>
                <c:pt idx="2">
                  <c:v>6693.8</c:v>
                </c:pt>
                <c:pt idx="3">
                  <c:v>7272.6</c:v>
                </c:pt>
                <c:pt idx="4">
                  <c:v>7333.4</c:v>
                </c:pt>
                <c:pt idx="5">
                  <c:v>7751.2</c:v>
                </c:pt>
                <c:pt idx="6">
                  <c:v>9160.4</c:v>
                </c:pt>
                <c:pt idx="7">
                  <c:v>11769.5</c:v>
                </c:pt>
                <c:pt idx="8">
                  <c:v>12755.6</c:v>
                </c:pt>
                <c:pt idx="9">
                  <c:v>14279.8</c:v>
                </c:pt>
              </c:numCache>
            </c:numRef>
          </c:val>
        </c:ser>
        <c:dLbls>
          <c:showLegendKey val="0"/>
          <c:showVal val="0"/>
          <c:showCatName val="0"/>
          <c:showSerName val="0"/>
          <c:showPercent val="0"/>
          <c:showBubbleSize val="0"/>
        </c:dLbls>
        <c:gapWidth val="33"/>
        <c:axId val="163874688"/>
        <c:axId val="163876224"/>
      </c:barChart>
      <c:catAx>
        <c:axId val="163874688"/>
        <c:scaling>
          <c:orientation val="minMax"/>
        </c:scaling>
        <c:delete val="0"/>
        <c:axPos val="b"/>
        <c:numFmt formatCode="General" sourceLinked="1"/>
        <c:majorTickMark val="out"/>
        <c:minorTickMark val="none"/>
        <c:tickLblPos val="nextTo"/>
        <c:txPr>
          <a:bodyPr/>
          <a:lstStyle/>
          <a:p>
            <a:pPr>
              <a:defRPr sz="800"/>
            </a:pPr>
            <a:endParaRPr lang="es-GT"/>
          </a:p>
        </c:txPr>
        <c:crossAx val="163876224"/>
        <c:crosses val="autoZero"/>
        <c:auto val="1"/>
        <c:lblAlgn val="ctr"/>
        <c:lblOffset val="100"/>
        <c:noMultiLvlLbl val="0"/>
      </c:catAx>
      <c:valAx>
        <c:axId val="163876224"/>
        <c:scaling>
          <c:orientation val="minMax"/>
        </c:scaling>
        <c:delete val="0"/>
        <c:axPos val="l"/>
        <c:numFmt formatCode="#,##0.0" sourceLinked="1"/>
        <c:majorTickMark val="out"/>
        <c:minorTickMark val="none"/>
        <c:tickLblPos val="nextTo"/>
        <c:txPr>
          <a:bodyPr/>
          <a:lstStyle/>
          <a:p>
            <a:pPr>
              <a:defRPr sz="800"/>
            </a:pPr>
            <a:endParaRPr lang="es-GT"/>
          </a:p>
        </c:txPr>
        <c:crossAx val="163874688"/>
        <c:crosses val="autoZero"/>
        <c:crossBetween val="between"/>
      </c:valAx>
      <c:spPr>
        <a:ln>
          <a:noFill/>
        </a:ln>
      </c:spPr>
    </c:plotArea>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57037037037119E-2"/>
          <c:y val="2.1528333333333333E-2"/>
          <c:w val="0.87767808641975309"/>
          <c:h val="0.81530583333333395"/>
        </c:manualLayout>
      </c:layout>
      <c:lineChart>
        <c:grouping val="standard"/>
        <c:varyColors val="0"/>
        <c:ser>
          <c:idx val="0"/>
          <c:order val="0"/>
          <c:spPr>
            <a:ln w="15875"/>
          </c:spPr>
          <c:marker>
            <c:symbol val="none"/>
          </c:marker>
          <c:dLbls>
            <c:dLbl>
              <c:idx val="0"/>
              <c:showLegendKey val="0"/>
              <c:showVal val="1"/>
              <c:showCatName val="0"/>
              <c:showSerName val="0"/>
              <c:showPercent val="0"/>
              <c:showBubbleSize val="0"/>
            </c:dLbl>
            <c:dLbl>
              <c:idx val="10"/>
              <c:layout>
                <c:manualLayout>
                  <c:x val="-2.5604095364973274E-2"/>
                  <c:y val="-4.4184535412605586E-2"/>
                </c:manualLayout>
              </c:layout>
              <c:showLegendKey val="0"/>
              <c:showVal val="1"/>
              <c:showCatName val="0"/>
              <c:showSerName val="0"/>
              <c:showPercent val="0"/>
              <c:showBubbleSize val="0"/>
            </c:dLbl>
            <c:dLbl>
              <c:idx val="27"/>
              <c:layout>
                <c:manualLayout>
                  <c:x val="-1.2802047682486638E-3"/>
                  <c:y val="4.9382716049382672E-2"/>
                </c:manualLayout>
              </c:layout>
              <c:showLegendKey val="0"/>
              <c:showVal val="1"/>
              <c:showCatName val="0"/>
              <c:showSerName val="0"/>
              <c:showPercent val="0"/>
              <c:showBubbleSize val="0"/>
            </c:dLbl>
            <c:dLbl>
              <c:idx val="35"/>
              <c:layout>
                <c:manualLayout>
                  <c:x val="-1.2802047682486637E-2"/>
                  <c:y val="-3.8986354775828458E-2"/>
                </c:manualLayout>
              </c:layout>
              <c:showLegendKey val="0"/>
              <c:showVal val="1"/>
              <c:showCatName val="0"/>
              <c:showSerName val="0"/>
              <c:showPercent val="0"/>
              <c:showBubbleSize val="0"/>
            </c:dLbl>
            <c:dLbl>
              <c:idx val="47"/>
              <c:layout>
                <c:manualLayout>
                  <c:x val="1.7922765951956233E-2"/>
                  <c:y val="-5.9779077322936969E-2"/>
                </c:manualLayout>
              </c:layout>
              <c:showLegendKey val="0"/>
              <c:showVal val="1"/>
              <c:showCatName val="0"/>
              <c:showSerName val="0"/>
              <c:showPercent val="0"/>
              <c:showBubbleSize val="0"/>
            </c:dLbl>
            <c:dLbl>
              <c:idx val="72"/>
              <c:layout>
                <c:manualLayout>
                  <c:x val="-7.6812286094919821E-3"/>
                  <c:y val="-3.1189083820662766E-2"/>
                </c:manualLayout>
              </c:layout>
              <c:tx>
                <c:rich>
                  <a:bodyPr/>
                  <a:lstStyle/>
                  <a:p>
                    <a:r>
                      <a:rPr lang="en-US" sz="700"/>
                      <a:t>4.00</a:t>
                    </a:r>
                    <a:endParaRPr lang="en-US"/>
                  </a:p>
                </c:rich>
              </c:tx>
              <c:showLegendKey val="0"/>
              <c:showVal val="1"/>
              <c:showCatName val="0"/>
              <c:showSerName val="0"/>
              <c:showPercent val="0"/>
              <c:showBubbleSize val="0"/>
            </c:dLbl>
            <c:dLbl>
              <c:idx val="104"/>
              <c:layout>
                <c:manualLayout>
                  <c:x val="-1.9203071523729957E-2"/>
                  <c:y val="-3.8986354775828458E-2"/>
                </c:manualLayout>
              </c:layout>
              <c:tx>
                <c:rich>
                  <a:bodyPr/>
                  <a:lstStyle/>
                  <a:p>
                    <a:r>
                      <a:rPr lang="en-US" sz="700"/>
                      <a:t>3.00</a:t>
                    </a:r>
                    <a:endParaRPr lang="en-US"/>
                  </a:p>
                </c:rich>
              </c:tx>
              <c:showLegendKey val="0"/>
              <c:showVal val="1"/>
              <c:showCatName val="0"/>
              <c:showSerName val="0"/>
              <c:showPercent val="0"/>
              <c:showBubbleSize val="0"/>
            </c:dLbl>
            <c:dLbl>
              <c:idx val="124"/>
              <c:layout>
                <c:manualLayout>
                  <c:x val="-2.4323890596724611E-2"/>
                  <c:y val="3.1189083820662766E-2"/>
                </c:manualLayout>
              </c:layout>
              <c:showLegendKey val="0"/>
              <c:showVal val="1"/>
              <c:showCatName val="0"/>
              <c:showSerName val="0"/>
              <c:showPercent val="0"/>
              <c:showBubbleSize val="0"/>
            </c:dLbl>
            <c:dLbl>
              <c:idx val="136"/>
              <c:layout>
                <c:manualLayout>
                  <c:x val="-2.3043685828475949E-2"/>
                  <c:y val="3.378817413905133E-2"/>
                </c:manualLayout>
              </c:layout>
              <c:showLegendKey val="0"/>
              <c:showVal val="1"/>
              <c:showCatName val="0"/>
              <c:showSerName val="0"/>
              <c:showPercent val="0"/>
              <c:showBubbleSize val="0"/>
            </c:dLbl>
            <c:txPr>
              <a:bodyPr/>
              <a:lstStyle/>
              <a:p>
                <a:pPr>
                  <a:defRPr sz="700"/>
                </a:pPr>
                <a:endParaRPr lang="es-GT"/>
              </a:p>
            </c:txPr>
            <c:showLegendKey val="0"/>
            <c:showVal val="0"/>
            <c:showCatName val="0"/>
            <c:showSerName val="0"/>
            <c:showPercent val="0"/>
            <c:showBubbleSize val="0"/>
          </c:dLbls>
          <c:cat>
            <c:numRef>
              <c:f>'Tasa lider'!$B$18:$B$143</c:f>
              <c:numCache>
                <c:formatCode>mmm\-yy</c:formatCode>
                <c:ptCount val="126"/>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numCache>
            </c:numRef>
          </c:cat>
          <c:val>
            <c:numRef>
              <c:f>'Tasa lider'!$C$18:$C$143</c:f>
              <c:numCache>
                <c:formatCode>0.00</c:formatCode>
                <c:ptCount val="126"/>
                <c:pt idx="0">
                  <c:v>7</c:v>
                </c:pt>
                <c:pt idx="1">
                  <c:v>6.5</c:v>
                </c:pt>
                <c:pt idx="2">
                  <c:v>6.25</c:v>
                </c:pt>
                <c:pt idx="3">
                  <c:v>5.75</c:v>
                </c:pt>
                <c:pt idx="4">
                  <c:v>5.75</c:v>
                </c:pt>
                <c:pt idx="5">
                  <c:v>5.25</c:v>
                </c:pt>
                <c:pt idx="6">
                  <c:v>4.75</c:v>
                </c:pt>
                <c:pt idx="7">
                  <c:v>4.75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pt idx="25">
                  <c:v>4.5</c:v>
                </c:pt>
                <c:pt idx="26">
                  <c:v>4.75</c:v>
                </c:pt>
                <c:pt idx="27">
                  <c:v>4.75</c:v>
                </c:pt>
                <c:pt idx="28">
                  <c:v>4.75</c:v>
                </c:pt>
                <c:pt idx="29">
                  <c:v>4.75</c:v>
                </c:pt>
                <c:pt idx="30">
                  <c:v>5</c:v>
                </c:pt>
                <c:pt idx="31">
                  <c:v>5</c:v>
                </c:pt>
                <c:pt idx="32">
                  <c:v>5.5</c:v>
                </c:pt>
                <c:pt idx="33">
                  <c:v>5.5</c:v>
                </c:pt>
                <c:pt idx="34">
                  <c:v>5.5</c:v>
                </c:pt>
                <c:pt idx="35">
                  <c:v>5.5</c:v>
                </c:pt>
                <c:pt idx="36">
                  <c:v>5.5</c:v>
                </c:pt>
                <c:pt idx="37">
                  <c:v>5.5</c:v>
                </c:pt>
                <c:pt idx="38">
                  <c:v>5.5</c:v>
                </c:pt>
                <c:pt idx="39">
                  <c:v>5.5</c:v>
                </c:pt>
                <c:pt idx="40">
                  <c:v>5.5</c:v>
                </c:pt>
                <c:pt idx="41">
                  <c:v>5</c:v>
                </c:pt>
                <c:pt idx="42">
                  <c:v>5</c:v>
                </c:pt>
                <c:pt idx="43">
                  <c:v>5</c:v>
                </c:pt>
                <c:pt idx="44">
                  <c:v>5</c:v>
                </c:pt>
                <c:pt idx="45">
                  <c:v>5</c:v>
                </c:pt>
                <c:pt idx="46">
                  <c:v>5</c:v>
                </c:pt>
                <c:pt idx="47">
                  <c:v>5</c:v>
                </c:pt>
                <c:pt idx="48">
                  <c:v>5</c:v>
                </c:pt>
                <c:pt idx="49">
                  <c:v>5</c:v>
                </c:pt>
                <c:pt idx="50">
                  <c:v>5</c:v>
                </c:pt>
                <c:pt idx="51">
                  <c:v>5.25</c:v>
                </c:pt>
                <c:pt idx="52">
                  <c:v>5.25</c:v>
                </c:pt>
                <c:pt idx="53">
                  <c:v>5.25</c:v>
                </c:pt>
                <c:pt idx="54">
                  <c:v>5.25</c:v>
                </c:pt>
                <c:pt idx="55">
                  <c:v>5.25</c:v>
                </c:pt>
                <c:pt idx="56">
                  <c:v>5.25</c:v>
                </c:pt>
                <c:pt idx="57">
                  <c:v>5</c:v>
                </c:pt>
                <c:pt idx="58">
                  <c:v>5</c:v>
                </c:pt>
                <c:pt idx="59">
                  <c:v>5</c:v>
                </c:pt>
                <c:pt idx="60">
                  <c:v>5</c:v>
                </c:pt>
                <c:pt idx="61">
                  <c:v>5</c:v>
                </c:pt>
                <c:pt idx="62">
                  <c:v>5</c:v>
                </c:pt>
                <c:pt idx="63" formatCode="General">
                  <c:v>5</c:v>
                </c:pt>
                <c:pt idx="64" formatCode="General">
                  <c:v>4.75</c:v>
                </c:pt>
                <c:pt idx="65" formatCode="General">
                  <c:v>4.75</c:v>
                </c:pt>
                <c:pt idx="66" formatCode="General">
                  <c:v>4.75</c:v>
                </c:pt>
                <c:pt idx="67" formatCode="General">
                  <c:v>4.5</c:v>
                </c:pt>
                <c:pt idx="68" formatCode="General">
                  <c:v>4.5</c:v>
                </c:pt>
                <c:pt idx="69" formatCode="General">
                  <c:v>4.5</c:v>
                </c:pt>
                <c:pt idx="70" formatCode="General">
                  <c:v>4</c:v>
                </c:pt>
                <c:pt idx="71" formatCode="General">
                  <c:v>4</c:v>
                </c:pt>
                <c:pt idx="72" formatCode="General">
                  <c:v>4</c:v>
                </c:pt>
                <c:pt idx="73" formatCode="General">
                  <c:v>4</c:v>
                </c:pt>
                <c:pt idx="74" formatCode="General">
                  <c:v>4</c:v>
                </c:pt>
                <c:pt idx="75" formatCode="General">
                  <c:v>4</c:v>
                </c:pt>
                <c:pt idx="76" formatCode="General">
                  <c:v>3.5</c:v>
                </c:pt>
                <c:pt idx="77" formatCode="General">
                  <c:v>3.5</c:v>
                </c:pt>
                <c:pt idx="78" formatCode="General">
                  <c:v>3.5</c:v>
                </c:pt>
                <c:pt idx="79" formatCode="General">
                  <c:v>3.25</c:v>
                </c:pt>
                <c:pt idx="80" formatCode="General">
                  <c:v>3.25</c:v>
                </c:pt>
                <c:pt idx="81" formatCode="General">
                  <c:v>3.25</c:v>
                </c:pt>
                <c:pt idx="82" formatCode="General">
                  <c:v>3</c:v>
                </c:pt>
                <c:pt idx="83" formatCode="General">
                  <c:v>3</c:v>
                </c:pt>
                <c:pt idx="84" formatCode="General">
                  <c:v>3</c:v>
                </c:pt>
                <c:pt idx="85" formatCode="General">
                  <c:v>3</c:v>
                </c:pt>
                <c:pt idx="86" formatCode="General">
                  <c:v>3</c:v>
                </c:pt>
                <c:pt idx="87" formatCode="General">
                  <c:v>3</c:v>
                </c:pt>
                <c:pt idx="88" formatCode="General">
                  <c:v>3</c:v>
                </c:pt>
                <c:pt idx="89" formatCode="General">
                  <c:v>3</c:v>
                </c:pt>
                <c:pt idx="90" formatCode="General">
                  <c:v>3</c:v>
                </c:pt>
                <c:pt idx="91" formatCode="General">
                  <c:v>3</c:v>
                </c:pt>
                <c:pt idx="92" formatCode="General">
                  <c:v>3</c:v>
                </c:pt>
                <c:pt idx="93" formatCode="General">
                  <c:v>3</c:v>
                </c:pt>
                <c:pt idx="94" formatCode="General">
                  <c:v>3</c:v>
                </c:pt>
                <c:pt idx="95" formatCode="General">
                  <c:v>3</c:v>
                </c:pt>
                <c:pt idx="96" formatCode="General">
                  <c:v>3</c:v>
                </c:pt>
                <c:pt idx="97" formatCode="General">
                  <c:v>3</c:v>
                </c:pt>
                <c:pt idx="98" formatCode="General">
                  <c:v>3</c:v>
                </c:pt>
                <c:pt idx="99" formatCode="General">
                  <c:v>3</c:v>
                </c:pt>
                <c:pt idx="100" formatCode="General">
                  <c:v>3</c:v>
                </c:pt>
                <c:pt idx="101" formatCode="General">
                  <c:v>3</c:v>
                </c:pt>
                <c:pt idx="102" formatCode="General">
                  <c:v>3</c:v>
                </c:pt>
                <c:pt idx="103" formatCode="General">
                  <c:v>3</c:v>
                </c:pt>
                <c:pt idx="104" formatCode="General">
                  <c:v>3</c:v>
                </c:pt>
                <c:pt idx="105" formatCode="General">
                  <c:v>2.75</c:v>
                </c:pt>
                <c:pt idx="106" formatCode="General">
                  <c:v>2.75</c:v>
                </c:pt>
                <c:pt idx="107" formatCode="General">
                  <c:v>2.75</c:v>
                </c:pt>
                <c:pt idx="108" formatCode="General">
                  <c:v>2.75</c:v>
                </c:pt>
                <c:pt idx="109" formatCode="General">
                  <c:v>2.75</c:v>
                </c:pt>
                <c:pt idx="110" formatCode="General">
                  <c:v>2.75</c:v>
                </c:pt>
                <c:pt idx="111" formatCode="General">
                  <c:v>2.75</c:v>
                </c:pt>
                <c:pt idx="112" formatCode="General">
                  <c:v>2.75</c:v>
                </c:pt>
                <c:pt idx="113" formatCode="General">
                  <c:v>2.75</c:v>
                </c:pt>
                <c:pt idx="114" formatCode="General">
                  <c:v>2.75</c:v>
                </c:pt>
                <c:pt idx="115" formatCode="General">
                  <c:v>2.75</c:v>
                </c:pt>
                <c:pt idx="116" formatCode="General">
                  <c:v>2.75</c:v>
                </c:pt>
                <c:pt idx="117" formatCode="General">
                  <c:v>2.75</c:v>
                </c:pt>
                <c:pt idx="118" formatCode="General">
                  <c:v>2.75</c:v>
                </c:pt>
                <c:pt idx="119" formatCode="General">
                  <c:v>2.75</c:v>
                </c:pt>
                <c:pt idx="120" formatCode="General">
                  <c:v>2.75</c:v>
                </c:pt>
                <c:pt idx="121" formatCode="General">
                  <c:v>2.75</c:v>
                </c:pt>
                <c:pt idx="122" formatCode="General">
                  <c:v>2.75</c:v>
                </c:pt>
                <c:pt idx="123" formatCode="General">
                  <c:v>2.75</c:v>
                </c:pt>
                <c:pt idx="124" formatCode="General">
                  <c:v>2.75</c:v>
                </c:pt>
                <c:pt idx="125" formatCode="General">
                  <c:v>2.75</c:v>
                </c:pt>
              </c:numCache>
            </c:numRef>
          </c:val>
          <c:smooth val="1"/>
        </c:ser>
        <c:dLbls>
          <c:showLegendKey val="0"/>
          <c:showVal val="1"/>
          <c:showCatName val="0"/>
          <c:showSerName val="0"/>
          <c:showPercent val="0"/>
          <c:showBubbleSize val="0"/>
        </c:dLbls>
        <c:marker val="1"/>
        <c:smooth val="0"/>
        <c:axId val="164040064"/>
        <c:axId val="164045952"/>
      </c:lineChart>
      <c:dateAx>
        <c:axId val="164040064"/>
        <c:scaling>
          <c:orientation val="minMax"/>
        </c:scaling>
        <c:delete val="0"/>
        <c:axPos val="b"/>
        <c:numFmt formatCode="mmm\-yy" sourceLinked="1"/>
        <c:majorTickMark val="out"/>
        <c:minorTickMark val="none"/>
        <c:tickLblPos val="nextTo"/>
        <c:txPr>
          <a:bodyPr rot="-5400000" vert="horz"/>
          <a:lstStyle/>
          <a:p>
            <a:pPr>
              <a:defRPr sz="800"/>
            </a:pPr>
            <a:endParaRPr lang="es-GT"/>
          </a:p>
        </c:txPr>
        <c:crossAx val="164045952"/>
        <c:crosses val="autoZero"/>
        <c:auto val="1"/>
        <c:lblOffset val="100"/>
        <c:baseTimeUnit val="months"/>
        <c:majorUnit val="5"/>
        <c:majorTimeUnit val="months"/>
        <c:minorUnit val="1"/>
        <c:minorTimeUnit val="days"/>
      </c:dateAx>
      <c:valAx>
        <c:axId val="164045952"/>
        <c:scaling>
          <c:orientation val="minMax"/>
        </c:scaling>
        <c:delete val="0"/>
        <c:axPos val="l"/>
        <c:numFmt formatCode="0.00" sourceLinked="1"/>
        <c:majorTickMark val="out"/>
        <c:minorTickMark val="none"/>
        <c:tickLblPos val="nextTo"/>
        <c:txPr>
          <a:bodyPr/>
          <a:lstStyle/>
          <a:p>
            <a:pPr>
              <a:defRPr sz="800"/>
            </a:pPr>
            <a:endParaRPr lang="es-GT"/>
          </a:p>
        </c:txPr>
        <c:crossAx val="164040064"/>
        <c:crosses val="autoZero"/>
        <c:crossBetween val="between"/>
      </c:valAx>
    </c:plotArea>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91208052243913E-2"/>
          <c:y val="2.7202947497697267E-2"/>
          <c:w val="0.93944099844662277"/>
          <c:h val="0.84874179555519969"/>
        </c:manualLayout>
      </c:layout>
      <c:lineChart>
        <c:grouping val="standard"/>
        <c:varyColors val="0"/>
        <c:ser>
          <c:idx val="0"/>
          <c:order val="0"/>
          <c:marker>
            <c:symbol val="none"/>
          </c:marker>
          <c:dLbls>
            <c:dLbl>
              <c:idx val="102"/>
              <c:showLegendKey val="0"/>
              <c:showVal val="1"/>
              <c:showCatName val="0"/>
              <c:showSerName val="0"/>
              <c:showPercent val="0"/>
              <c:showBubbleSize val="0"/>
            </c:dLbl>
            <c:dLbl>
              <c:idx val="113"/>
              <c:layout>
                <c:manualLayout>
                  <c:x val="0"/>
                  <c:y val="-2.740664315450031E-2"/>
                </c:manualLayout>
              </c:layout>
              <c:showLegendKey val="0"/>
              <c:showVal val="1"/>
              <c:showCatName val="0"/>
              <c:showSerName val="0"/>
              <c:showPercent val="0"/>
              <c:showBubbleSize val="0"/>
            </c:dLbl>
            <c:txPr>
              <a:bodyPr/>
              <a:lstStyle/>
              <a:p>
                <a:pPr>
                  <a:defRPr sz="700"/>
                </a:pPr>
                <a:endParaRPr lang="es-GT"/>
              </a:p>
            </c:txPr>
            <c:showLegendKey val="0"/>
            <c:showVal val="0"/>
            <c:showCatName val="0"/>
            <c:showSerName val="0"/>
            <c:showPercent val="0"/>
            <c:showBubbleSize val="0"/>
          </c:dLbls>
          <c:cat>
            <c:numRef>
              <c:f>'Tipo de cambio '!$B$27:$B$140</c:f>
              <c:numCache>
                <c:formatCode>mmm\-yy</c:formatCode>
                <c:ptCount val="114"/>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numCache>
            </c:numRef>
          </c:cat>
          <c:val>
            <c:numRef>
              <c:f>'Tipo de cambio '!$C$27:$C$140</c:f>
              <c:numCache>
                <c:formatCode>0.00</c:formatCode>
                <c:ptCount val="114"/>
                <c:pt idx="0">
                  <c:v>8.3563405085440845</c:v>
                </c:pt>
                <c:pt idx="1">
                  <c:v>8.1361262190342583</c:v>
                </c:pt>
                <c:pt idx="2">
                  <c:v>8.0103276904942504</c:v>
                </c:pt>
                <c:pt idx="3">
                  <c:v>7.9928449678823039</c:v>
                </c:pt>
                <c:pt idx="4">
                  <c:v>7.9879061949656069</c:v>
                </c:pt>
                <c:pt idx="5">
                  <c:v>7.998232545050775</c:v>
                </c:pt>
                <c:pt idx="6">
                  <c:v>7.9928722644768317</c:v>
                </c:pt>
                <c:pt idx="7">
                  <c:v>8.0027188003323708</c:v>
                </c:pt>
                <c:pt idx="8">
                  <c:v>8.0662812335430072</c:v>
                </c:pt>
                <c:pt idx="9">
                  <c:v>8.0445928590314288</c:v>
                </c:pt>
                <c:pt idx="10">
                  <c:v>7.9917860671898957</c:v>
                </c:pt>
                <c:pt idx="11">
                  <c:v>7.9644301855353854</c:v>
                </c:pt>
                <c:pt idx="12">
                  <c:v>7.9393789159906074</c:v>
                </c:pt>
                <c:pt idx="13">
                  <c:v>7.7936763178312587</c:v>
                </c:pt>
                <c:pt idx="14">
                  <c:v>7.6911755581721719</c:v>
                </c:pt>
                <c:pt idx="15">
                  <c:v>7.6033358616996631</c:v>
                </c:pt>
                <c:pt idx="16">
                  <c:v>7.6475691703619599</c:v>
                </c:pt>
                <c:pt idx="17">
                  <c:v>7.7763413607187584</c:v>
                </c:pt>
                <c:pt idx="18">
                  <c:v>7.7444513189947068</c:v>
                </c:pt>
                <c:pt idx="19">
                  <c:v>7.814848411557044</c:v>
                </c:pt>
                <c:pt idx="20">
                  <c:v>7.8399072397037912</c:v>
                </c:pt>
                <c:pt idx="21">
                  <c:v>7.8299174515732988</c:v>
                </c:pt>
                <c:pt idx="22">
                  <c:v>7.8008942040115947</c:v>
                </c:pt>
                <c:pt idx="23">
                  <c:v>7.7856076542219848</c:v>
                </c:pt>
                <c:pt idx="24">
                  <c:v>7.7961150438286015</c:v>
                </c:pt>
                <c:pt idx="25">
                  <c:v>7.7717156914712424</c:v>
                </c:pt>
                <c:pt idx="26">
                  <c:v>7.7114080377043663</c:v>
                </c:pt>
                <c:pt idx="27">
                  <c:v>7.7361698654414432</c:v>
                </c:pt>
                <c:pt idx="28">
                  <c:v>7.7713813450451523</c:v>
                </c:pt>
                <c:pt idx="29">
                  <c:v>7.8366949562429706</c:v>
                </c:pt>
                <c:pt idx="30">
                  <c:v>7.8116238113454335</c:v>
                </c:pt>
                <c:pt idx="31">
                  <c:v>7.8730184642662957</c:v>
                </c:pt>
                <c:pt idx="32">
                  <c:v>7.9600809529215901</c:v>
                </c:pt>
                <c:pt idx="33">
                  <c:v>7.8591272112229635</c:v>
                </c:pt>
                <c:pt idx="34">
                  <c:v>7.8577571624899534</c:v>
                </c:pt>
                <c:pt idx="35">
                  <c:v>7.8760996804198387</c:v>
                </c:pt>
                <c:pt idx="36">
                  <c:v>7.8676223145967352</c:v>
                </c:pt>
                <c:pt idx="37">
                  <c:v>7.8144026695091791</c:v>
                </c:pt>
                <c:pt idx="38">
                  <c:v>7.796449289985194</c:v>
                </c:pt>
                <c:pt idx="39">
                  <c:v>7.7833198003135866</c:v>
                </c:pt>
                <c:pt idx="40">
                  <c:v>7.7759057149550967</c:v>
                </c:pt>
                <c:pt idx="41">
                  <c:v>7.8050829379452455</c:v>
                </c:pt>
                <c:pt idx="42">
                  <c:v>7.8101543267547084</c:v>
                </c:pt>
                <c:pt idx="43">
                  <c:v>7.8872658086161449</c:v>
                </c:pt>
                <c:pt idx="44">
                  <c:v>7.9287701658764824</c:v>
                </c:pt>
                <c:pt idx="45">
                  <c:v>7.9452553613637473</c:v>
                </c:pt>
                <c:pt idx="46">
                  <c:v>7.8807803315772027</c:v>
                </c:pt>
                <c:pt idx="47">
                  <c:v>7.8470375175462435</c:v>
                </c:pt>
                <c:pt idx="48">
                  <c:v>7.8320838751031925</c:v>
                </c:pt>
                <c:pt idx="49">
                  <c:v>7.7452676742437232</c:v>
                </c:pt>
                <c:pt idx="50">
                  <c:v>7.716182521911791</c:v>
                </c:pt>
                <c:pt idx="51">
                  <c:v>7.7358942457094715</c:v>
                </c:pt>
                <c:pt idx="52">
                  <c:v>7.7238409151556899</c:v>
                </c:pt>
                <c:pt idx="53">
                  <c:v>7.794062106829351</c:v>
                </c:pt>
                <c:pt idx="54">
                  <c:v>7.7608612600678732</c:v>
                </c:pt>
                <c:pt idx="55">
                  <c:v>7.7919629649641315</c:v>
                </c:pt>
                <c:pt idx="56">
                  <c:v>7.7074095500672923</c:v>
                </c:pt>
                <c:pt idx="57">
                  <c:v>7.6263306051233331</c:v>
                </c:pt>
                <c:pt idx="58">
                  <c:v>7.6028563856662057</c:v>
                </c:pt>
                <c:pt idx="59">
                  <c:v>7.6081653145049968</c:v>
                </c:pt>
                <c:pt idx="60">
                  <c:v>7.6262052394466791</c:v>
                </c:pt>
                <c:pt idx="61">
                  <c:v>7.6279381066262442</c:v>
                </c:pt>
                <c:pt idx="62">
                  <c:v>7.6119953593981231</c:v>
                </c:pt>
                <c:pt idx="63">
                  <c:v>7.6911660585174326</c:v>
                </c:pt>
                <c:pt idx="64">
                  <c:v>7.6641498560319503</c:v>
                </c:pt>
                <c:pt idx="65">
                  <c:v>7.6322503878986696</c:v>
                </c:pt>
                <c:pt idx="66">
                  <c:v>7.6319384831389447</c:v>
                </c:pt>
                <c:pt idx="67">
                  <c:v>7.6324245517760358</c:v>
                </c:pt>
                <c:pt idx="68">
                  <c:v>7.673106284735578</c:v>
                </c:pt>
                <c:pt idx="69">
                  <c:v>7.6631081921590933</c:v>
                </c:pt>
                <c:pt idx="70">
                  <c:v>7.6253395894756046</c:v>
                </c:pt>
                <c:pt idx="71">
                  <c:v>7.5988045101869481</c:v>
                </c:pt>
                <c:pt idx="72">
                  <c:v>7.6329725883384123</c:v>
                </c:pt>
                <c:pt idx="73">
                  <c:v>7.6478810999684388</c:v>
                </c:pt>
                <c:pt idx="74">
                  <c:v>7.700474534516867</c:v>
                </c:pt>
                <c:pt idx="75">
                  <c:v>7.7148038979384106</c:v>
                </c:pt>
                <c:pt idx="76">
                  <c:v>7.6298602603550076</c:v>
                </c:pt>
                <c:pt idx="77">
                  <c:v>7.6243942616742704</c:v>
                </c:pt>
                <c:pt idx="78">
                  <c:v>7.5793320893025617</c:v>
                </c:pt>
                <c:pt idx="79">
                  <c:v>7.5175072133740928</c:v>
                </c:pt>
                <c:pt idx="80">
                  <c:v>7.5067242537140029</c:v>
                </c:pt>
                <c:pt idx="81">
                  <c:v>7.4790989328577018</c:v>
                </c:pt>
                <c:pt idx="82">
                  <c:v>7.4871738948605904</c:v>
                </c:pt>
                <c:pt idx="83">
                  <c:v>7.4869670540945377</c:v>
                </c:pt>
                <c:pt idx="84">
                  <c:v>7.4989221892102798</c:v>
                </c:pt>
                <c:pt idx="85">
                  <c:v>7.3861050975818427</c:v>
                </c:pt>
                <c:pt idx="86">
                  <c:v>7.34063</c:v>
                </c:pt>
                <c:pt idx="87">
                  <c:v>7.3209246234449914</c:v>
                </c:pt>
                <c:pt idx="88">
                  <c:v>7.3227859561962889</c:v>
                </c:pt>
                <c:pt idx="89">
                  <c:v>7.324765934062933</c:v>
                </c:pt>
                <c:pt idx="90">
                  <c:v>7.2821760166483491</c:v>
                </c:pt>
                <c:pt idx="91">
                  <c:v>7.2567996715469407</c:v>
                </c:pt>
                <c:pt idx="92">
                  <c:v>7.2866172843636399</c:v>
                </c:pt>
                <c:pt idx="93">
                  <c:v>7.32408950415142</c:v>
                </c:pt>
                <c:pt idx="94">
                  <c:v>7.3119034597787502</c:v>
                </c:pt>
                <c:pt idx="95">
                  <c:v>7.3228799999999996</c:v>
                </c:pt>
                <c:pt idx="96">
                  <c:v>7.3250900000000003</c:v>
                </c:pt>
                <c:pt idx="97">
                  <c:v>7.3437000000000001</c:v>
                </c:pt>
                <c:pt idx="98">
                  <c:v>7.3760000000000003</c:v>
                </c:pt>
                <c:pt idx="99">
                  <c:v>7.3854699999999998</c:v>
                </c:pt>
                <c:pt idx="100">
                  <c:v>7.4281600000000001</c:v>
                </c:pt>
                <c:pt idx="101">
                  <c:v>7.46997</c:v>
                </c:pt>
                <c:pt idx="102">
                  <c:v>7.4656900000000004</c:v>
                </c:pt>
                <c:pt idx="103">
                  <c:v>7.49099</c:v>
                </c:pt>
                <c:pt idx="104">
                  <c:v>7.6479100000000004</c:v>
                </c:pt>
                <c:pt idx="105">
                  <c:v>7.70871</c:v>
                </c:pt>
                <c:pt idx="106">
                  <c:v>7.67943</c:v>
                </c:pt>
                <c:pt idx="107">
                  <c:v>7.71333</c:v>
                </c:pt>
                <c:pt idx="108">
                  <c:v>7.7291496774193558</c:v>
                </c:pt>
                <c:pt idx="109">
                  <c:v>7.7378282142857149</c:v>
                </c:pt>
                <c:pt idx="110">
                  <c:v>7.6904783870967721</c:v>
                </c:pt>
                <c:pt idx="111">
                  <c:v>7.6443056666666696</c:v>
                </c:pt>
                <c:pt idx="112">
                  <c:v>7.667630322580643</c:v>
                </c:pt>
                <c:pt idx="113">
                  <c:v>7.704992333333335</c:v>
                </c:pt>
              </c:numCache>
            </c:numRef>
          </c:val>
          <c:smooth val="0"/>
        </c:ser>
        <c:dLbls>
          <c:showLegendKey val="0"/>
          <c:showVal val="0"/>
          <c:showCatName val="0"/>
          <c:showSerName val="0"/>
          <c:showPercent val="0"/>
          <c:showBubbleSize val="0"/>
        </c:dLbls>
        <c:marker val="1"/>
        <c:smooth val="0"/>
        <c:axId val="226583680"/>
        <c:axId val="226585216"/>
      </c:lineChart>
      <c:dateAx>
        <c:axId val="226583680"/>
        <c:scaling>
          <c:orientation val="minMax"/>
        </c:scaling>
        <c:delete val="0"/>
        <c:axPos val="b"/>
        <c:numFmt formatCode="mmm\-yy" sourceLinked="1"/>
        <c:majorTickMark val="out"/>
        <c:minorTickMark val="none"/>
        <c:tickLblPos val="nextTo"/>
        <c:txPr>
          <a:bodyPr/>
          <a:lstStyle/>
          <a:p>
            <a:pPr>
              <a:defRPr sz="800"/>
            </a:pPr>
            <a:endParaRPr lang="es-GT"/>
          </a:p>
        </c:txPr>
        <c:crossAx val="226585216"/>
        <c:crosses val="autoZero"/>
        <c:auto val="1"/>
        <c:lblOffset val="100"/>
        <c:baseTimeUnit val="months"/>
      </c:dateAx>
      <c:valAx>
        <c:axId val="226585216"/>
        <c:scaling>
          <c:orientation val="minMax"/>
        </c:scaling>
        <c:delete val="0"/>
        <c:axPos val="l"/>
        <c:numFmt formatCode="0.00" sourceLinked="1"/>
        <c:majorTickMark val="out"/>
        <c:minorTickMark val="none"/>
        <c:tickLblPos val="nextTo"/>
        <c:txPr>
          <a:bodyPr/>
          <a:lstStyle/>
          <a:p>
            <a:pPr>
              <a:defRPr sz="800"/>
            </a:pPr>
            <a:endParaRPr lang="es-GT"/>
          </a:p>
        </c:txPr>
        <c:crossAx val="226583680"/>
        <c:crosses val="autoZero"/>
        <c:crossBetween val="between"/>
      </c:valAx>
    </c:plotArea>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2018</a:t>
            </a:r>
          </a:p>
        </c:rich>
      </c:tx>
      <c:layout>
        <c:manualLayout>
          <c:xMode val="edge"/>
          <c:yMode val="edge"/>
          <c:x val="0.37268518518518523"/>
          <c:y val="0"/>
        </c:manualLayout>
      </c:layout>
      <c:overlay val="0"/>
    </c:title>
    <c:autoTitleDeleted val="0"/>
    <c:view3D>
      <c:rotX val="30"/>
      <c:rotY val="219"/>
      <c:rAngAx val="0"/>
      <c:perspective val="30"/>
    </c:view3D>
    <c:floor>
      <c:thickness val="0"/>
    </c:floor>
    <c:sideWall>
      <c:thickness val="0"/>
    </c:sideWall>
    <c:backWall>
      <c:thickness val="0"/>
    </c:backWall>
    <c:plotArea>
      <c:layout>
        <c:manualLayout>
          <c:layoutTarget val="inner"/>
          <c:xMode val="edge"/>
          <c:yMode val="edge"/>
          <c:x val="0"/>
          <c:y val="0.15527340332458442"/>
          <c:w val="1"/>
          <c:h val="0.81433763487897348"/>
        </c:manualLayout>
      </c:layout>
      <c:pie3DChart>
        <c:varyColors val="1"/>
        <c:ser>
          <c:idx val="0"/>
          <c:order val="0"/>
          <c:spPr>
            <a:scene3d>
              <a:camera prst="orthographicFront"/>
              <a:lightRig rig="threePt" dir="t"/>
            </a:scene3d>
            <a:sp3d prstMaterial="dkEdge">
              <a:bevelT/>
            </a:sp3d>
          </c:spPr>
          <c:explosion val="16"/>
          <c:dLbls>
            <c:dLbl>
              <c:idx val="0"/>
              <c:layout>
                <c:manualLayout>
                  <c:x val="6.8782808398950138E-2"/>
                  <c:y val="-0.10599800243107341"/>
                </c:manualLayout>
              </c:layout>
              <c:showLegendKey val="0"/>
              <c:showVal val="1"/>
              <c:showCatName val="1"/>
              <c:showSerName val="0"/>
              <c:showPercent val="1"/>
              <c:showBubbleSize val="0"/>
            </c:dLbl>
            <c:dLbl>
              <c:idx val="1"/>
              <c:layout>
                <c:manualLayout>
                  <c:x val="-0.18692129629629631"/>
                  <c:y val="9.3640661734732209E-3"/>
                </c:manualLayout>
              </c:layout>
              <c:showLegendKey val="0"/>
              <c:showVal val="1"/>
              <c:showCatName val="1"/>
              <c:showSerName val="0"/>
              <c:showPercent val="1"/>
              <c:showBubbleSize val="0"/>
            </c:dLbl>
            <c:numFmt formatCode="0.0%" sourceLinked="0"/>
            <c:txPr>
              <a:bodyPr/>
              <a:lstStyle/>
              <a:p>
                <a:pPr>
                  <a:defRPr sz="700"/>
                </a:pPr>
                <a:endParaRPr lang="es-GT"/>
              </a:p>
            </c:txPr>
            <c:showLegendKey val="0"/>
            <c:showVal val="1"/>
            <c:showCatName val="1"/>
            <c:showSerName val="0"/>
            <c:showPercent val="1"/>
            <c:showBubbleSize val="0"/>
            <c:showLeaderLines val="1"/>
          </c:dLbls>
          <c:cat>
            <c:strRef>
              <c:f>Ingresos!$K$38:$K$39</c:f>
              <c:strCache>
                <c:ptCount val="2"/>
                <c:pt idx="0">
                  <c:v>Comercio Exterior</c:v>
                </c:pt>
                <c:pt idx="1">
                  <c:v>Internos</c:v>
                </c:pt>
              </c:strCache>
            </c:strRef>
          </c:cat>
          <c:val>
            <c:numRef>
              <c:f>Ingresos!$L$38:$L$39</c:f>
              <c:numCache>
                <c:formatCode>#,##0.0</c:formatCode>
                <c:ptCount val="2"/>
                <c:pt idx="0">
                  <c:v>7986.4437375199996</c:v>
                </c:pt>
                <c:pt idx="1">
                  <c:v>20922.90966383</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2019</a:t>
            </a:r>
          </a:p>
        </c:rich>
      </c:tx>
      <c:layout>
        <c:manualLayout>
          <c:xMode val="edge"/>
          <c:yMode val="edge"/>
          <c:x val="0.4093074770013102"/>
          <c:y val="0"/>
        </c:manualLayout>
      </c:layout>
      <c:overlay val="0"/>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0"/>
          <c:y val="0.17842155147273256"/>
          <c:w val="1"/>
          <c:h val="0.79581911636045499"/>
        </c:manualLayout>
      </c:layout>
      <c:pie3DChart>
        <c:varyColors val="1"/>
        <c:ser>
          <c:idx val="0"/>
          <c:order val="0"/>
          <c:spPr>
            <a:scene3d>
              <a:camera prst="orthographicFront"/>
              <a:lightRig rig="threePt" dir="t"/>
            </a:scene3d>
            <a:sp3d prstMaterial="dkEdge">
              <a:bevelB/>
            </a:sp3d>
          </c:spPr>
          <c:explosion val="9"/>
          <c:dLbls>
            <c:dLbl>
              <c:idx val="0"/>
              <c:layout>
                <c:manualLayout>
                  <c:x val="0.19729718425237977"/>
                  <c:y val="2.4699656445383738E-3"/>
                </c:manualLayout>
              </c:layout>
              <c:numFmt formatCode="0.0%" sourceLinked="0"/>
              <c:spPr/>
              <c:txPr>
                <a:bodyPr/>
                <a:lstStyle/>
                <a:p>
                  <a:pPr>
                    <a:defRPr sz="700"/>
                  </a:pPr>
                  <a:endParaRPr lang="es-GT"/>
                </a:p>
              </c:txPr>
              <c:showLegendKey val="0"/>
              <c:showVal val="1"/>
              <c:showCatName val="1"/>
              <c:showSerName val="0"/>
              <c:showPercent val="1"/>
              <c:showBubbleSize val="0"/>
            </c:dLbl>
            <c:dLbl>
              <c:idx val="1"/>
              <c:layout>
                <c:manualLayout>
                  <c:x val="-0.28397418175400441"/>
                  <c:y val="-0.11323765550647633"/>
                </c:manualLayout>
              </c:layout>
              <c:numFmt formatCode="0.0%" sourceLinked="0"/>
              <c:spPr/>
              <c:txPr>
                <a:bodyPr/>
                <a:lstStyle/>
                <a:p>
                  <a:pPr>
                    <a:defRPr sz="700"/>
                  </a:pPr>
                  <a:endParaRPr lang="es-GT"/>
                </a:p>
              </c:txPr>
              <c:showLegendKey val="0"/>
              <c:showVal val="1"/>
              <c:showCatName val="1"/>
              <c:showSerName val="0"/>
              <c:showPercent val="1"/>
              <c:showBubbleSize val="0"/>
            </c:dLbl>
            <c:txPr>
              <a:bodyPr/>
              <a:lstStyle/>
              <a:p>
                <a:pPr>
                  <a:defRPr sz="700"/>
                </a:pPr>
                <a:endParaRPr lang="es-GT"/>
              </a:p>
            </c:txPr>
            <c:showLegendKey val="0"/>
            <c:showVal val="1"/>
            <c:showCatName val="1"/>
            <c:showSerName val="0"/>
            <c:showPercent val="1"/>
            <c:showBubbleSize val="0"/>
            <c:showLeaderLines val="1"/>
          </c:dLbls>
          <c:cat>
            <c:strRef>
              <c:f>Ingresos!$K$38:$K$39</c:f>
              <c:strCache>
                <c:ptCount val="2"/>
                <c:pt idx="0">
                  <c:v>Comercio Exterior</c:v>
                </c:pt>
                <c:pt idx="1">
                  <c:v>Internos</c:v>
                </c:pt>
              </c:strCache>
            </c:strRef>
          </c:cat>
          <c:val>
            <c:numRef>
              <c:f>Ingresos!$M$38:$M$39</c:f>
              <c:numCache>
                <c:formatCode>#,##0.0</c:formatCode>
                <c:ptCount val="2"/>
                <c:pt idx="0">
                  <c:v>8500.7927225999993</c:v>
                </c:pt>
                <c:pt idx="1">
                  <c:v>21560.370689210002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0.85889</cdr:x>
      <cdr:y>0.33602</cdr:y>
    </cdr:from>
    <cdr:to>
      <cdr:x>1</cdr:x>
      <cdr:y>0.4445</cdr:y>
    </cdr:to>
    <cdr:sp macro="" textlink="">
      <cdr:nvSpPr>
        <cdr:cNvPr id="4" name="3 CuadroTexto"/>
        <cdr:cNvSpPr txBox="1"/>
      </cdr:nvSpPr>
      <cdr:spPr>
        <a:xfrm xmlns:a="http://schemas.openxmlformats.org/drawingml/2006/main">
          <a:off x="5565600" y="1209675"/>
          <a:ext cx="914400" cy="390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GT" sz="1100"/>
        </a:p>
      </cdr:txBody>
    </cdr:sp>
  </cdr:relSizeAnchor>
</c:userShape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4C355-CAEC-45F3-8BA4-6C9494B4C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5902</TotalTime>
  <Pages>56</Pages>
  <Words>15429</Words>
  <Characters>84860</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100089</CharactersWithSpaces>
  <SharedDoc>false</SharedDoc>
  <HLinks>
    <vt:vector size="36" baseType="variant">
      <vt:variant>
        <vt:i4>5505078</vt:i4>
      </vt:variant>
      <vt:variant>
        <vt:i4>15</vt:i4>
      </vt:variant>
      <vt:variant>
        <vt:i4>0</vt:i4>
      </vt:variant>
      <vt:variant>
        <vt:i4>5</vt:i4>
      </vt:variant>
      <vt:variant>
        <vt:lpwstr>http://portal.sat.gob.gt/sitio/index.php/leyes/doc_details/2683-acuerdodedirectorionumero08-2011face.html</vt:lpwstr>
      </vt:variant>
      <vt:variant>
        <vt:lpwstr/>
      </vt:variant>
      <vt:variant>
        <vt:i4>1114202</vt:i4>
      </vt:variant>
      <vt:variant>
        <vt:i4>12</vt:i4>
      </vt:variant>
      <vt:variant>
        <vt:i4>0</vt:i4>
      </vt:variant>
      <vt:variant>
        <vt:i4>5</vt:i4>
      </vt:variant>
      <vt:variant>
        <vt:lpwstr>http://www.sgp.gob.gt/PaginaWeb/Acuerdos/2011/presidencia/AG-168-2011.pdf</vt:lpwstr>
      </vt:variant>
      <vt:variant>
        <vt:lpwstr/>
      </vt:variant>
      <vt:variant>
        <vt:i4>4653175</vt:i4>
      </vt:variant>
      <vt:variant>
        <vt:i4>9</vt:i4>
      </vt:variant>
      <vt:variant>
        <vt:i4>0</vt:i4>
      </vt:variant>
      <vt:variant>
        <vt:i4>5</vt:i4>
      </vt:variant>
      <vt:variant>
        <vt:lpwstr>http://www.sgp.gob.gt/PaginaWeb/PEsp/AG2011_Esp.htm</vt:lpwstr>
      </vt:variant>
      <vt:variant>
        <vt:lpwstr/>
      </vt:variant>
      <vt:variant>
        <vt:i4>3801144</vt:i4>
      </vt:variant>
      <vt:variant>
        <vt:i4>6</vt:i4>
      </vt:variant>
      <vt:variant>
        <vt:i4>0</vt:i4>
      </vt:variant>
      <vt:variant>
        <vt:i4>5</vt:i4>
      </vt:variant>
      <vt:variant>
        <vt:lpwstr>http://200.12.63.122/archivos/acuerdos/2010/CCLXXXVIII0790300050053201017022010.pdf</vt:lpwstr>
      </vt:variant>
      <vt:variant>
        <vt:lpwstr/>
      </vt:variant>
      <vt:variant>
        <vt:i4>6422584</vt:i4>
      </vt:variant>
      <vt:variant>
        <vt:i4>3</vt:i4>
      </vt:variant>
      <vt:variant>
        <vt:i4>0</vt:i4>
      </vt:variant>
      <vt:variant>
        <vt:i4>5</vt:i4>
      </vt:variant>
      <vt:variant>
        <vt:lpwstr>http://www.oj.gob.gt/es/QueEsOJ/EstructuraOJ/UnidadesAdministrativas/CentroAnalisisDocumentacionJudicial/cds/CDs leyes/2008/pdfs/decretos/D003-2008.pdf</vt:lpwstr>
      </vt:variant>
      <vt:variant>
        <vt:lpwstr/>
      </vt:variant>
      <vt:variant>
        <vt:i4>7667743</vt:i4>
      </vt:variant>
      <vt:variant>
        <vt:i4>0</vt:i4>
      </vt:variant>
      <vt:variant>
        <vt:i4>0</vt:i4>
      </vt:variant>
      <vt:variant>
        <vt:i4>5</vt:i4>
      </vt:variant>
      <vt:variant>
        <vt:lpwstr>http://www.minfin.gob.gt/2011-07-05-18-17-00/proyectospresupuesto/files.html?folder=2012\multianual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José Antonio Menéndez Letona</cp:lastModifiedBy>
  <cp:revision>187</cp:revision>
  <cp:lastPrinted>2018-09-28T15:11:00Z</cp:lastPrinted>
  <dcterms:created xsi:type="dcterms:W3CDTF">2019-08-08T14:58:00Z</dcterms:created>
  <dcterms:modified xsi:type="dcterms:W3CDTF">2019-09-27T22:52:00Z</dcterms:modified>
</cp:coreProperties>
</file>