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88B" w:rsidRPr="0008775B" w:rsidRDefault="0032588B" w:rsidP="00F474A5">
      <w:pPr>
        <w:jc w:val="both"/>
        <w:outlineLvl w:val="0"/>
        <w:rPr>
          <w:rFonts w:ascii="Times New Roman" w:eastAsiaTheme="majorEastAsia" w:hAnsi="Times New Roman" w:cs="Times New Roman"/>
          <w:b/>
          <w:bCs/>
          <w:color w:val="FF0000"/>
          <w:szCs w:val="26"/>
        </w:rPr>
      </w:pPr>
      <w:bookmarkStart w:id="0" w:name="_Toc410402057"/>
      <w:bookmarkStart w:id="1" w:name="_Toc457550818"/>
    </w:p>
    <w:p w:rsidR="0032588B" w:rsidRPr="0008775B"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08775B"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08775B"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08775B"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08775B"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08775B"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08775B"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08775B"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08775B"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D8619A" w:rsidRPr="0008775B" w:rsidRDefault="00D8619A"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D8619A" w:rsidRPr="000F0DA3" w:rsidRDefault="00D8619A"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D8619A" w:rsidRPr="000F0DA3" w:rsidRDefault="00D8619A"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D8619A" w:rsidRPr="000F0DA3" w:rsidRDefault="00D8619A"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D8619A" w:rsidRPr="000F0DA3" w:rsidRDefault="00D8619A"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0F0DA3"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0F0DA3"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E14CCD" w:rsidRDefault="00D8619A" w:rsidP="00F75211">
      <w:pPr>
        <w:pStyle w:val="Prrafodelista"/>
        <w:ind w:left="709"/>
        <w:jc w:val="center"/>
        <w:rPr>
          <w:rFonts w:ascii="Times New Roman" w:eastAsiaTheme="majorEastAsia" w:hAnsi="Times New Roman" w:cs="Times New Roman"/>
          <w:b/>
          <w:bCs/>
          <w:sz w:val="36"/>
          <w:szCs w:val="26"/>
          <w:lang w:val="es-ES_tradnl" w:eastAsia="es-ES"/>
        </w:rPr>
      </w:pPr>
      <w:r w:rsidRPr="00E14CCD">
        <w:rPr>
          <w:rFonts w:ascii="Times New Roman" w:eastAsiaTheme="majorEastAsia" w:hAnsi="Times New Roman" w:cs="Times New Roman"/>
          <w:b/>
          <w:bCs/>
          <w:sz w:val="36"/>
          <w:szCs w:val="26"/>
          <w:lang w:val="es-ES_tradnl" w:eastAsia="es-ES"/>
        </w:rPr>
        <w:t>Informe de dese</w:t>
      </w:r>
      <w:r w:rsidR="00694C06" w:rsidRPr="00E14CCD">
        <w:rPr>
          <w:rFonts w:ascii="Times New Roman" w:eastAsiaTheme="majorEastAsia" w:hAnsi="Times New Roman" w:cs="Times New Roman"/>
          <w:b/>
          <w:bCs/>
          <w:sz w:val="36"/>
          <w:szCs w:val="26"/>
          <w:lang w:val="es-ES_tradnl" w:eastAsia="es-ES"/>
        </w:rPr>
        <w:t>mpeño de la Política Fiscal 201</w:t>
      </w:r>
      <w:r w:rsidR="000F0DA3" w:rsidRPr="00E14CCD">
        <w:rPr>
          <w:rFonts w:ascii="Times New Roman" w:eastAsiaTheme="majorEastAsia" w:hAnsi="Times New Roman" w:cs="Times New Roman"/>
          <w:b/>
          <w:bCs/>
          <w:sz w:val="36"/>
          <w:szCs w:val="26"/>
          <w:lang w:val="es-ES_tradnl" w:eastAsia="es-ES"/>
        </w:rPr>
        <w:t>8</w:t>
      </w:r>
      <w:r w:rsidRPr="00E14CCD">
        <w:rPr>
          <w:rFonts w:ascii="Times New Roman" w:eastAsiaTheme="majorEastAsia" w:hAnsi="Times New Roman" w:cs="Times New Roman"/>
          <w:b/>
          <w:bCs/>
          <w:sz w:val="36"/>
          <w:szCs w:val="26"/>
          <w:lang w:val="es-ES_tradnl" w:eastAsia="es-ES"/>
        </w:rPr>
        <w:t xml:space="preserve"> </w:t>
      </w:r>
    </w:p>
    <w:p w:rsidR="0032588B" w:rsidRPr="000F0DA3"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0F0DA3"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0F0DA3"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0F0DA3"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0F0DA3"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0F0DA3"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0F0DA3"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0F0DA3"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0F0DA3"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0F0DA3"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D8619A" w:rsidRPr="000F0DA3" w:rsidRDefault="00D8619A"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D8619A" w:rsidRPr="000F0DA3" w:rsidRDefault="00D8619A"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0F0DA3"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0F0DA3"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0F0DA3"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0F0DA3"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0F0DA3"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0F0DA3"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0F0DA3"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0F0DA3" w:rsidRDefault="000F0DA3" w:rsidP="00F75211">
      <w:pPr>
        <w:pStyle w:val="Prrafodelista"/>
        <w:ind w:left="709"/>
        <w:jc w:val="center"/>
        <w:rPr>
          <w:rFonts w:ascii="Times New Roman" w:eastAsiaTheme="majorEastAsia" w:hAnsi="Times New Roman" w:cs="Times New Roman"/>
          <w:b/>
          <w:bCs/>
          <w:sz w:val="24"/>
          <w:szCs w:val="26"/>
          <w:lang w:val="es-ES_tradnl" w:eastAsia="es-ES"/>
        </w:rPr>
      </w:pPr>
      <w:r w:rsidRPr="000F0DA3">
        <w:rPr>
          <w:rFonts w:ascii="Times New Roman" w:eastAsiaTheme="majorEastAsia" w:hAnsi="Times New Roman" w:cs="Times New Roman"/>
          <w:b/>
          <w:bCs/>
          <w:sz w:val="24"/>
          <w:szCs w:val="26"/>
          <w:lang w:val="es-ES_tradnl" w:eastAsia="es-ES"/>
        </w:rPr>
        <w:t>Guatemala, enero 2019</w:t>
      </w:r>
    </w:p>
    <w:p w:rsidR="0032588B" w:rsidRPr="0008775B"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08775B"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08775B"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08775B"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08775B"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08775B"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08775B"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08775B"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08775B"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08775B"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08775B"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08775B" w:rsidRDefault="0032588B" w:rsidP="0032588B">
      <w:pPr>
        <w:jc w:val="both"/>
        <w:outlineLvl w:val="0"/>
        <w:rPr>
          <w:rFonts w:ascii="Times New Roman" w:eastAsiaTheme="majorEastAsia" w:hAnsi="Times New Roman" w:cs="Times New Roman"/>
          <w:b/>
          <w:bCs/>
          <w:color w:val="FF0000"/>
          <w:szCs w:val="26"/>
        </w:rPr>
      </w:pPr>
    </w:p>
    <w:p w:rsidR="0032588B" w:rsidRPr="0008775B" w:rsidRDefault="0032588B" w:rsidP="0032588B">
      <w:pPr>
        <w:jc w:val="both"/>
        <w:outlineLvl w:val="0"/>
        <w:rPr>
          <w:rFonts w:ascii="Times New Roman" w:eastAsiaTheme="majorEastAsia" w:hAnsi="Times New Roman" w:cs="Times New Roman"/>
          <w:b/>
          <w:bCs/>
          <w:color w:val="FF0000"/>
          <w:szCs w:val="26"/>
        </w:rPr>
      </w:pPr>
    </w:p>
    <w:sdt>
      <w:sdtPr>
        <w:rPr>
          <w:rFonts w:asciiTheme="minorHAnsi" w:eastAsiaTheme="minorEastAsia" w:hAnsiTheme="minorHAnsi" w:cstheme="minorBidi"/>
          <w:b w:val="0"/>
          <w:bCs w:val="0"/>
          <w:color w:val="FF0000"/>
          <w:sz w:val="24"/>
          <w:szCs w:val="24"/>
          <w:lang w:val="es-ES" w:eastAsia="es-ES"/>
        </w:rPr>
        <w:id w:val="-1412613934"/>
        <w:docPartObj>
          <w:docPartGallery w:val="Table of Contents"/>
          <w:docPartUnique/>
        </w:docPartObj>
      </w:sdtPr>
      <w:sdtEndPr>
        <w:rPr>
          <w:rFonts w:ascii="Times New Roman" w:hAnsi="Times New Roman" w:cs="Times New Roman"/>
          <w:color w:val="auto"/>
        </w:rPr>
      </w:sdtEndPr>
      <w:sdtContent>
        <w:p w:rsidR="0032588B" w:rsidRPr="00DD1859" w:rsidRDefault="0032588B" w:rsidP="000D58D6">
          <w:pPr>
            <w:pStyle w:val="TtuloTDC"/>
            <w:jc w:val="center"/>
            <w:rPr>
              <w:rFonts w:ascii="Times New Roman" w:hAnsi="Times New Roman" w:cs="Times New Roman"/>
              <w:color w:val="auto"/>
              <w:sz w:val="24"/>
              <w:szCs w:val="24"/>
              <w:lang w:val="es-ES"/>
            </w:rPr>
          </w:pPr>
          <w:r w:rsidRPr="00DD1859">
            <w:rPr>
              <w:rFonts w:ascii="Times New Roman" w:hAnsi="Times New Roman" w:cs="Times New Roman"/>
              <w:color w:val="auto"/>
              <w:sz w:val="24"/>
              <w:szCs w:val="24"/>
              <w:lang w:val="es-ES"/>
            </w:rPr>
            <w:t>Contenido</w:t>
          </w:r>
        </w:p>
        <w:p w:rsidR="00F3006C" w:rsidRPr="00DD1859" w:rsidRDefault="00F3006C" w:rsidP="000D58D6">
          <w:pPr>
            <w:spacing w:line="276" w:lineRule="auto"/>
            <w:rPr>
              <w:rFonts w:ascii="Times New Roman" w:hAnsi="Times New Roman" w:cs="Times New Roman"/>
              <w:lang w:val="es-ES" w:eastAsia="es-GT"/>
            </w:rPr>
          </w:pPr>
        </w:p>
        <w:p w:rsidR="00DD1859" w:rsidRPr="00DD1859" w:rsidRDefault="0032588B">
          <w:pPr>
            <w:pStyle w:val="TDC1"/>
            <w:rPr>
              <w:rFonts w:eastAsiaTheme="minorEastAsia"/>
              <w:b w:val="0"/>
              <w:bCs w:val="0"/>
              <w:sz w:val="22"/>
              <w:szCs w:val="22"/>
              <w:lang w:val="es-GT" w:eastAsia="es-GT"/>
            </w:rPr>
          </w:pPr>
          <w:r w:rsidRPr="00DD1859">
            <w:rPr>
              <w:b w:val="0"/>
            </w:rPr>
            <w:fldChar w:fldCharType="begin"/>
          </w:r>
          <w:r w:rsidRPr="00DD1859">
            <w:rPr>
              <w:b w:val="0"/>
            </w:rPr>
            <w:instrText xml:space="preserve"> TOC \o "1-3" \h \z \u </w:instrText>
          </w:r>
          <w:r w:rsidRPr="00DD1859">
            <w:rPr>
              <w:b w:val="0"/>
            </w:rPr>
            <w:fldChar w:fldCharType="separate"/>
          </w:r>
          <w:hyperlink w:anchor="_Toc534988218" w:history="1">
            <w:r w:rsidR="00DD1859" w:rsidRPr="00DD1859">
              <w:rPr>
                <w:rStyle w:val="Hipervnculo"/>
                <w:b w:val="0"/>
              </w:rPr>
              <w:t>Introducción</w:t>
            </w:r>
            <w:r w:rsidR="00DD1859" w:rsidRPr="00DD1859">
              <w:rPr>
                <w:b w:val="0"/>
                <w:webHidden/>
              </w:rPr>
              <w:tab/>
            </w:r>
            <w:r w:rsidR="00DD1859" w:rsidRPr="00DD1859">
              <w:rPr>
                <w:b w:val="0"/>
                <w:webHidden/>
              </w:rPr>
              <w:fldChar w:fldCharType="begin"/>
            </w:r>
            <w:r w:rsidR="00DD1859" w:rsidRPr="00DD1859">
              <w:rPr>
                <w:b w:val="0"/>
                <w:webHidden/>
              </w:rPr>
              <w:instrText xml:space="preserve"> PAGEREF _Toc534988218 \h </w:instrText>
            </w:r>
            <w:r w:rsidR="00DD1859" w:rsidRPr="00DD1859">
              <w:rPr>
                <w:b w:val="0"/>
                <w:webHidden/>
              </w:rPr>
            </w:r>
            <w:r w:rsidR="00DD1859" w:rsidRPr="00DD1859">
              <w:rPr>
                <w:b w:val="0"/>
                <w:webHidden/>
              </w:rPr>
              <w:fldChar w:fldCharType="separate"/>
            </w:r>
            <w:r w:rsidR="00B10811">
              <w:rPr>
                <w:b w:val="0"/>
                <w:webHidden/>
              </w:rPr>
              <w:t>3</w:t>
            </w:r>
            <w:r w:rsidR="00DD1859" w:rsidRPr="00DD1859">
              <w:rPr>
                <w:b w:val="0"/>
                <w:webHidden/>
              </w:rPr>
              <w:fldChar w:fldCharType="end"/>
            </w:r>
          </w:hyperlink>
        </w:p>
        <w:p w:rsidR="00DD1859" w:rsidRPr="00DD1859" w:rsidRDefault="00A020E2">
          <w:pPr>
            <w:pStyle w:val="TDC1"/>
            <w:rPr>
              <w:rFonts w:eastAsiaTheme="minorEastAsia"/>
              <w:b w:val="0"/>
              <w:bCs w:val="0"/>
              <w:sz w:val="22"/>
              <w:szCs w:val="22"/>
              <w:lang w:val="es-GT" w:eastAsia="es-GT"/>
            </w:rPr>
          </w:pPr>
          <w:hyperlink w:anchor="_Toc534988219" w:history="1">
            <w:r w:rsidR="00DD1859" w:rsidRPr="00DD1859">
              <w:rPr>
                <w:rStyle w:val="Hipervnculo"/>
                <w:b w:val="0"/>
              </w:rPr>
              <w:t>I.</w:t>
            </w:r>
            <w:r w:rsidR="00DD1859" w:rsidRPr="00DD1859">
              <w:rPr>
                <w:rFonts w:eastAsiaTheme="minorEastAsia"/>
                <w:b w:val="0"/>
                <w:bCs w:val="0"/>
                <w:sz w:val="22"/>
                <w:szCs w:val="22"/>
                <w:lang w:val="es-GT" w:eastAsia="es-GT"/>
              </w:rPr>
              <w:tab/>
            </w:r>
            <w:r w:rsidR="00DD1859" w:rsidRPr="00DD1859">
              <w:rPr>
                <w:rStyle w:val="Hipervnculo"/>
                <w:b w:val="0"/>
              </w:rPr>
              <w:t>Recaudación tributaria</w:t>
            </w:r>
            <w:r w:rsidR="00DD1859" w:rsidRPr="00DD1859">
              <w:rPr>
                <w:b w:val="0"/>
                <w:webHidden/>
              </w:rPr>
              <w:tab/>
            </w:r>
            <w:r w:rsidR="00DD1859" w:rsidRPr="00DD1859">
              <w:rPr>
                <w:b w:val="0"/>
                <w:webHidden/>
              </w:rPr>
              <w:fldChar w:fldCharType="begin"/>
            </w:r>
            <w:r w:rsidR="00DD1859" w:rsidRPr="00DD1859">
              <w:rPr>
                <w:b w:val="0"/>
                <w:webHidden/>
              </w:rPr>
              <w:instrText xml:space="preserve"> PAGEREF _Toc534988219 \h </w:instrText>
            </w:r>
            <w:r w:rsidR="00DD1859" w:rsidRPr="00DD1859">
              <w:rPr>
                <w:b w:val="0"/>
                <w:webHidden/>
              </w:rPr>
            </w:r>
            <w:r w:rsidR="00DD1859" w:rsidRPr="00DD1859">
              <w:rPr>
                <w:b w:val="0"/>
                <w:webHidden/>
              </w:rPr>
              <w:fldChar w:fldCharType="separate"/>
            </w:r>
            <w:r w:rsidR="00B10811">
              <w:rPr>
                <w:b w:val="0"/>
                <w:webHidden/>
              </w:rPr>
              <w:t>4</w:t>
            </w:r>
            <w:r w:rsidR="00DD1859" w:rsidRPr="00DD1859">
              <w:rPr>
                <w:b w:val="0"/>
                <w:webHidden/>
              </w:rPr>
              <w:fldChar w:fldCharType="end"/>
            </w:r>
          </w:hyperlink>
        </w:p>
        <w:p w:rsidR="00DD1859" w:rsidRPr="00DD1859" w:rsidRDefault="00A020E2">
          <w:pPr>
            <w:pStyle w:val="TDC2"/>
            <w:tabs>
              <w:tab w:val="left" w:pos="880"/>
              <w:tab w:val="right" w:leader="dot" w:pos="9394"/>
            </w:tabs>
            <w:rPr>
              <w:rFonts w:ascii="Times New Roman" w:hAnsi="Times New Roman" w:cs="Times New Roman"/>
              <w:noProof/>
              <w:sz w:val="22"/>
              <w:szCs w:val="22"/>
              <w:lang w:val="es-GT" w:eastAsia="es-GT"/>
            </w:rPr>
          </w:pPr>
          <w:hyperlink w:anchor="_Toc534988221" w:history="1">
            <w:r w:rsidR="00DD1859" w:rsidRPr="00DD1859">
              <w:rPr>
                <w:rStyle w:val="Hipervnculo"/>
                <w:rFonts w:ascii="Times New Roman" w:hAnsi="Times New Roman" w:cs="Times New Roman"/>
                <w:noProof/>
              </w:rPr>
              <w:t>1.1</w:t>
            </w:r>
            <w:r w:rsidR="00DD1859" w:rsidRPr="00DD1859">
              <w:rPr>
                <w:rFonts w:ascii="Times New Roman" w:hAnsi="Times New Roman" w:cs="Times New Roman"/>
                <w:noProof/>
                <w:sz w:val="22"/>
                <w:szCs w:val="22"/>
                <w:lang w:val="es-GT" w:eastAsia="es-GT"/>
              </w:rPr>
              <w:tab/>
            </w:r>
            <w:r w:rsidR="00DD1859" w:rsidRPr="00DD1859">
              <w:rPr>
                <w:rStyle w:val="Hipervnculo"/>
                <w:rFonts w:ascii="Times New Roman" w:hAnsi="Times New Roman" w:cs="Times New Roman"/>
                <w:noProof/>
              </w:rPr>
              <w:t>Evolución de la recaudación tributaria 2018</w:t>
            </w:r>
            <w:r w:rsidR="00DD1859" w:rsidRPr="00DD1859">
              <w:rPr>
                <w:rFonts w:ascii="Times New Roman" w:hAnsi="Times New Roman" w:cs="Times New Roman"/>
                <w:noProof/>
                <w:webHidden/>
              </w:rPr>
              <w:tab/>
            </w:r>
            <w:r w:rsidR="00DD1859" w:rsidRPr="00DD1859">
              <w:rPr>
                <w:rFonts w:ascii="Times New Roman" w:hAnsi="Times New Roman" w:cs="Times New Roman"/>
                <w:noProof/>
                <w:webHidden/>
              </w:rPr>
              <w:fldChar w:fldCharType="begin"/>
            </w:r>
            <w:r w:rsidR="00DD1859" w:rsidRPr="00DD1859">
              <w:rPr>
                <w:rFonts w:ascii="Times New Roman" w:hAnsi="Times New Roman" w:cs="Times New Roman"/>
                <w:noProof/>
                <w:webHidden/>
              </w:rPr>
              <w:instrText xml:space="preserve"> PAGEREF _Toc534988221 \h </w:instrText>
            </w:r>
            <w:r w:rsidR="00DD1859" w:rsidRPr="00DD1859">
              <w:rPr>
                <w:rFonts w:ascii="Times New Roman" w:hAnsi="Times New Roman" w:cs="Times New Roman"/>
                <w:noProof/>
                <w:webHidden/>
              </w:rPr>
            </w:r>
            <w:r w:rsidR="00DD1859" w:rsidRPr="00DD1859">
              <w:rPr>
                <w:rFonts w:ascii="Times New Roman" w:hAnsi="Times New Roman" w:cs="Times New Roman"/>
                <w:noProof/>
                <w:webHidden/>
              </w:rPr>
              <w:fldChar w:fldCharType="separate"/>
            </w:r>
            <w:r w:rsidR="00B10811">
              <w:rPr>
                <w:rFonts w:ascii="Times New Roman" w:hAnsi="Times New Roman" w:cs="Times New Roman"/>
                <w:noProof/>
                <w:webHidden/>
              </w:rPr>
              <w:t>4</w:t>
            </w:r>
            <w:r w:rsidR="00DD1859" w:rsidRPr="00DD1859">
              <w:rPr>
                <w:rFonts w:ascii="Times New Roman" w:hAnsi="Times New Roman" w:cs="Times New Roman"/>
                <w:noProof/>
                <w:webHidden/>
              </w:rPr>
              <w:fldChar w:fldCharType="end"/>
            </w:r>
          </w:hyperlink>
        </w:p>
        <w:p w:rsidR="00DD1859" w:rsidRPr="00DD1859" w:rsidRDefault="00A020E2">
          <w:pPr>
            <w:pStyle w:val="TDC2"/>
            <w:tabs>
              <w:tab w:val="left" w:pos="880"/>
              <w:tab w:val="right" w:leader="dot" w:pos="9394"/>
            </w:tabs>
            <w:rPr>
              <w:rFonts w:ascii="Times New Roman" w:hAnsi="Times New Roman" w:cs="Times New Roman"/>
              <w:noProof/>
              <w:sz w:val="22"/>
              <w:szCs w:val="22"/>
              <w:lang w:val="es-GT" w:eastAsia="es-GT"/>
            </w:rPr>
          </w:pPr>
          <w:hyperlink w:anchor="_Toc534988222" w:history="1">
            <w:r w:rsidR="00DD1859" w:rsidRPr="00DD1859">
              <w:rPr>
                <w:rStyle w:val="Hipervnculo"/>
                <w:rFonts w:ascii="Times New Roman" w:hAnsi="Times New Roman" w:cs="Times New Roman"/>
                <w:noProof/>
              </w:rPr>
              <w:t>1.2</w:t>
            </w:r>
            <w:r w:rsidR="00DD1859" w:rsidRPr="00DD1859">
              <w:rPr>
                <w:rFonts w:ascii="Times New Roman" w:hAnsi="Times New Roman" w:cs="Times New Roman"/>
                <w:noProof/>
                <w:sz w:val="22"/>
                <w:szCs w:val="22"/>
                <w:lang w:val="es-GT" w:eastAsia="es-GT"/>
              </w:rPr>
              <w:tab/>
            </w:r>
            <w:r w:rsidR="00DD1859" w:rsidRPr="00DD1859">
              <w:rPr>
                <w:rStyle w:val="Hipervnculo"/>
                <w:rFonts w:ascii="Times New Roman" w:hAnsi="Times New Roman" w:cs="Times New Roman"/>
                <w:noProof/>
              </w:rPr>
              <w:t>Acciones y logros de la SAT en 2018</w:t>
            </w:r>
            <w:r w:rsidR="00DD1859" w:rsidRPr="00DD1859">
              <w:rPr>
                <w:rFonts w:ascii="Times New Roman" w:hAnsi="Times New Roman" w:cs="Times New Roman"/>
                <w:noProof/>
                <w:webHidden/>
              </w:rPr>
              <w:tab/>
            </w:r>
            <w:r w:rsidR="00DD1859" w:rsidRPr="00DD1859">
              <w:rPr>
                <w:rFonts w:ascii="Times New Roman" w:hAnsi="Times New Roman" w:cs="Times New Roman"/>
                <w:noProof/>
                <w:webHidden/>
              </w:rPr>
              <w:fldChar w:fldCharType="begin"/>
            </w:r>
            <w:r w:rsidR="00DD1859" w:rsidRPr="00DD1859">
              <w:rPr>
                <w:rFonts w:ascii="Times New Roman" w:hAnsi="Times New Roman" w:cs="Times New Roman"/>
                <w:noProof/>
                <w:webHidden/>
              </w:rPr>
              <w:instrText xml:space="preserve"> PAGEREF _Toc534988222 \h </w:instrText>
            </w:r>
            <w:r w:rsidR="00DD1859" w:rsidRPr="00DD1859">
              <w:rPr>
                <w:rFonts w:ascii="Times New Roman" w:hAnsi="Times New Roman" w:cs="Times New Roman"/>
                <w:noProof/>
                <w:webHidden/>
              </w:rPr>
            </w:r>
            <w:r w:rsidR="00DD1859" w:rsidRPr="00DD1859">
              <w:rPr>
                <w:rFonts w:ascii="Times New Roman" w:hAnsi="Times New Roman" w:cs="Times New Roman"/>
                <w:noProof/>
                <w:webHidden/>
              </w:rPr>
              <w:fldChar w:fldCharType="separate"/>
            </w:r>
            <w:r w:rsidR="00B10811">
              <w:rPr>
                <w:rFonts w:ascii="Times New Roman" w:hAnsi="Times New Roman" w:cs="Times New Roman"/>
                <w:noProof/>
                <w:webHidden/>
              </w:rPr>
              <w:t>4</w:t>
            </w:r>
            <w:r w:rsidR="00DD1859" w:rsidRPr="00DD1859">
              <w:rPr>
                <w:rFonts w:ascii="Times New Roman" w:hAnsi="Times New Roman" w:cs="Times New Roman"/>
                <w:noProof/>
                <w:webHidden/>
              </w:rPr>
              <w:fldChar w:fldCharType="end"/>
            </w:r>
          </w:hyperlink>
        </w:p>
        <w:p w:rsidR="00DD1859" w:rsidRPr="00DD1859" w:rsidRDefault="00A020E2">
          <w:pPr>
            <w:pStyle w:val="TDC2"/>
            <w:tabs>
              <w:tab w:val="left" w:pos="880"/>
              <w:tab w:val="right" w:leader="dot" w:pos="9394"/>
            </w:tabs>
            <w:rPr>
              <w:rFonts w:ascii="Times New Roman" w:hAnsi="Times New Roman" w:cs="Times New Roman"/>
              <w:noProof/>
              <w:sz w:val="22"/>
              <w:szCs w:val="22"/>
              <w:lang w:val="es-GT" w:eastAsia="es-GT"/>
            </w:rPr>
          </w:pPr>
          <w:hyperlink w:anchor="_Toc534988223" w:history="1">
            <w:r w:rsidR="00DD1859" w:rsidRPr="00DD1859">
              <w:rPr>
                <w:rStyle w:val="Hipervnculo"/>
                <w:rFonts w:ascii="Times New Roman" w:hAnsi="Times New Roman" w:cs="Times New Roman"/>
                <w:noProof/>
              </w:rPr>
              <w:t>1.3</w:t>
            </w:r>
            <w:r w:rsidR="00DD1859" w:rsidRPr="00DD1859">
              <w:rPr>
                <w:rFonts w:ascii="Times New Roman" w:hAnsi="Times New Roman" w:cs="Times New Roman"/>
                <w:noProof/>
                <w:sz w:val="22"/>
                <w:szCs w:val="22"/>
                <w:lang w:val="es-GT" w:eastAsia="es-GT"/>
              </w:rPr>
              <w:tab/>
            </w:r>
            <w:r w:rsidR="00DD1859" w:rsidRPr="00DD1859">
              <w:rPr>
                <w:rStyle w:val="Hipervnculo"/>
                <w:rFonts w:ascii="Times New Roman" w:hAnsi="Times New Roman" w:cs="Times New Roman"/>
                <w:noProof/>
              </w:rPr>
              <w:t>Análisis de la recaudación tributaria 2018.</w:t>
            </w:r>
            <w:r w:rsidR="00DD1859" w:rsidRPr="00DD1859">
              <w:rPr>
                <w:rFonts w:ascii="Times New Roman" w:hAnsi="Times New Roman" w:cs="Times New Roman"/>
                <w:noProof/>
                <w:webHidden/>
              </w:rPr>
              <w:tab/>
            </w:r>
            <w:r w:rsidR="00DD1859" w:rsidRPr="00DD1859">
              <w:rPr>
                <w:rFonts w:ascii="Times New Roman" w:hAnsi="Times New Roman" w:cs="Times New Roman"/>
                <w:noProof/>
                <w:webHidden/>
              </w:rPr>
              <w:fldChar w:fldCharType="begin"/>
            </w:r>
            <w:r w:rsidR="00DD1859" w:rsidRPr="00DD1859">
              <w:rPr>
                <w:rFonts w:ascii="Times New Roman" w:hAnsi="Times New Roman" w:cs="Times New Roman"/>
                <w:noProof/>
                <w:webHidden/>
              </w:rPr>
              <w:instrText xml:space="preserve"> PAGEREF _Toc534988223 \h </w:instrText>
            </w:r>
            <w:r w:rsidR="00DD1859" w:rsidRPr="00DD1859">
              <w:rPr>
                <w:rFonts w:ascii="Times New Roman" w:hAnsi="Times New Roman" w:cs="Times New Roman"/>
                <w:noProof/>
                <w:webHidden/>
              </w:rPr>
            </w:r>
            <w:r w:rsidR="00DD1859" w:rsidRPr="00DD1859">
              <w:rPr>
                <w:rFonts w:ascii="Times New Roman" w:hAnsi="Times New Roman" w:cs="Times New Roman"/>
                <w:noProof/>
                <w:webHidden/>
              </w:rPr>
              <w:fldChar w:fldCharType="separate"/>
            </w:r>
            <w:r w:rsidR="00B10811">
              <w:rPr>
                <w:rFonts w:ascii="Times New Roman" w:hAnsi="Times New Roman" w:cs="Times New Roman"/>
                <w:noProof/>
                <w:webHidden/>
              </w:rPr>
              <w:t>6</w:t>
            </w:r>
            <w:r w:rsidR="00DD1859" w:rsidRPr="00DD1859">
              <w:rPr>
                <w:rFonts w:ascii="Times New Roman" w:hAnsi="Times New Roman" w:cs="Times New Roman"/>
                <w:noProof/>
                <w:webHidden/>
              </w:rPr>
              <w:fldChar w:fldCharType="end"/>
            </w:r>
          </w:hyperlink>
        </w:p>
        <w:p w:rsidR="00DD1859" w:rsidRPr="00DD1859" w:rsidRDefault="00A020E2">
          <w:pPr>
            <w:pStyle w:val="TDC3"/>
            <w:tabs>
              <w:tab w:val="left" w:pos="1320"/>
              <w:tab w:val="right" w:leader="dot" w:pos="9394"/>
            </w:tabs>
            <w:rPr>
              <w:rFonts w:ascii="Times New Roman" w:hAnsi="Times New Roman" w:cs="Times New Roman"/>
              <w:noProof/>
              <w:sz w:val="22"/>
              <w:szCs w:val="22"/>
              <w:lang w:val="es-GT" w:eastAsia="es-GT"/>
            </w:rPr>
          </w:pPr>
          <w:hyperlink w:anchor="_Toc534988224" w:history="1">
            <w:r w:rsidR="00DD1859" w:rsidRPr="00DD1859">
              <w:rPr>
                <w:rStyle w:val="Hipervnculo"/>
                <w:rFonts w:ascii="Times New Roman" w:hAnsi="Times New Roman" w:cs="Times New Roman"/>
                <w:noProof/>
                <w:lang w:val="es-MX"/>
              </w:rPr>
              <w:t>1.3.1</w:t>
            </w:r>
            <w:r w:rsidR="00DD1859" w:rsidRPr="00DD1859">
              <w:rPr>
                <w:rFonts w:ascii="Times New Roman" w:hAnsi="Times New Roman" w:cs="Times New Roman"/>
                <w:noProof/>
                <w:sz w:val="22"/>
                <w:szCs w:val="22"/>
                <w:lang w:val="es-GT" w:eastAsia="es-GT"/>
              </w:rPr>
              <w:tab/>
            </w:r>
            <w:r w:rsidR="00DD1859" w:rsidRPr="00DD1859">
              <w:rPr>
                <w:rStyle w:val="Hipervnculo"/>
                <w:rFonts w:ascii="Times New Roman" w:hAnsi="Times New Roman" w:cs="Times New Roman"/>
                <w:noProof/>
                <w:lang w:val="es-MX"/>
              </w:rPr>
              <w:t>Impuesto sobre la renta</w:t>
            </w:r>
            <w:r w:rsidR="00DD1859" w:rsidRPr="00DD1859">
              <w:rPr>
                <w:rFonts w:ascii="Times New Roman" w:hAnsi="Times New Roman" w:cs="Times New Roman"/>
                <w:noProof/>
                <w:webHidden/>
              </w:rPr>
              <w:tab/>
            </w:r>
            <w:r w:rsidR="00DD1859" w:rsidRPr="00DD1859">
              <w:rPr>
                <w:rFonts w:ascii="Times New Roman" w:hAnsi="Times New Roman" w:cs="Times New Roman"/>
                <w:noProof/>
                <w:webHidden/>
              </w:rPr>
              <w:fldChar w:fldCharType="begin"/>
            </w:r>
            <w:r w:rsidR="00DD1859" w:rsidRPr="00DD1859">
              <w:rPr>
                <w:rFonts w:ascii="Times New Roman" w:hAnsi="Times New Roman" w:cs="Times New Roman"/>
                <w:noProof/>
                <w:webHidden/>
              </w:rPr>
              <w:instrText xml:space="preserve"> PAGEREF _Toc534988224 \h </w:instrText>
            </w:r>
            <w:r w:rsidR="00DD1859" w:rsidRPr="00DD1859">
              <w:rPr>
                <w:rFonts w:ascii="Times New Roman" w:hAnsi="Times New Roman" w:cs="Times New Roman"/>
                <w:noProof/>
                <w:webHidden/>
              </w:rPr>
            </w:r>
            <w:r w:rsidR="00DD1859" w:rsidRPr="00DD1859">
              <w:rPr>
                <w:rFonts w:ascii="Times New Roman" w:hAnsi="Times New Roman" w:cs="Times New Roman"/>
                <w:noProof/>
                <w:webHidden/>
              </w:rPr>
              <w:fldChar w:fldCharType="separate"/>
            </w:r>
            <w:r w:rsidR="00B10811">
              <w:rPr>
                <w:rFonts w:ascii="Times New Roman" w:hAnsi="Times New Roman" w:cs="Times New Roman"/>
                <w:noProof/>
                <w:webHidden/>
              </w:rPr>
              <w:t>8</w:t>
            </w:r>
            <w:r w:rsidR="00DD1859" w:rsidRPr="00DD1859">
              <w:rPr>
                <w:rFonts w:ascii="Times New Roman" w:hAnsi="Times New Roman" w:cs="Times New Roman"/>
                <w:noProof/>
                <w:webHidden/>
              </w:rPr>
              <w:fldChar w:fldCharType="end"/>
            </w:r>
          </w:hyperlink>
        </w:p>
        <w:p w:rsidR="00DD1859" w:rsidRPr="00DD1859" w:rsidRDefault="00A020E2">
          <w:pPr>
            <w:pStyle w:val="TDC3"/>
            <w:tabs>
              <w:tab w:val="left" w:pos="1320"/>
              <w:tab w:val="right" w:leader="dot" w:pos="9394"/>
            </w:tabs>
            <w:rPr>
              <w:rFonts w:ascii="Times New Roman" w:hAnsi="Times New Roman" w:cs="Times New Roman"/>
              <w:noProof/>
              <w:sz w:val="22"/>
              <w:szCs w:val="22"/>
              <w:lang w:val="es-GT" w:eastAsia="es-GT"/>
            </w:rPr>
          </w:pPr>
          <w:hyperlink w:anchor="_Toc534988225" w:history="1">
            <w:r w:rsidR="00DD1859" w:rsidRPr="00DD1859">
              <w:rPr>
                <w:rStyle w:val="Hipervnculo"/>
                <w:rFonts w:ascii="Times New Roman" w:hAnsi="Times New Roman" w:cs="Times New Roman"/>
                <w:noProof/>
                <w:lang w:val="es-MX"/>
              </w:rPr>
              <w:t>1.3.2</w:t>
            </w:r>
            <w:r w:rsidR="00DD1859" w:rsidRPr="00DD1859">
              <w:rPr>
                <w:rFonts w:ascii="Times New Roman" w:hAnsi="Times New Roman" w:cs="Times New Roman"/>
                <w:noProof/>
                <w:sz w:val="22"/>
                <w:szCs w:val="22"/>
                <w:lang w:val="es-GT" w:eastAsia="es-GT"/>
              </w:rPr>
              <w:tab/>
            </w:r>
            <w:r w:rsidR="00DD1859" w:rsidRPr="00DD1859">
              <w:rPr>
                <w:rStyle w:val="Hipervnculo"/>
                <w:rFonts w:ascii="Times New Roman" w:hAnsi="Times New Roman" w:cs="Times New Roman"/>
                <w:noProof/>
                <w:lang w:val="es-MX"/>
              </w:rPr>
              <w:t>Impuesto al valor agregado</w:t>
            </w:r>
            <w:r w:rsidR="00DD1859" w:rsidRPr="00DD1859">
              <w:rPr>
                <w:rFonts w:ascii="Times New Roman" w:hAnsi="Times New Roman" w:cs="Times New Roman"/>
                <w:noProof/>
                <w:webHidden/>
              </w:rPr>
              <w:tab/>
            </w:r>
            <w:r w:rsidR="00DD1859" w:rsidRPr="00DD1859">
              <w:rPr>
                <w:rFonts w:ascii="Times New Roman" w:hAnsi="Times New Roman" w:cs="Times New Roman"/>
                <w:noProof/>
                <w:webHidden/>
              </w:rPr>
              <w:fldChar w:fldCharType="begin"/>
            </w:r>
            <w:r w:rsidR="00DD1859" w:rsidRPr="00DD1859">
              <w:rPr>
                <w:rFonts w:ascii="Times New Roman" w:hAnsi="Times New Roman" w:cs="Times New Roman"/>
                <w:noProof/>
                <w:webHidden/>
              </w:rPr>
              <w:instrText xml:space="preserve"> PAGEREF _Toc534988225 \h </w:instrText>
            </w:r>
            <w:r w:rsidR="00DD1859" w:rsidRPr="00DD1859">
              <w:rPr>
                <w:rFonts w:ascii="Times New Roman" w:hAnsi="Times New Roman" w:cs="Times New Roman"/>
                <w:noProof/>
                <w:webHidden/>
              </w:rPr>
            </w:r>
            <w:r w:rsidR="00DD1859" w:rsidRPr="00DD1859">
              <w:rPr>
                <w:rFonts w:ascii="Times New Roman" w:hAnsi="Times New Roman" w:cs="Times New Roman"/>
                <w:noProof/>
                <w:webHidden/>
              </w:rPr>
              <w:fldChar w:fldCharType="separate"/>
            </w:r>
            <w:r w:rsidR="00B10811">
              <w:rPr>
                <w:rFonts w:ascii="Times New Roman" w:hAnsi="Times New Roman" w:cs="Times New Roman"/>
                <w:noProof/>
                <w:webHidden/>
              </w:rPr>
              <w:t>8</w:t>
            </w:r>
            <w:r w:rsidR="00DD1859" w:rsidRPr="00DD1859">
              <w:rPr>
                <w:rFonts w:ascii="Times New Roman" w:hAnsi="Times New Roman" w:cs="Times New Roman"/>
                <w:noProof/>
                <w:webHidden/>
              </w:rPr>
              <w:fldChar w:fldCharType="end"/>
            </w:r>
          </w:hyperlink>
        </w:p>
        <w:p w:rsidR="00DD1859" w:rsidRPr="00DD1859" w:rsidRDefault="00A020E2">
          <w:pPr>
            <w:pStyle w:val="TDC2"/>
            <w:tabs>
              <w:tab w:val="left" w:pos="880"/>
              <w:tab w:val="right" w:leader="dot" w:pos="9394"/>
            </w:tabs>
            <w:rPr>
              <w:rFonts w:ascii="Times New Roman" w:hAnsi="Times New Roman" w:cs="Times New Roman"/>
              <w:noProof/>
              <w:sz w:val="22"/>
              <w:szCs w:val="22"/>
              <w:lang w:val="es-GT" w:eastAsia="es-GT"/>
            </w:rPr>
          </w:pPr>
          <w:hyperlink w:anchor="_Toc534988226" w:history="1">
            <w:r w:rsidR="00DD1859" w:rsidRPr="00DD1859">
              <w:rPr>
                <w:rStyle w:val="Hipervnculo"/>
                <w:rFonts w:ascii="Times New Roman" w:hAnsi="Times New Roman" w:cs="Times New Roman"/>
                <w:noProof/>
              </w:rPr>
              <w:t>1.4</w:t>
            </w:r>
            <w:r w:rsidR="00DD1859" w:rsidRPr="00DD1859">
              <w:rPr>
                <w:rFonts w:ascii="Times New Roman" w:hAnsi="Times New Roman" w:cs="Times New Roman"/>
                <w:noProof/>
                <w:sz w:val="22"/>
                <w:szCs w:val="22"/>
                <w:lang w:val="es-GT" w:eastAsia="es-GT"/>
              </w:rPr>
              <w:tab/>
            </w:r>
            <w:r w:rsidR="00DD1859" w:rsidRPr="00DD1859">
              <w:rPr>
                <w:rStyle w:val="Hipervnculo"/>
                <w:rFonts w:ascii="Times New Roman" w:hAnsi="Times New Roman" w:cs="Times New Roman"/>
                <w:noProof/>
              </w:rPr>
              <w:t>Evaluación del Cumplimiento del Convenio de Metas 2018</w:t>
            </w:r>
            <w:r w:rsidR="00DD1859" w:rsidRPr="00DD1859">
              <w:rPr>
                <w:rFonts w:ascii="Times New Roman" w:hAnsi="Times New Roman" w:cs="Times New Roman"/>
                <w:noProof/>
                <w:webHidden/>
              </w:rPr>
              <w:tab/>
            </w:r>
            <w:r w:rsidR="00DD1859" w:rsidRPr="00DD1859">
              <w:rPr>
                <w:rFonts w:ascii="Times New Roman" w:hAnsi="Times New Roman" w:cs="Times New Roman"/>
                <w:noProof/>
                <w:webHidden/>
              </w:rPr>
              <w:fldChar w:fldCharType="begin"/>
            </w:r>
            <w:r w:rsidR="00DD1859" w:rsidRPr="00DD1859">
              <w:rPr>
                <w:rFonts w:ascii="Times New Roman" w:hAnsi="Times New Roman" w:cs="Times New Roman"/>
                <w:noProof/>
                <w:webHidden/>
              </w:rPr>
              <w:instrText xml:space="preserve"> PAGEREF _Toc534988226 \h </w:instrText>
            </w:r>
            <w:r w:rsidR="00DD1859" w:rsidRPr="00DD1859">
              <w:rPr>
                <w:rFonts w:ascii="Times New Roman" w:hAnsi="Times New Roman" w:cs="Times New Roman"/>
                <w:noProof/>
                <w:webHidden/>
              </w:rPr>
            </w:r>
            <w:r w:rsidR="00DD1859" w:rsidRPr="00DD1859">
              <w:rPr>
                <w:rFonts w:ascii="Times New Roman" w:hAnsi="Times New Roman" w:cs="Times New Roman"/>
                <w:noProof/>
                <w:webHidden/>
              </w:rPr>
              <w:fldChar w:fldCharType="separate"/>
            </w:r>
            <w:r w:rsidR="00B10811">
              <w:rPr>
                <w:rFonts w:ascii="Times New Roman" w:hAnsi="Times New Roman" w:cs="Times New Roman"/>
                <w:noProof/>
                <w:webHidden/>
              </w:rPr>
              <w:t>9</w:t>
            </w:r>
            <w:r w:rsidR="00DD1859" w:rsidRPr="00DD1859">
              <w:rPr>
                <w:rFonts w:ascii="Times New Roman" w:hAnsi="Times New Roman" w:cs="Times New Roman"/>
                <w:noProof/>
                <w:webHidden/>
              </w:rPr>
              <w:fldChar w:fldCharType="end"/>
            </w:r>
          </w:hyperlink>
        </w:p>
        <w:p w:rsidR="00DD1859" w:rsidRPr="00DD1859" w:rsidRDefault="00A020E2">
          <w:pPr>
            <w:pStyle w:val="TDC2"/>
            <w:tabs>
              <w:tab w:val="left" w:pos="880"/>
              <w:tab w:val="right" w:leader="dot" w:pos="9394"/>
            </w:tabs>
            <w:rPr>
              <w:rFonts w:ascii="Times New Roman" w:hAnsi="Times New Roman" w:cs="Times New Roman"/>
              <w:noProof/>
              <w:sz w:val="22"/>
              <w:szCs w:val="22"/>
              <w:lang w:val="es-GT" w:eastAsia="es-GT"/>
            </w:rPr>
          </w:pPr>
          <w:hyperlink w:anchor="_Toc534988227" w:history="1">
            <w:r w:rsidR="00DD1859" w:rsidRPr="00DD1859">
              <w:rPr>
                <w:rStyle w:val="Hipervnculo"/>
                <w:rFonts w:ascii="Times New Roman" w:hAnsi="Times New Roman" w:cs="Times New Roman"/>
                <w:noProof/>
              </w:rPr>
              <w:t>1.5</w:t>
            </w:r>
            <w:r w:rsidR="00DD1859" w:rsidRPr="00DD1859">
              <w:rPr>
                <w:rFonts w:ascii="Times New Roman" w:hAnsi="Times New Roman" w:cs="Times New Roman"/>
                <w:noProof/>
                <w:sz w:val="22"/>
                <w:szCs w:val="22"/>
                <w:lang w:val="es-GT" w:eastAsia="es-GT"/>
              </w:rPr>
              <w:tab/>
            </w:r>
            <w:r w:rsidR="00DD1859" w:rsidRPr="00DD1859">
              <w:rPr>
                <w:rStyle w:val="Hipervnculo"/>
                <w:rFonts w:ascii="Times New Roman" w:hAnsi="Times New Roman" w:cs="Times New Roman"/>
                <w:noProof/>
              </w:rPr>
              <w:t>Carga Tributaria</w:t>
            </w:r>
            <w:r w:rsidR="00DD1859" w:rsidRPr="00DD1859">
              <w:rPr>
                <w:rFonts w:ascii="Times New Roman" w:hAnsi="Times New Roman" w:cs="Times New Roman"/>
                <w:noProof/>
                <w:webHidden/>
              </w:rPr>
              <w:tab/>
            </w:r>
            <w:r w:rsidR="00DD1859" w:rsidRPr="00DD1859">
              <w:rPr>
                <w:rFonts w:ascii="Times New Roman" w:hAnsi="Times New Roman" w:cs="Times New Roman"/>
                <w:noProof/>
                <w:webHidden/>
              </w:rPr>
              <w:fldChar w:fldCharType="begin"/>
            </w:r>
            <w:r w:rsidR="00DD1859" w:rsidRPr="00DD1859">
              <w:rPr>
                <w:rFonts w:ascii="Times New Roman" w:hAnsi="Times New Roman" w:cs="Times New Roman"/>
                <w:noProof/>
                <w:webHidden/>
              </w:rPr>
              <w:instrText xml:space="preserve"> PAGEREF _Toc534988227 \h </w:instrText>
            </w:r>
            <w:r w:rsidR="00DD1859" w:rsidRPr="00DD1859">
              <w:rPr>
                <w:rFonts w:ascii="Times New Roman" w:hAnsi="Times New Roman" w:cs="Times New Roman"/>
                <w:noProof/>
                <w:webHidden/>
              </w:rPr>
            </w:r>
            <w:r w:rsidR="00DD1859" w:rsidRPr="00DD1859">
              <w:rPr>
                <w:rFonts w:ascii="Times New Roman" w:hAnsi="Times New Roman" w:cs="Times New Roman"/>
                <w:noProof/>
                <w:webHidden/>
              </w:rPr>
              <w:fldChar w:fldCharType="separate"/>
            </w:r>
            <w:r w:rsidR="00B10811">
              <w:rPr>
                <w:rFonts w:ascii="Times New Roman" w:hAnsi="Times New Roman" w:cs="Times New Roman"/>
                <w:noProof/>
                <w:webHidden/>
              </w:rPr>
              <w:t>11</w:t>
            </w:r>
            <w:r w:rsidR="00DD1859" w:rsidRPr="00DD1859">
              <w:rPr>
                <w:rFonts w:ascii="Times New Roman" w:hAnsi="Times New Roman" w:cs="Times New Roman"/>
                <w:noProof/>
                <w:webHidden/>
              </w:rPr>
              <w:fldChar w:fldCharType="end"/>
            </w:r>
          </w:hyperlink>
        </w:p>
        <w:p w:rsidR="00DD1859" w:rsidRPr="00DD1859" w:rsidRDefault="00A020E2">
          <w:pPr>
            <w:pStyle w:val="TDC1"/>
            <w:rPr>
              <w:rFonts w:eastAsiaTheme="minorEastAsia"/>
              <w:b w:val="0"/>
              <w:bCs w:val="0"/>
              <w:sz w:val="22"/>
              <w:szCs w:val="22"/>
              <w:lang w:val="es-GT" w:eastAsia="es-GT"/>
            </w:rPr>
          </w:pPr>
          <w:hyperlink w:anchor="_Toc534988228" w:history="1">
            <w:r w:rsidR="00DD1859" w:rsidRPr="00DD1859">
              <w:rPr>
                <w:rStyle w:val="Hipervnculo"/>
                <w:b w:val="0"/>
              </w:rPr>
              <w:t>II.</w:t>
            </w:r>
            <w:r w:rsidR="00DD1859" w:rsidRPr="00DD1859">
              <w:rPr>
                <w:rFonts w:eastAsiaTheme="minorEastAsia"/>
                <w:b w:val="0"/>
                <w:bCs w:val="0"/>
                <w:sz w:val="22"/>
                <w:szCs w:val="22"/>
                <w:lang w:val="es-GT" w:eastAsia="es-GT"/>
              </w:rPr>
              <w:tab/>
            </w:r>
            <w:r w:rsidR="00DD1859" w:rsidRPr="00DD1859">
              <w:rPr>
                <w:rStyle w:val="Hipervnculo"/>
                <w:b w:val="0"/>
              </w:rPr>
              <w:t>Gasto Público</w:t>
            </w:r>
            <w:r w:rsidR="00DD1859" w:rsidRPr="00DD1859">
              <w:rPr>
                <w:b w:val="0"/>
                <w:webHidden/>
              </w:rPr>
              <w:tab/>
            </w:r>
            <w:r w:rsidR="00DD1859" w:rsidRPr="00DD1859">
              <w:rPr>
                <w:b w:val="0"/>
                <w:webHidden/>
              </w:rPr>
              <w:fldChar w:fldCharType="begin"/>
            </w:r>
            <w:r w:rsidR="00DD1859" w:rsidRPr="00DD1859">
              <w:rPr>
                <w:b w:val="0"/>
                <w:webHidden/>
              </w:rPr>
              <w:instrText xml:space="preserve"> PAGEREF _Toc534988228 \h </w:instrText>
            </w:r>
            <w:r w:rsidR="00DD1859" w:rsidRPr="00DD1859">
              <w:rPr>
                <w:b w:val="0"/>
                <w:webHidden/>
              </w:rPr>
            </w:r>
            <w:r w:rsidR="00DD1859" w:rsidRPr="00DD1859">
              <w:rPr>
                <w:b w:val="0"/>
                <w:webHidden/>
              </w:rPr>
              <w:fldChar w:fldCharType="separate"/>
            </w:r>
            <w:r w:rsidR="00B10811">
              <w:rPr>
                <w:b w:val="0"/>
                <w:webHidden/>
              </w:rPr>
              <w:t>12</w:t>
            </w:r>
            <w:r w:rsidR="00DD1859" w:rsidRPr="00DD1859">
              <w:rPr>
                <w:b w:val="0"/>
                <w:webHidden/>
              </w:rPr>
              <w:fldChar w:fldCharType="end"/>
            </w:r>
          </w:hyperlink>
        </w:p>
        <w:p w:rsidR="00DD1859" w:rsidRPr="00DD1859" w:rsidRDefault="00A020E2">
          <w:pPr>
            <w:pStyle w:val="TDC2"/>
            <w:tabs>
              <w:tab w:val="left" w:pos="880"/>
              <w:tab w:val="right" w:leader="dot" w:pos="9394"/>
            </w:tabs>
            <w:rPr>
              <w:rFonts w:ascii="Times New Roman" w:hAnsi="Times New Roman" w:cs="Times New Roman"/>
              <w:noProof/>
              <w:sz w:val="22"/>
              <w:szCs w:val="22"/>
              <w:lang w:val="es-GT" w:eastAsia="es-GT"/>
            </w:rPr>
          </w:pPr>
          <w:hyperlink w:anchor="_Toc534988231" w:history="1">
            <w:r w:rsidR="00DD1859" w:rsidRPr="00DD1859">
              <w:rPr>
                <w:rStyle w:val="Hipervnculo"/>
                <w:rFonts w:ascii="Times New Roman" w:hAnsi="Times New Roman" w:cs="Times New Roman"/>
                <w:noProof/>
              </w:rPr>
              <w:t>2.1</w:t>
            </w:r>
            <w:r w:rsidR="00DD1859" w:rsidRPr="00DD1859">
              <w:rPr>
                <w:rFonts w:ascii="Times New Roman" w:hAnsi="Times New Roman" w:cs="Times New Roman"/>
                <w:noProof/>
                <w:sz w:val="22"/>
                <w:szCs w:val="22"/>
                <w:lang w:val="es-GT" w:eastAsia="es-GT"/>
              </w:rPr>
              <w:tab/>
            </w:r>
            <w:r w:rsidR="00DD1859" w:rsidRPr="00DD1859">
              <w:rPr>
                <w:rStyle w:val="Hipervnculo"/>
                <w:rFonts w:ascii="Times New Roman" w:hAnsi="Times New Roman" w:cs="Times New Roman"/>
                <w:noProof/>
              </w:rPr>
              <w:t>Mejora la ejecución del gasto público a pesar de las limitaciones presupuestarias</w:t>
            </w:r>
            <w:r w:rsidR="00DD1859" w:rsidRPr="00DD1859">
              <w:rPr>
                <w:rFonts w:ascii="Times New Roman" w:hAnsi="Times New Roman" w:cs="Times New Roman"/>
                <w:noProof/>
                <w:webHidden/>
              </w:rPr>
              <w:tab/>
            </w:r>
            <w:r w:rsidR="00DD1859" w:rsidRPr="00DD1859">
              <w:rPr>
                <w:rFonts w:ascii="Times New Roman" w:hAnsi="Times New Roman" w:cs="Times New Roman"/>
                <w:noProof/>
                <w:webHidden/>
              </w:rPr>
              <w:fldChar w:fldCharType="begin"/>
            </w:r>
            <w:r w:rsidR="00DD1859" w:rsidRPr="00DD1859">
              <w:rPr>
                <w:rFonts w:ascii="Times New Roman" w:hAnsi="Times New Roman" w:cs="Times New Roman"/>
                <w:noProof/>
                <w:webHidden/>
              </w:rPr>
              <w:instrText xml:space="preserve"> PAGEREF _Toc534988231 \h </w:instrText>
            </w:r>
            <w:r w:rsidR="00DD1859" w:rsidRPr="00DD1859">
              <w:rPr>
                <w:rFonts w:ascii="Times New Roman" w:hAnsi="Times New Roman" w:cs="Times New Roman"/>
                <w:noProof/>
                <w:webHidden/>
              </w:rPr>
            </w:r>
            <w:r w:rsidR="00DD1859" w:rsidRPr="00DD1859">
              <w:rPr>
                <w:rFonts w:ascii="Times New Roman" w:hAnsi="Times New Roman" w:cs="Times New Roman"/>
                <w:noProof/>
                <w:webHidden/>
              </w:rPr>
              <w:fldChar w:fldCharType="separate"/>
            </w:r>
            <w:r w:rsidR="00B10811">
              <w:rPr>
                <w:rFonts w:ascii="Times New Roman" w:hAnsi="Times New Roman" w:cs="Times New Roman"/>
                <w:noProof/>
                <w:webHidden/>
              </w:rPr>
              <w:t>12</w:t>
            </w:r>
            <w:r w:rsidR="00DD1859" w:rsidRPr="00DD1859">
              <w:rPr>
                <w:rFonts w:ascii="Times New Roman" w:hAnsi="Times New Roman" w:cs="Times New Roman"/>
                <w:noProof/>
                <w:webHidden/>
              </w:rPr>
              <w:fldChar w:fldCharType="end"/>
            </w:r>
          </w:hyperlink>
        </w:p>
        <w:p w:rsidR="00DD1859" w:rsidRPr="00DD1859" w:rsidRDefault="00A020E2">
          <w:pPr>
            <w:pStyle w:val="TDC2"/>
            <w:tabs>
              <w:tab w:val="left" w:pos="880"/>
              <w:tab w:val="right" w:leader="dot" w:pos="9394"/>
            </w:tabs>
            <w:rPr>
              <w:rFonts w:ascii="Times New Roman" w:hAnsi="Times New Roman" w:cs="Times New Roman"/>
              <w:noProof/>
              <w:sz w:val="22"/>
              <w:szCs w:val="22"/>
              <w:lang w:val="es-GT" w:eastAsia="es-GT"/>
            </w:rPr>
          </w:pPr>
          <w:hyperlink w:anchor="_Toc534988232" w:history="1">
            <w:r w:rsidR="00DD1859" w:rsidRPr="00DD1859">
              <w:rPr>
                <w:rStyle w:val="Hipervnculo"/>
                <w:rFonts w:ascii="Times New Roman" w:hAnsi="Times New Roman" w:cs="Times New Roman"/>
                <w:noProof/>
              </w:rPr>
              <w:t>2.2</w:t>
            </w:r>
            <w:r w:rsidR="00DD1859" w:rsidRPr="00DD1859">
              <w:rPr>
                <w:rFonts w:ascii="Times New Roman" w:hAnsi="Times New Roman" w:cs="Times New Roman"/>
                <w:noProof/>
                <w:sz w:val="22"/>
                <w:szCs w:val="22"/>
                <w:lang w:val="es-GT" w:eastAsia="es-GT"/>
              </w:rPr>
              <w:tab/>
            </w:r>
            <w:r w:rsidR="00DD1859" w:rsidRPr="00DD1859">
              <w:rPr>
                <w:rStyle w:val="Hipervnculo"/>
                <w:rFonts w:ascii="Times New Roman" w:hAnsi="Times New Roman" w:cs="Times New Roman"/>
                <w:noProof/>
              </w:rPr>
              <w:t>Grado de ejecución institucional aumentó significativamente en 2018</w:t>
            </w:r>
            <w:r w:rsidR="00DD1859" w:rsidRPr="00DD1859">
              <w:rPr>
                <w:rFonts w:ascii="Times New Roman" w:hAnsi="Times New Roman" w:cs="Times New Roman"/>
                <w:noProof/>
                <w:webHidden/>
              </w:rPr>
              <w:tab/>
            </w:r>
            <w:r w:rsidR="00DD1859" w:rsidRPr="00DD1859">
              <w:rPr>
                <w:rFonts w:ascii="Times New Roman" w:hAnsi="Times New Roman" w:cs="Times New Roman"/>
                <w:noProof/>
                <w:webHidden/>
              </w:rPr>
              <w:fldChar w:fldCharType="begin"/>
            </w:r>
            <w:r w:rsidR="00DD1859" w:rsidRPr="00DD1859">
              <w:rPr>
                <w:rFonts w:ascii="Times New Roman" w:hAnsi="Times New Roman" w:cs="Times New Roman"/>
                <w:noProof/>
                <w:webHidden/>
              </w:rPr>
              <w:instrText xml:space="preserve"> PAGEREF _Toc534988232 \h </w:instrText>
            </w:r>
            <w:r w:rsidR="00DD1859" w:rsidRPr="00DD1859">
              <w:rPr>
                <w:rFonts w:ascii="Times New Roman" w:hAnsi="Times New Roman" w:cs="Times New Roman"/>
                <w:noProof/>
                <w:webHidden/>
              </w:rPr>
            </w:r>
            <w:r w:rsidR="00DD1859" w:rsidRPr="00DD1859">
              <w:rPr>
                <w:rFonts w:ascii="Times New Roman" w:hAnsi="Times New Roman" w:cs="Times New Roman"/>
                <w:noProof/>
                <w:webHidden/>
              </w:rPr>
              <w:fldChar w:fldCharType="separate"/>
            </w:r>
            <w:r w:rsidR="00B10811">
              <w:rPr>
                <w:rFonts w:ascii="Times New Roman" w:hAnsi="Times New Roman" w:cs="Times New Roman"/>
                <w:noProof/>
                <w:webHidden/>
              </w:rPr>
              <w:t>16</w:t>
            </w:r>
            <w:r w:rsidR="00DD1859" w:rsidRPr="00DD1859">
              <w:rPr>
                <w:rFonts w:ascii="Times New Roman" w:hAnsi="Times New Roman" w:cs="Times New Roman"/>
                <w:noProof/>
                <w:webHidden/>
              </w:rPr>
              <w:fldChar w:fldCharType="end"/>
            </w:r>
          </w:hyperlink>
        </w:p>
        <w:p w:rsidR="00DD1859" w:rsidRPr="00DD1859" w:rsidRDefault="00A020E2">
          <w:pPr>
            <w:pStyle w:val="TDC2"/>
            <w:tabs>
              <w:tab w:val="left" w:pos="880"/>
              <w:tab w:val="right" w:leader="dot" w:pos="9394"/>
            </w:tabs>
            <w:rPr>
              <w:rFonts w:ascii="Times New Roman" w:hAnsi="Times New Roman" w:cs="Times New Roman"/>
              <w:noProof/>
              <w:sz w:val="22"/>
              <w:szCs w:val="22"/>
              <w:lang w:val="es-GT" w:eastAsia="es-GT"/>
            </w:rPr>
          </w:pPr>
          <w:hyperlink w:anchor="_Toc534988233" w:history="1">
            <w:r w:rsidR="00DD1859" w:rsidRPr="00DD1859">
              <w:rPr>
                <w:rStyle w:val="Hipervnculo"/>
                <w:rFonts w:ascii="Times New Roman" w:hAnsi="Times New Roman" w:cs="Times New Roman"/>
                <w:noProof/>
              </w:rPr>
              <w:t>2.3</w:t>
            </w:r>
            <w:r w:rsidR="00DD1859" w:rsidRPr="00DD1859">
              <w:rPr>
                <w:rFonts w:ascii="Times New Roman" w:hAnsi="Times New Roman" w:cs="Times New Roman"/>
                <w:noProof/>
                <w:sz w:val="22"/>
                <w:szCs w:val="22"/>
                <w:lang w:val="es-GT" w:eastAsia="es-GT"/>
              </w:rPr>
              <w:tab/>
            </w:r>
            <w:r w:rsidR="00DD1859" w:rsidRPr="00DD1859">
              <w:rPr>
                <w:rStyle w:val="Hipervnculo"/>
                <w:rFonts w:ascii="Times New Roman" w:hAnsi="Times New Roman" w:cs="Times New Roman"/>
                <w:noProof/>
              </w:rPr>
              <w:t>Aumenta la participación del gasto social</w:t>
            </w:r>
            <w:r w:rsidR="00DD1859" w:rsidRPr="00DD1859">
              <w:rPr>
                <w:rFonts w:ascii="Times New Roman" w:hAnsi="Times New Roman" w:cs="Times New Roman"/>
                <w:noProof/>
                <w:webHidden/>
              </w:rPr>
              <w:tab/>
            </w:r>
            <w:r w:rsidR="00DD1859" w:rsidRPr="00DD1859">
              <w:rPr>
                <w:rFonts w:ascii="Times New Roman" w:hAnsi="Times New Roman" w:cs="Times New Roman"/>
                <w:noProof/>
                <w:webHidden/>
              </w:rPr>
              <w:fldChar w:fldCharType="begin"/>
            </w:r>
            <w:r w:rsidR="00DD1859" w:rsidRPr="00DD1859">
              <w:rPr>
                <w:rFonts w:ascii="Times New Roman" w:hAnsi="Times New Roman" w:cs="Times New Roman"/>
                <w:noProof/>
                <w:webHidden/>
              </w:rPr>
              <w:instrText xml:space="preserve"> PAGEREF _Toc534988233 \h </w:instrText>
            </w:r>
            <w:r w:rsidR="00DD1859" w:rsidRPr="00DD1859">
              <w:rPr>
                <w:rFonts w:ascii="Times New Roman" w:hAnsi="Times New Roman" w:cs="Times New Roman"/>
                <w:noProof/>
                <w:webHidden/>
              </w:rPr>
            </w:r>
            <w:r w:rsidR="00DD1859" w:rsidRPr="00DD1859">
              <w:rPr>
                <w:rFonts w:ascii="Times New Roman" w:hAnsi="Times New Roman" w:cs="Times New Roman"/>
                <w:noProof/>
                <w:webHidden/>
              </w:rPr>
              <w:fldChar w:fldCharType="separate"/>
            </w:r>
            <w:r w:rsidR="00B10811">
              <w:rPr>
                <w:rFonts w:ascii="Times New Roman" w:hAnsi="Times New Roman" w:cs="Times New Roman"/>
                <w:noProof/>
                <w:webHidden/>
              </w:rPr>
              <w:t>17</w:t>
            </w:r>
            <w:r w:rsidR="00DD1859" w:rsidRPr="00DD1859">
              <w:rPr>
                <w:rFonts w:ascii="Times New Roman" w:hAnsi="Times New Roman" w:cs="Times New Roman"/>
                <w:noProof/>
                <w:webHidden/>
              </w:rPr>
              <w:fldChar w:fldCharType="end"/>
            </w:r>
          </w:hyperlink>
        </w:p>
        <w:p w:rsidR="00DD1859" w:rsidRPr="00DD1859" w:rsidRDefault="00A020E2">
          <w:pPr>
            <w:pStyle w:val="TDC2"/>
            <w:tabs>
              <w:tab w:val="left" w:pos="880"/>
              <w:tab w:val="right" w:leader="dot" w:pos="9394"/>
            </w:tabs>
            <w:rPr>
              <w:rFonts w:ascii="Times New Roman" w:hAnsi="Times New Roman" w:cs="Times New Roman"/>
              <w:noProof/>
              <w:sz w:val="22"/>
              <w:szCs w:val="22"/>
              <w:lang w:val="es-GT" w:eastAsia="es-GT"/>
            </w:rPr>
          </w:pPr>
          <w:hyperlink w:anchor="_Toc534988234" w:history="1">
            <w:r w:rsidR="00DD1859" w:rsidRPr="00DD1859">
              <w:rPr>
                <w:rStyle w:val="Hipervnculo"/>
                <w:rFonts w:ascii="Times New Roman" w:hAnsi="Times New Roman" w:cs="Times New Roman"/>
                <w:noProof/>
              </w:rPr>
              <w:t>2.4</w:t>
            </w:r>
            <w:r w:rsidR="00DD1859" w:rsidRPr="00DD1859">
              <w:rPr>
                <w:rFonts w:ascii="Times New Roman" w:hAnsi="Times New Roman" w:cs="Times New Roman"/>
                <w:noProof/>
                <w:sz w:val="22"/>
                <w:szCs w:val="22"/>
                <w:lang w:val="es-GT" w:eastAsia="es-GT"/>
              </w:rPr>
              <w:tab/>
            </w:r>
            <w:r w:rsidR="00DD1859" w:rsidRPr="00DD1859">
              <w:rPr>
                <w:rStyle w:val="Hipervnculo"/>
                <w:rFonts w:ascii="Times New Roman" w:hAnsi="Times New Roman" w:cs="Times New Roman"/>
                <w:noProof/>
              </w:rPr>
              <w:t>El gasto orientado al PAPTN muestra un nuevo impulso</w:t>
            </w:r>
            <w:r w:rsidR="00DD1859" w:rsidRPr="00DD1859">
              <w:rPr>
                <w:rFonts w:ascii="Times New Roman" w:hAnsi="Times New Roman" w:cs="Times New Roman"/>
                <w:noProof/>
                <w:webHidden/>
              </w:rPr>
              <w:tab/>
            </w:r>
            <w:r w:rsidR="00DD1859" w:rsidRPr="00DD1859">
              <w:rPr>
                <w:rFonts w:ascii="Times New Roman" w:hAnsi="Times New Roman" w:cs="Times New Roman"/>
                <w:noProof/>
                <w:webHidden/>
              </w:rPr>
              <w:fldChar w:fldCharType="begin"/>
            </w:r>
            <w:r w:rsidR="00DD1859" w:rsidRPr="00DD1859">
              <w:rPr>
                <w:rFonts w:ascii="Times New Roman" w:hAnsi="Times New Roman" w:cs="Times New Roman"/>
                <w:noProof/>
                <w:webHidden/>
              </w:rPr>
              <w:instrText xml:space="preserve"> PAGEREF _Toc534988234 \h </w:instrText>
            </w:r>
            <w:r w:rsidR="00DD1859" w:rsidRPr="00DD1859">
              <w:rPr>
                <w:rFonts w:ascii="Times New Roman" w:hAnsi="Times New Roman" w:cs="Times New Roman"/>
                <w:noProof/>
                <w:webHidden/>
              </w:rPr>
            </w:r>
            <w:r w:rsidR="00DD1859" w:rsidRPr="00DD1859">
              <w:rPr>
                <w:rFonts w:ascii="Times New Roman" w:hAnsi="Times New Roman" w:cs="Times New Roman"/>
                <w:noProof/>
                <w:webHidden/>
              </w:rPr>
              <w:fldChar w:fldCharType="separate"/>
            </w:r>
            <w:r w:rsidR="00B10811">
              <w:rPr>
                <w:rFonts w:ascii="Times New Roman" w:hAnsi="Times New Roman" w:cs="Times New Roman"/>
                <w:noProof/>
                <w:webHidden/>
              </w:rPr>
              <w:t>19</w:t>
            </w:r>
            <w:r w:rsidR="00DD1859" w:rsidRPr="00DD1859">
              <w:rPr>
                <w:rFonts w:ascii="Times New Roman" w:hAnsi="Times New Roman" w:cs="Times New Roman"/>
                <w:noProof/>
                <w:webHidden/>
              </w:rPr>
              <w:fldChar w:fldCharType="end"/>
            </w:r>
          </w:hyperlink>
        </w:p>
        <w:p w:rsidR="00DD1859" w:rsidRPr="00DD1859" w:rsidRDefault="00A020E2">
          <w:pPr>
            <w:pStyle w:val="TDC2"/>
            <w:tabs>
              <w:tab w:val="left" w:pos="880"/>
              <w:tab w:val="right" w:leader="dot" w:pos="9394"/>
            </w:tabs>
            <w:rPr>
              <w:rFonts w:ascii="Times New Roman" w:hAnsi="Times New Roman" w:cs="Times New Roman"/>
              <w:noProof/>
              <w:sz w:val="22"/>
              <w:szCs w:val="22"/>
              <w:lang w:val="es-GT" w:eastAsia="es-GT"/>
            </w:rPr>
          </w:pPr>
          <w:hyperlink w:anchor="_Toc534988235" w:history="1">
            <w:r w:rsidR="00DD1859" w:rsidRPr="00DD1859">
              <w:rPr>
                <w:rStyle w:val="Hipervnculo"/>
                <w:rFonts w:ascii="Times New Roman" w:hAnsi="Times New Roman" w:cs="Times New Roman"/>
                <w:noProof/>
              </w:rPr>
              <w:t>2.5</w:t>
            </w:r>
            <w:r w:rsidR="00DD1859" w:rsidRPr="00DD1859">
              <w:rPr>
                <w:rFonts w:ascii="Times New Roman" w:hAnsi="Times New Roman" w:cs="Times New Roman"/>
                <w:noProof/>
                <w:sz w:val="22"/>
                <w:szCs w:val="22"/>
                <w:lang w:val="es-GT" w:eastAsia="es-GT"/>
              </w:rPr>
              <w:tab/>
            </w:r>
            <w:r w:rsidR="00DD1859" w:rsidRPr="00DD1859">
              <w:rPr>
                <w:rStyle w:val="Hipervnculo"/>
                <w:rFonts w:ascii="Times New Roman" w:hAnsi="Times New Roman" w:cs="Times New Roman"/>
                <w:noProof/>
              </w:rPr>
              <w:t>Déficit Fiscal consistente con la sostenibilidad fiscal</w:t>
            </w:r>
            <w:r w:rsidR="00DD1859" w:rsidRPr="00DD1859">
              <w:rPr>
                <w:rFonts w:ascii="Times New Roman" w:hAnsi="Times New Roman" w:cs="Times New Roman"/>
                <w:noProof/>
                <w:webHidden/>
              </w:rPr>
              <w:tab/>
            </w:r>
            <w:r w:rsidR="00DD1859" w:rsidRPr="00DD1859">
              <w:rPr>
                <w:rFonts w:ascii="Times New Roman" w:hAnsi="Times New Roman" w:cs="Times New Roman"/>
                <w:noProof/>
                <w:webHidden/>
              </w:rPr>
              <w:fldChar w:fldCharType="begin"/>
            </w:r>
            <w:r w:rsidR="00DD1859" w:rsidRPr="00DD1859">
              <w:rPr>
                <w:rFonts w:ascii="Times New Roman" w:hAnsi="Times New Roman" w:cs="Times New Roman"/>
                <w:noProof/>
                <w:webHidden/>
              </w:rPr>
              <w:instrText xml:space="preserve"> PAGEREF _Toc534988235 \h </w:instrText>
            </w:r>
            <w:r w:rsidR="00DD1859" w:rsidRPr="00DD1859">
              <w:rPr>
                <w:rFonts w:ascii="Times New Roman" w:hAnsi="Times New Roman" w:cs="Times New Roman"/>
                <w:noProof/>
                <w:webHidden/>
              </w:rPr>
            </w:r>
            <w:r w:rsidR="00DD1859" w:rsidRPr="00DD1859">
              <w:rPr>
                <w:rFonts w:ascii="Times New Roman" w:hAnsi="Times New Roman" w:cs="Times New Roman"/>
                <w:noProof/>
                <w:webHidden/>
              </w:rPr>
              <w:fldChar w:fldCharType="separate"/>
            </w:r>
            <w:r w:rsidR="00B10811">
              <w:rPr>
                <w:rFonts w:ascii="Times New Roman" w:hAnsi="Times New Roman" w:cs="Times New Roman"/>
                <w:noProof/>
                <w:webHidden/>
              </w:rPr>
              <w:t>20</w:t>
            </w:r>
            <w:r w:rsidR="00DD1859" w:rsidRPr="00DD1859">
              <w:rPr>
                <w:rFonts w:ascii="Times New Roman" w:hAnsi="Times New Roman" w:cs="Times New Roman"/>
                <w:noProof/>
                <w:webHidden/>
              </w:rPr>
              <w:fldChar w:fldCharType="end"/>
            </w:r>
          </w:hyperlink>
        </w:p>
        <w:p w:rsidR="00DD1859" w:rsidRPr="00DD1859" w:rsidRDefault="00A020E2">
          <w:pPr>
            <w:pStyle w:val="TDC2"/>
            <w:tabs>
              <w:tab w:val="left" w:pos="880"/>
              <w:tab w:val="right" w:leader="dot" w:pos="9394"/>
            </w:tabs>
            <w:rPr>
              <w:rFonts w:ascii="Times New Roman" w:hAnsi="Times New Roman" w:cs="Times New Roman"/>
              <w:noProof/>
              <w:sz w:val="22"/>
              <w:szCs w:val="22"/>
              <w:lang w:val="es-GT" w:eastAsia="es-GT"/>
            </w:rPr>
          </w:pPr>
          <w:hyperlink w:anchor="_Toc534988236" w:history="1">
            <w:r w:rsidR="00DD1859" w:rsidRPr="00DD1859">
              <w:rPr>
                <w:rStyle w:val="Hipervnculo"/>
                <w:rFonts w:ascii="Times New Roman" w:hAnsi="Times New Roman" w:cs="Times New Roman"/>
                <w:noProof/>
              </w:rPr>
              <w:t>2.6</w:t>
            </w:r>
            <w:r w:rsidR="00DD1859" w:rsidRPr="00DD1859">
              <w:rPr>
                <w:rFonts w:ascii="Times New Roman" w:hAnsi="Times New Roman" w:cs="Times New Roman"/>
                <w:noProof/>
                <w:sz w:val="22"/>
                <w:szCs w:val="22"/>
                <w:lang w:val="es-GT" w:eastAsia="es-GT"/>
              </w:rPr>
              <w:tab/>
            </w:r>
            <w:r w:rsidR="00DD1859" w:rsidRPr="00DD1859">
              <w:rPr>
                <w:rStyle w:val="Hipervnculo"/>
                <w:rFonts w:ascii="Times New Roman" w:hAnsi="Times New Roman" w:cs="Times New Roman"/>
                <w:noProof/>
              </w:rPr>
              <w:t>La política fiscal fue expansiva</w:t>
            </w:r>
            <w:r w:rsidR="00DD1859" w:rsidRPr="00DD1859">
              <w:rPr>
                <w:rFonts w:ascii="Times New Roman" w:hAnsi="Times New Roman" w:cs="Times New Roman"/>
                <w:noProof/>
                <w:webHidden/>
              </w:rPr>
              <w:tab/>
            </w:r>
            <w:r w:rsidR="00DD1859" w:rsidRPr="00DD1859">
              <w:rPr>
                <w:rFonts w:ascii="Times New Roman" w:hAnsi="Times New Roman" w:cs="Times New Roman"/>
                <w:noProof/>
                <w:webHidden/>
              </w:rPr>
              <w:fldChar w:fldCharType="begin"/>
            </w:r>
            <w:r w:rsidR="00DD1859" w:rsidRPr="00DD1859">
              <w:rPr>
                <w:rFonts w:ascii="Times New Roman" w:hAnsi="Times New Roman" w:cs="Times New Roman"/>
                <w:noProof/>
                <w:webHidden/>
              </w:rPr>
              <w:instrText xml:space="preserve"> PAGEREF _Toc534988236 \h </w:instrText>
            </w:r>
            <w:r w:rsidR="00DD1859" w:rsidRPr="00DD1859">
              <w:rPr>
                <w:rFonts w:ascii="Times New Roman" w:hAnsi="Times New Roman" w:cs="Times New Roman"/>
                <w:noProof/>
                <w:webHidden/>
              </w:rPr>
            </w:r>
            <w:r w:rsidR="00DD1859" w:rsidRPr="00DD1859">
              <w:rPr>
                <w:rFonts w:ascii="Times New Roman" w:hAnsi="Times New Roman" w:cs="Times New Roman"/>
                <w:noProof/>
                <w:webHidden/>
              </w:rPr>
              <w:fldChar w:fldCharType="separate"/>
            </w:r>
            <w:r w:rsidR="00B10811">
              <w:rPr>
                <w:rFonts w:ascii="Times New Roman" w:hAnsi="Times New Roman" w:cs="Times New Roman"/>
                <w:noProof/>
                <w:webHidden/>
              </w:rPr>
              <w:t>22</w:t>
            </w:r>
            <w:r w:rsidR="00DD1859" w:rsidRPr="00DD1859">
              <w:rPr>
                <w:rFonts w:ascii="Times New Roman" w:hAnsi="Times New Roman" w:cs="Times New Roman"/>
                <w:noProof/>
                <w:webHidden/>
              </w:rPr>
              <w:fldChar w:fldCharType="end"/>
            </w:r>
          </w:hyperlink>
        </w:p>
        <w:p w:rsidR="00DD1859" w:rsidRPr="00DD1859" w:rsidRDefault="00A020E2">
          <w:pPr>
            <w:pStyle w:val="TDC2"/>
            <w:tabs>
              <w:tab w:val="left" w:pos="880"/>
              <w:tab w:val="right" w:leader="dot" w:pos="9394"/>
            </w:tabs>
            <w:rPr>
              <w:rFonts w:ascii="Times New Roman" w:hAnsi="Times New Roman" w:cs="Times New Roman"/>
              <w:noProof/>
              <w:sz w:val="22"/>
              <w:szCs w:val="22"/>
              <w:lang w:val="es-GT" w:eastAsia="es-GT"/>
            </w:rPr>
          </w:pPr>
          <w:hyperlink w:anchor="_Toc534988237" w:history="1">
            <w:r w:rsidR="00DD1859" w:rsidRPr="00DD1859">
              <w:rPr>
                <w:rStyle w:val="Hipervnculo"/>
                <w:rFonts w:ascii="Times New Roman" w:hAnsi="Times New Roman" w:cs="Times New Roman"/>
                <w:noProof/>
              </w:rPr>
              <w:t>2.7</w:t>
            </w:r>
            <w:r w:rsidR="00DD1859" w:rsidRPr="00DD1859">
              <w:rPr>
                <w:rFonts w:ascii="Times New Roman" w:hAnsi="Times New Roman" w:cs="Times New Roman"/>
                <w:noProof/>
                <w:sz w:val="22"/>
                <w:szCs w:val="22"/>
                <w:lang w:val="es-GT" w:eastAsia="es-GT"/>
              </w:rPr>
              <w:tab/>
            </w:r>
            <w:r w:rsidR="00DD1859" w:rsidRPr="00DD1859">
              <w:rPr>
                <w:rStyle w:val="Hipervnculo"/>
                <w:rFonts w:ascii="Times New Roman" w:hAnsi="Times New Roman" w:cs="Times New Roman"/>
                <w:noProof/>
              </w:rPr>
              <w:t>En 2018 se impulsa la Estrategia Fiscal Ambiental (EFA)</w:t>
            </w:r>
            <w:r w:rsidR="00DD1859" w:rsidRPr="00DD1859">
              <w:rPr>
                <w:rFonts w:ascii="Times New Roman" w:hAnsi="Times New Roman" w:cs="Times New Roman"/>
                <w:noProof/>
                <w:webHidden/>
              </w:rPr>
              <w:tab/>
            </w:r>
            <w:r w:rsidR="00DD1859" w:rsidRPr="00DD1859">
              <w:rPr>
                <w:rFonts w:ascii="Times New Roman" w:hAnsi="Times New Roman" w:cs="Times New Roman"/>
                <w:noProof/>
                <w:webHidden/>
              </w:rPr>
              <w:fldChar w:fldCharType="begin"/>
            </w:r>
            <w:r w:rsidR="00DD1859" w:rsidRPr="00DD1859">
              <w:rPr>
                <w:rFonts w:ascii="Times New Roman" w:hAnsi="Times New Roman" w:cs="Times New Roman"/>
                <w:noProof/>
                <w:webHidden/>
              </w:rPr>
              <w:instrText xml:space="preserve"> PAGEREF _Toc534988237 \h </w:instrText>
            </w:r>
            <w:r w:rsidR="00DD1859" w:rsidRPr="00DD1859">
              <w:rPr>
                <w:rFonts w:ascii="Times New Roman" w:hAnsi="Times New Roman" w:cs="Times New Roman"/>
                <w:noProof/>
                <w:webHidden/>
              </w:rPr>
            </w:r>
            <w:r w:rsidR="00DD1859" w:rsidRPr="00DD1859">
              <w:rPr>
                <w:rFonts w:ascii="Times New Roman" w:hAnsi="Times New Roman" w:cs="Times New Roman"/>
                <w:noProof/>
                <w:webHidden/>
              </w:rPr>
              <w:fldChar w:fldCharType="separate"/>
            </w:r>
            <w:r w:rsidR="00B10811">
              <w:rPr>
                <w:rFonts w:ascii="Times New Roman" w:hAnsi="Times New Roman" w:cs="Times New Roman"/>
                <w:noProof/>
                <w:webHidden/>
              </w:rPr>
              <w:t>23</w:t>
            </w:r>
            <w:r w:rsidR="00DD1859" w:rsidRPr="00DD1859">
              <w:rPr>
                <w:rFonts w:ascii="Times New Roman" w:hAnsi="Times New Roman" w:cs="Times New Roman"/>
                <w:noProof/>
                <w:webHidden/>
              </w:rPr>
              <w:fldChar w:fldCharType="end"/>
            </w:r>
          </w:hyperlink>
        </w:p>
        <w:p w:rsidR="00DD1859" w:rsidRPr="00DD1859" w:rsidRDefault="00A020E2">
          <w:pPr>
            <w:pStyle w:val="TDC1"/>
            <w:rPr>
              <w:rFonts w:eastAsiaTheme="minorEastAsia"/>
              <w:b w:val="0"/>
              <w:bCs w:val="0"/>
              <w:sz w:val="22"/>
              <w:szCs w:val="22"/>
              <w:lang w:val="es-GT" w:eastAsia="es-GT"/>
            </w:rPr>
          </w:pPr>
          <w:hyperlink w:anchor="_Toc534988238" w:history="1">
            <w:r w:rsidR="00DD1859" w:rsidRPr="00DD1859">
              <w:rPr>
                <w:rStyle w:val="Hipervnculo"/>
                <w:b w:val="0"/>
              </w:rPr>
              <w:t>III.</w:t>
            </w:r>
            <w:r w:rsidR="00DD1859" w:rsidRPr="00DD1859">
              <w:rPr>
                <w:rFonts w:eastAsiaTheme="minorEastAsia"/>
                <w:b w:val="0"/>
                <w:bCs w:val="0"/>
                <w:sz w:val="22"/>
                <w:szCs w:val="22"/>
                <w:lang w:val="es-GT" w:eastAsia="es-GT"/>
              </w:rPr>
              <w:tab/>
            </w:r>
            <w:r w:rsidR="00DD1859" w:rsidRPr="00DD1859">
              <w:rPr>
                <w:rStyle w:val="Hipervnculo"/>
                <w:b w:val="0"/>
              </w:rPr>
              <w:t>Apéndice contexto macroeconómico</w:t>
            </w:r>
            <w:r w:rsidR="00DD1859" w:rsidRPr="00DD1859">
              <w:rPr>
                <w:b w:val="0"/>
                <w:webHidden/>
              </w:rPr>
              <w:tab/>
            </w:r>
            <w:r w:rsidR="00DD1859" w:rsidRPr="00DD1859">
              <w:rPr>
                <w:b w:val="0"/>
                <w:webHidden/>
              </w:rPr>
              <w:fldChar w:fldCharType="begin"/>
            </w:r>
            <w:r w:rsidR="00DD1859" w:rsidRPr="00DD1859">
              <w:rPr>
                <w:b w:val="0"/>
                <w:webHidden/>
              </w:rPr>
              <w:instrText xml:space="preserve"> PAGEREF _Toc534988238 \h </w:instrText>
            </w:r>
            <w:r w:rsidR="00DD1859" w:rsidRPr="00DD1859">
              <w:rPr>
                <w:b w:val="0"/>
                <w:webHidden/>
              </w:rPr>
            </w:r>
            <w:r w:rsidR="00DD1859" w:rsidRPr="00DD1859">
              <w:rPr>
                <w:b w:val="0"/>
                <w:webHidden/>
              </w:rPr>
              <w:fldChar w:fldCharType="separate"/>
            </w:r>
            <w:r w:rsidR="00B10811">
              <w:rPr>
                <w:b w:val="0"/>
                <w:webHidden/>
              </w:rPr>
              <w:t>25</w:t>
            </w:r>
            <w:r w:rsidR="00DD1859" w:rsidRPr="00DD1859">
              <w:rPr>
                <w:b w:val="0"/>
                <w:webHidden/>
              </w:rPr>
              <w:fldChar w:fldCharType="end"/>
            </w:r>
          </w:hyperlink>
        </w:p>
        <w:p w:rsidR="00DD1859" w:rsidRPr="00DD1859" w:rsidRDefault="00A020E2">
          <w:pPr>
            <w:pStyle w:val="TDC2"/>
            <w:tabs>
              <w:tab w:val="left" w:pos="880"/>
              <w:tab w:val="right" w:leader="dot" w:pos="9394"/>
            </w:tabs>
            <w:rPr>
              <w:rFonts w:ascii="Times New Roman" w:hAnsi="Times New Roman" w:cs="Times New Roman"/>
              <w:noProof/>
              <w:sz w:val="22"/>
              <w:szCs w:val="22"/>
              <w:lang w:val="es-GT" w:eastAsia="es-GT"/>
            </w:rPr>
          </w:pPr>
          <w:hyperlink w:anchor="_Toc534988242" w:history="1">
            <w:r w:rsidR="00DD1859" w:rsidRPr="00DD1859">
              <w:rPr>
                <w:rStyle w:val="Hipervnculo"/>
                <w:rFonts w:ascii="Times New Roman" w:hAnsi="Times New Roman" w:cs="Times New Roman"/>
                <w:noProof/>
              </w:rPr>
              <w:t>3.1</w:t>
            </w:r>
            <w:r w:rsidR="00DD1859" w:rsidRPr="00DD1859">
              <w:rPr>
                <w:rFonts w:ascii="Times New Roman" w:hAnsi="Times New Roman" w:cs="Times New Roman"/>
                <w:noProof/>
                <w:sz w:val="22"/>
                <w:szCs w:val="22"/>
                <w:lang w:val="es-GT" w:eastAsia="es-GT"/>
              </w:rPr>
              <w:tab/>
            </w:r>
            <w:r w:rsidR="00DD1859" w:rsidRPr="00DD1859">
              <w:rPr>
                <w:rStyle w:val="Hipervnculo"/>
                <w:rFonts w:ascii="Times New Roman" w:hAnsi="Times New Roman" w:cs="Times New Roman"/>
                <w:noProof/>
              </w:rPr>
              <w:t>Entorno Macroeconómico Internacional</w:t>
            </w:r>
            <w:r w:rsidR="00DD1859" w:rsidRPr="00DD1859">
              <w:rPr>
                <w:rFonts w:ascii="Times New Roman" w:hAnsi="Times New Roman" w:cs="Times New Roman"/>
                <w:noProof/>
                <w:webHidden/>
              </w:rPr>
              <w:tab/>
            </w:r>
            <w:r w:rsidR="00DD1859" w:rsidRPr="00DD1859">
              <w:rPr>
                <w:rFonts w:ascii="Times New Roman" w:hAnsi="Times New Roman" w:cs="Times New Roman"/>
                <w:noProof/>
                <w:webHidden/>
              </w:rPr>
              <w:fldChar w:fldCharType="begin"/>
            </w:r>
            <w:r w:rsidR="00DD1859" w:rsidRPr="00DD1859">
              <w:rPr>
                <w:rFonts w:ascii="Times New Roman" w:hAnsi="Times New Roman" w:cs="Times New Roman"/>
                <w:noProof/>
                <w:webHidden/>
              </w:rPr>
              <w:instrText xml:space="preserve"> PAGEREF _Toc534988242 \h </w:instrText>
            </w:r>
            <w:r w:rsidR="00DD1859" w:rsidRPr="00DD1859">
              <w:rPr>
                <w:rFonts w:ascii="Times New Roman" w:hAnsi="Times New Roman" w:cs="Times New Roman"/>
                <w:noProof/>
                <w:webHidden/>
              </w:rPr>
            </w:r>
            <w:r w:rsidR="00DD1859" w:rsidRPr="00DD1859">
              <w:rPr>
                <w:rFonts w:ascii="Times New Roman" w:hAnsi="Times New Roman" w:cs="Times New Roman"/>
                <w:noProof/>
                <w:webHidden/>
              </w:rPr>
              <w:fldChar w:fldCharType="separate"/>
            </w:r>
            <w:r w:rsidR="00B10811">
              <w:rPr>
                <w:rFonts w:ascii="Times New Roman" w:hAnsi="Times New Roman" w:cs="Times New Roman"/>
                <w:noProof/>
                <w:webHidden/>
              </w:rPr>
              <w:t>25</w:t>
            </w:r>
            <w:r w:rsidR="00DD1859" w:rsidRPr="00DD1859">
              <w:rPr>
                <w:rFonts w:ascii="Times New Roman" w:hAnsi="Times New Roman" w:cs="Times New Roman"/>
                <w:noProof/>
                <w:webHidden/>
              </w:rPr>
              <w:fldChar w:fldCharType="end"/>
            </w:r>
          </w:hyperlink>
        </w:p>
        <w:p w:rsidR="00DD1859" w:rsidRPr="00DD1859" w:rsidRDefault="00A020E2">
          <w:pPr>
            <w:pStyle w:val="TDC2"/>
            <w:tabs>
              <w:tab w:val="left" w:pos="880"/>
              <w:tab w:val="right" w:leader="dot" w:pos="9394"/>
            </w:tabs>
            <w:rPr>
              <w:rFonts w:ascii="Times New Roman" w:hAnsi="Times New Roman" w:cs="Times New Roman"/>
              <w:noProof/>
              <w:sz w:val="22"/>
              <w:szCs w:val="22"/>
              <w:lang w:val="es-GT" w:eastAsia="es-GT"/>
            </w:rPr>
          </w:pPr>
          <w:hyperlink w:anchor="_Toc534988243" w:history="1">
            <w:r w:rsidR="00DD1859" w:rsidRPr="00DD1859">
              <w:rPr>
                <w:rStyle w:val="Hipervnculo"/>
                <w:rFonts w:ascii="Times New Roman" w:hAnsi="Times New Roman" w:cs="Times New Roman"/>
                <w:noProof/>
              </w:rPr>
              <w:t>3.2</w:t>
            </w:r>
            <w:r w:rsidR="00DD1859" w:rsidRPr="00DD1859">
              <w:rPr>
                <w:rFonts w:ascii="Times New Roman" w:hAnsi="Times New Roman" w:cs="Times New Roman"/>
                <w:noProof/>
                <w:sz w:val="22"/>
                <w:szCs w:val="22"/>
                <w:lang w:val="es-GT" w:eastAsia="es-GT"/>
              </w:rPr>
              <w:tab/>
            </w:r>
            <w:r w:rsidR="00DD1859" w:rsidRPr="00DD1859">
              <w:rPr>
                <w:rStyle w:val="Hipervnculo"/>
                <w:rFonts w:ascii="Times New Roman" w:hAnsi="Times New Roman" w:cs="Times New Roman"/>
                <w:noProof/>
              </w:rPr>
              <w:t>Entorno macroeconómico Nacional</w:t>
            </w:r>
            <w:r w:rsidR="00DD1859" w:rsidRPr="00DD1859">
              <w:rPr>
                <w:rFonts w:ascii="Times New Roman" w:hAnsi="Times New Roman" w:cs="Times New Roman"/>
                <w:noProof/>
                <w:webHidden/>
              </w:rPr>
              <w:tab/>
            </w:r>
            <w:r w:rsidR="00DD1859" w:rsidRPr="00DD1859">
              <w:rPr>
                <w:rFonts w:ascii="Times New Roman" w:hAnsi="Times New Roman" w:cs="Times New Roman"/>
                <w:noProof/>
                <w:webHidden/>
              </w:rPr>
              <w:fldChar w:fldCharType="begin"/>
            </w:r>
            <w:r w:rsidR="00DD1859" w:rsidRPr="00DD1859">
              <w:rPr>
                <w:rFonts w:ascii="Times New Roman" w:hAnsi="Times New Roman" w:cs="Times New Roman"/>
                <w:noProof/>
                <w:webHidden/>
              </w:rPr>
              <w:instrText xml:space="preserve"> PAGEREF _Toc534988243 \h </w:instrText>
            </w:r>
            <w:r w:rsidR="00DD1859" w:rsidRPr="00DD1859">
              <w:rPr>
                <w:rFonts w:ascii="Times New Roman" w:hAnsi="Times New Roman" w:cs="Times New Roman"/>
                <w:noProof/>
                <w:webHidden/>
              </w:rPr>
            </w:r>
            <w:r w:rsidR="00DD1859" w:rsidRPr="00DD1859">
              <w:rPr>
                <w:rFonts w:ascii="Times New Roman" w:hAnsi="Times New Roman" w:cs="Times New Roman"/>
                <w:noProof/>
                <w:webHidden/>
              </w:rPr>
              <w:fldChar w:fldCharType="separate"/>
            </w:r>
            <w:r w:rsidR="00B10811">
              <w:rPr>
                <w:rFonts w:ascii="Times New Roman" w:hAnsi="Times New Roman" w:cs="Times New Roman"/>
                <w:noProof/>
                <w:webHidden/>
              </w:rPr>
              <w:t>26</w:t>
            </w:r>
            <w:r w:rsidR="00DD1859" w:rsidRPr="00DD1859">
              <w:rPr>
                <w:rFonts w:ascii="Times New Roman" w:hAnsi="Times New Roman" w:cs="Times New Roman"/>
                <w:noProof/>
                <w:webHidden/>
              </w:rPr>
              <w:fldChar w:fldCharType="end"/>
            </w:r>
          </w:hyperlink>
        </w:p>
        <w:p w:rsidR="00DD1859" w:rsidRPr="00DD1859" w:rsidRDefault="00A020E2">
          <w:pPr>
            <w:pStyle w:val="TDC2"/>
            <w:tabs>
              <w:tab w:val="left" w:pos="880"/>
              <w:tab w:val="right" w:leader="dot" w:pos="9394"/>
            </w:tabs>
            <w:rPr>
              <w:rFonts w:ascii="Times New Roman" w:hAnsi="Times New Roman" w:cs="Times New Roman"/>
              <w:noProof/>
              <w:sz w:val="22"/>
              <w:szCs w:val="22"/>
              <w:lang w:val="es-GT" w:eastAsia="es-GT"/>
            </w:rPr>
          </w:pPr>
          <w:hyperlink w:anchor="_Toc534988245" w:history="1">
            <w:r w:rsidR="005C5656">
              <w:rPr>
                <w:rStyle w:val="Hipervnculo"/>
                <w:rFonts w:ascii="Times New Roman" w:hAnsi="Times New Roman" w:cs="Times New Roman"/>
                <w:noProof/>
              </w:rPr>
              <w:t>3.3</w:t>
            </w:r>
            <w:r w:rsidR="00DD1859" w:rsidRPr="00DD1859">
              <w:rPr>
                <w:rFonts w:ascii="Times New Roman" w:hAnsi="Times New Roman" w:cs="Times New Roman"/>
                <w:noProof/>
                <w:sz w:val="22"/>
                <w:szCs w:val="22"/>
                <w:lang w:val="es-GT" w:eastAsia="es-GT"/>
              </w:rPr>
              <w:tab/>
            </w:r>
            <w:r w:rsidR="00DD1859" w:rsidRPr="00DD1859">
              <w:rPr>
                <w:rStyle w:val="Hipervnculo"/>
                <w:rFonts w:ascii="Times New Roman" w:hAnsi="Times New Roman" w:cs="Times New Roman"/>
                <w:noProof/>
              </w:rPr>
              <w:t>Principales indicadores Macroeconómicos y Fiscales de la región</w:t>
            </w:r>
            <w:r w:rsidR="00DD1859" w:rsidRPr="00DD1859">
              <w:rPr>
                <w:rFonts w:ascii="Times New Roman" w:hAnsi="Times New Roman" w:cs="Times New Roman"/>
                <w:noProof/>
                <w:webHidden/>
              </w:rPr>
              <w:tab/>
            </w:r>
            <w:r w:rsidR="00DD1859" w:rsidRPr="00DD1859">
              <w:rPr>
                <w:rFonts w:ascii="Times New Roman" w:hAnsi="Times New Roman" w:cs="Times New Roman"/>
                <w:noProof/>
                <w:webHidden/>
              </w:rPr>
              <w:fldChar w:fldCharType="begin"/>
            </w:r>
            <w:r w:rsidR="00DD1859" w:rsidRPr="00DD1859">
              <w:rPr>
                <w:rFonts w:ascii="Times New Roman" w:hAnsi="Times New Roman" w:cs="Times New Roman"/>
                <w:noProof/>
                <w:webHidden/>
              </w:rPr>
              <w:instrText xml:space="preserve"> PAGEREF _Toc534988245 \h </w:instrText>
            </w:r>
            <w:r w:rsidR="00DD1859" w:rsidRPr="00DD1859">
              <w:rPr>
                <w:rFonts w:ascii="Times New Roman" w:hAnsi="Times New Roman" w:cs="Times New Roman"/>
                <w:noProof/>
                <w:webHidden/>
              </w:rPr>
            </w:r>
            <w:r w:rsidR="00DD1859" w:rsidRPr="00DD1859">
              <w:rPr>
                <w:rFonts w:ascii="Times New Roman" w:hAnsi="Times New Roman" w:cs="Times New Roman"/>
                <w:noProof/>
                <w:webHidden/>
              </w:rPr>
              <w:fldChar w:fldCharType="separate"/>
            </w:r>
            <w:r w:rsidR="00B10811">
              <w:rPr>
                <w:rFonts w:ascii="Times New Roman" w:hAnsi="Times New Roman" w:cs="Times New Roman"/>
                <w:noProof/>
                <w:webHidden/>
              </w:rPr>
              <w:t>27</w:t>
            </w:r>
            <w:r w:rsidR="00DD1859" w:rsidRPr="00DD1859">
              <w:rPr>
                <w:rFonts w:ascii="Times New Roman" w:hAnsi="Times New Roman" w:cs="Times New Roman"/>
                <w:noProof/>
                <w:webHidden/>
              </w:rPr>
              <w:fldChar w:fldCharType="end"/>
            </w:r>
          </w:hyperlink>
        </w:p>
        <w:p w:rsidR="00DD1859" w:rsidRPr="00DD1859" w:rsidRDefault="00A020E2">
          <w:pPr>
            <w:pStyle w:val="TDC2"/>
            <w:tabs>
              <w:tab w:val="left" w:pos="880"/>
              <w:tab w:val="right" w:leader="dot" w:pos="9394"/>
            </w:tabs>
            <w:rPr>
              <w:rFonts w:ascii="Times New Roman" w:hAnsi="Times New Roman" w:cs="Times New Roman"/>
              <w:noProof/>
              <w:sz w:val="22"/>
              <w:szCs w:val="22"/>
              <w:lang w:val="es-GT" w:eastAsia="es-GT"/>
            </w:rPr>
          </w:pPr>
          <w:hyperlink w:anchor="_Toc534988246" w:history="1">
            <w:r w:rsidR="005C5656">
              <w:rPr>
                <w:rStyle w:val="Hipervnculo"/>
                <w:rFonts w:ascii="Times New Roman" w:hAnsi="Times New Roman" w:cs="Times New Roman"/>
                <w:noProof/>
              </w:rPr>
              <w:t>3.4</w:t>
            </w:r>
            <w:r w:rsidR="00DD1859" w:rsidRPr="00DD1859">
              <w:rPr>
                <w:rFonts w:ascii="Times New Roman" w:hAnsi="Times New Roman" w:cs="Times New Roman"/>
                <w:noProof/>
                <w:sz w:val="22"/>
                <w:szCs w:val="22"/>
                <w:lang w:val="es-GT" w:eastAsia="es-GT"/>
              </w:rPr>
              <w:tab/>
            </w:r>
            <w:r w:rsidR="00DD1859" w:rsidRPr="00DD1859">
              <w:rPr>
                <w:rStyle w:val="Hipervnculo"/>
                <w:rFonts w:ascii="Times New Roman" w:hAnsi="Times New Roman" w:cs="Times New Roman"/>
                <w:noProof/>
              </w:rPr>
              <w:t>Calificación de riesgo del país</w:t>
            </w:r>
            <w:r w:rsidR="00DD1859" w:rsidRPr="00DD1859">
              <w:rPr>
                <w:rFonts w:ascii="Times New Roman" w:hAnsi="Times New Roman" w:cs="Times New Roman"/>
                <w:noProof/>
                <w:webHidden/>
              </w:rPr>
              <w:tab/>
            </w:r>
            <w:r w:rsidR="00DD1859" w:rsidRPr="00DD1859">
              <w:rPr>
                <w:rFonts w:ascii="Times New Roman" w:hAnsi="Times New Roman" w:cs="Times New Roman"/>
                <w:noProof/>
                <w:webHidden/>
              </w:rPr>
              <w:fldChar w:fldCharType="begin"/>
            </w:r>
            <w:r w:rsidR="00DD1859" w:rsidRPr="00DD1859">
              <w:rPr>
                <w:rFonts w:ascii="Times New Roman" w:hAnsi="Times New Roman" w:cs="Times New Roman"/>
                <w:noProof/>
                <w:webHidden/>
              </w:rPr>
              <w:instrText xml:space="preserve"> PAGEREF _Toc534988246 \h </w:instrText>
            </w:r>
            <w:r w:rsidR="00DD1859" w:rsidRPr="00DD1859">
              <w:rPr>
                <w:rFonts w:ascii="Times New Roman" w:hAnsi="Times New Roman" w:cs="Times New Roman"/>
                <w:noProof/>
                <w:webHidden/>
              </w:rPr>
            </w:r>
            <w:r w:rsidR="00DD1859" w:rsidRPr="00DD1859">
              <w:rPr>
                <w:rFonts w:ascii="Times New Roman" w:hAnsi="Times New Roman" w:cs="Times New Roman"/>
                <w:noProof/>
                <w:webHidden/>
              </w:rPr>
              <w:fldChar w:fldCharType="separate"/>
            </w:r>
            <w:r w:rsidR="00B10811">
              <w:rPr>
                <w:rFonts w:ascii="Times New Roman" w:hAnsi="Times New Roman" w:cs="Times New Roman"/>
                <w:noProof/>
                <w:webHidden/>
              </w:rPr>
              <w:t>27</w:t>
            </w:r>
            <w:r w:rsidR="00DD1859" w:rsidRPr="00DD1859">
              <w:rPr>
                <w:rFonts w:ascii="Times New Roman" w:hAnsi="Times New Roman" w:cs="Times New Roman"/>
                <w:noProof/>
                <w:webHidden/>
              </w:rPr>
              <w:fldChar w:fldCharType="end"/>
            </w:r>
          </w:hyperlink>
        </w:p>
        <w:p w:rsidR="00DD1859" w:rsidRPr="00DD1859" w:rsidRDefault="00A020E2">
          <w:pPr>
            <w:pStyle w:val="TDC1"/>
            <w:rPr>
              <w:rFonts w:eastAsiaTheme="minorEastAsia"/>
              <w:b w:val="0"/>
              <w:bCs w:val="0"/>
              <w:sz w:val="22"/>
              <w:szCs w:val="22"/>
              <w:lang w:val="es-GT" w:eastAsia="es-GT"/>
            </w:rPr>
          </w:pPr>
          <w:hyperlink w:anchor="_Toc534988247" w:history="1">
            <w:r w:rsidR="00DD1859" w:rsidRPr="00DD1859">
              <w:rPr>
                <w:rStyle w:val="Hipervnculo"/>
                <w:b w:val="0"/>
              </w:rPr>
              <w:t>IV.</w:t>
            </w:r>
            <w:r w:rsidR="00DD1859" w:rsidRPr="00DD1859">
              <w:rPr>
                <w:rFonts w:eastAsiaTheme="minorEastAsia"/>
                <w:b w:val="0"/>
                <w:bCs w:val="0"/>
                <w:sz w:val="22"/>
                <w:szCs w:val="22"/>
                <w:lang w:val="es-GT" w:eastAsia="es-GT"/>
              </w:rPr>
              <w:tab/>
            </w:r>
            <w:r w:rsidR="00DD1859" w:rsidRPr="00DD1859">
              <w:rPr>
                <w:rStyle w:val="Hipervnculo"/>
                <w:b w:val="0"/>
              </w:rPr>
              <w:t>Anexo</w:t>
            </w:r>
            <w:r w:rsidR="00DD1859" w:rsidRPr="00DD1859">
              <w:rPr>
                <w:b w:val="0"/>
                <w:webHidden/>
              </w:rPr>
              <w:tab/>
            </w:r>
            <w:r w:rsidR="00DD1859" w:rsidRPr="00DD1859">
              <w:rPr>
                <w:b w:val="0"/>
                <w:webHidden/>
              </w:rPr>
              <w:fldChar w:fldCharType="begin"/>
            </w:r>
            <w:r w:rsidR="00DD1859" w:rsidRPr="00DD1859">
              <w:rPr>
                <w:b w:val="0"/>
                <w:webHidden/>
              </w:rPr>
              <w:instrText xml:space="preserve"> PAGEREF _Toc534988247 \h </w:instrText>
            </w:r>
            <w:r w:rsidR="00DD1859" w:rsidRPr="00DD1859">
              <w:rPr>
                <w:b w:val="0"/>
                <w:webHidden/>
              </w:rPr>
            </w:r>
            <w:r w:rsidR="00DD1859" w:rsidRPr="00DD1859">
              <w:rPr>
                <w:b w:val="0"/>
                <w:webHidden/>
              </w:rPr>
              <w:fldChar w:fldCharType="separate"/>
            </w:r>
            <w:r w:rsidR="00B10811">
              <w:rPr>
                <w:b w:val="0"/>
                <w:webHidden/>
              </w:rPr>
              <w:t>29</w:t>
            </w:r>
            <w:r w:rsidR="00DD1859" w:rsidRPr="00DD1859">
              <w:rPr>
                <w:b w:val="0"/>
                <w:webHidden/>
              </w:rPr>
              <w:fldChar w:fldCharType="end"/>
            </w:r>
          </w:hyperlink>
        </w:p>
        <w:p w:rsidR="0032588B" w:rsidRPr="00DD1859" w:rsidRDefault="0032588B" w:rsidP="000D58D6">
          <w:pPr>
            <w:spacing w:line="276" w:lineRule="auto"/>
            <w:rPr>
              <w:rFonts w:ascii="Times New Roman" w:hAnsi="Times New Roman" w:cs="Times New Roman"/>
            </w:rPr>
          </w:pPr>
          <w:r w:rsidRPr="00DD1859">
            <w:rPr>
              <w:rFonts w:ascii="Times New Roman" w:hAnsi="Times New Roman" w:cs="Times New Roman"/>
              <w:bCs/>
              <w:lang w:val="es-ES"/>
            </w:rPr>
            <w:fldChar w:fldCharType="end"/>
          </w:r>
        </w:p>
      </w:sdtContent>
    </w:sdt>
    <w:p w:rsidR="0032588B" w:rsidRPr="00DD1859" w:rsidRDefault="0032588B" w:rsidP="0032588B">
      <w:pPr>
        <w:jc w:val="both"/>
        <w:outlineLvl w:val="0"/>
        <w:rPr>
          <w:rFonts w:ascii="Times New Roman" w:eastAsiaTheme="majorEastAsia" w:hAnsi="Times New Roman" w:cs="Times New Roman"/>
          <w:bCs/>
          <w:szCs w:val="26"/>
        </w:rPr>
      </w:pPr>
    </w:p>
    <w:p w:rsidR="0032588B" w:rsidRPr="000F0DA3" w:rsidRDefault="0032588B" w:rsidP="0032588B">
      <w:pPr>
        <w:pStyle w:val="Prrafodelista"/>
        <w:ind w:left="709"/>
        <w:jc w:val="both"/>
        <w:outlineLvl w:val="0"/>
        <w:rPr>
          <w:rFonts w:ascii="Times New Roman" w:eastAsiaTheme="majorEastAsia" w:hAnsi="Times New Roman" w:cs="Times New Roman"/>
          <w:bCs/>
          <w:sz w:val="24"/>
          <w:szCs w:val="26"/>
          <w:lang w:val="es-ES_tradnl" w:eastAsia="es-ES"/>
        </w:rPr>
      </w:pPr>
    </w:p>
    <w:p w:rsidR="0032588B" w:rsidRDefault="0032588B" w:rsidP="0032588B">
      <w:pPr>
        <w:pStyle w:val="Prrafodelista"/>
        <w:ind w:left="709"/>
        <w:jc w:val="both"/>
        <w:outlineLvl w:val="0"/>
        <w:rPr>
          <w:rFonts w:ascii="Times New Roman" w:eastAsiaTheme="majorEastAsia" w:hAnsi="Times New Roman" w:cs="Times New Roman"/>
          <w:bCs/>
          <w:sz w:val="24"/>
          <w:szCs w:val="26"/>
          <w:lang w:val="es-ES_tradnl" w:eastAsia="es-ES"/>
        </w:rPr>
      </w:pPr>
    </w:p>
    <w:p w:rsidR="00DD1859" w:rsidRDefault="00DD1859" w:rsidP="0032588B">
      <w:pPr>
        <w:pStyle w:val="Prrafodelista"/>
        <w:ind w:left="709"/>
        <w:jc w:val="both"/>
        <w:outlineLvl w:val="0"/>
        <w:rPr>
          <w:rFonts w:ascii="Times New Roman" w:eastAsiaTheme="majorEastAsia" w:hAnsi="Times New Roman" w:cs="Times New Roman"/>
          <w:bCs/>
          <w:sz w:val="24"/>
          <w:szCs w:val="26"/>
          <w:lang w:val="es-ES_tradnl" w:eastAsia="es-ES"/>
        </w:rPr>
      </w:pPr>
    </w:p>
    <w:p w:rsidR="00DD1859" w:rsidRDefault="00DD1859" w:rsidP="0032588B">
      <w:pPr>
        <w:pStyle w:val="Prrafodelista"/>
        <w:ind w:left="709"/>
        <w:jc w:val="both"/>
        <w:outlineLvl w:val="0"/>
        <w:rPr>
          <w:rFonts w:ascii="Times New Roman" w:eastAsiaTheme="majorEastAsia" w:hAnsi="Times New Roman" w:cs="Times New Roman"/>
          <w:bCs/>
          <w:sz w:val="24"/>
          <w:szCs w:val="26"/>
          <w:lang w:val="es-ES_tradnl" w:eastAsia="es-ES"/>
        </w:rPr>
      </w:pPr>
    </w:p>
    <w:p w:rsidR="00DD1859" w:rsidRDefault="00DD1859" w:rsidP="00DD1859">
      <w:pPr>
        <w:pStyle w:val="Prrafodelista"/>
        <w:ind w:left="0"/>
        <w:jc w:val="both"/>
        <w:outlineLvl w:val="0"/>
        <w:rPr>
          <w:rFonts w:ascii="Times New Roman" w:eastAsiaTheme="majorEastAsia" w:hAnsi="Times New Roman" w:cs="Times New Roman"/>
          <w:b/>
          <w:bCs/>
          <w:sz w:val="24"/>
          <w:szCs w:val="26"/>
          <w:lang w:val="es-ES_tradnl" w:eastAsia="es-ES"/>
        </w:rPr>
      </w:pPr>
      <w:bookmarkStart w:id="2" w:name="_Toc534988218"/>
      <w:r w:rsidRPr="00DD1859">
        <w:rPr>
          <w:rFonts w:ascii="Times New Roman" w:eastAsiaTheme="majorEastAsia" w:hAnsi="Times New Roman" w:cs="Times New Roman"/>
          <w:b/>
          <w:bCs/>
          <w:sz w:val="24"/>
          <w:szCs w:val="26"/>
          <w:lang w:val="es-ES_tradnl" w:eastAsia="es-ES"/>
        </w:rPr>
        <w:lastRenderedPageBreak/>
        <w:t>Introducción</w:t>
      </w:r>
      <w:bookmarkEnd w:id="2"/>
    </w:p>
    <w:p w:rsidR="00DD1859" w:rsidRDefault="00DD1859" w:rsidP="00DD1859">
      <w:pPr>
        <w:pStyle w:val="Prrafodelista"/>
        <w:ind w:left="709"/>
        <w:jc w:val="both"/>
        <w:outlineLvl w:val="0"/>
        <w:rPr>
          <w:rFonts w:ascii="Times New Roman" w:eastAsiaTheme="majorEastAsia" w:hAnsi="Times New Roman" w:cs="Times New Roman"/>
          <w:b/>
          <w:bCs/>
          <w:sz w:val="24"/>
          <w:szCs w:val="26"/>
          <w:lang w:val="es-ES_tradnl" w:eastAsia="es-ES"/>
        </w:rPr>
      </w:pPr>
    </w:p>
    <w:p w:rsidR="00DD1859" w:rsidRDefault="00DD1859" w:rsidP="00DD1859">
      <w:pPr>
        <w:pStyle w:val="Prrafodelista"/>
        <w:ind w:left="0"/>
        <w:jc w:val="both"/>
        <w:rPr>
          <w:rFonts w:ascii="Times New Roman" w:eastAsiaTheme="majorEastAsia" w:hAnsi="Times New Roman" w:cs="Times New Roman"/>
          <w:b/>
          <w:bCs/>
          <w:sz w:val="24"/>
          <w:szCs w:val="26"/>
          <w:lang w:val="es-ES_tradnl" w:eastAsia="es-ES"/>
        </w:rPr>
      </w:pPr>
    </w:p>
    <w:p w:rsidR="00E14CCD" w:rsidRDefault="00E14CCD" w:rsidP="00E14CCD">
      <w:pPr>
        <w:jc w:val="both"/>
        <w:rPr>
          <w:rFonts w:ascii="Times New Roman" w:hAnsi="Times New Roman" w:cs="Times New Roman"/>
          <w:lang w:val="es-MX"/>
        </w:rPr>
      </w:pPr>
      <w:r w:rsidRPr="00E14CCD">
        <w:rPr>
          <w:rFonts w:ascii="Times New Roman" w:hAnsi="Times New Roman" w:cs="Times New Roman"/>
          <w:lang w:val="es-MX"/>
        </w:rPr>
        <w:t xml:space="preserve">La Dirección de Análisis y Política Fiscal del Ministerio de Finanzas Públicas conforme el Acuerdo Gubernativo No. 118-2018, Reglamento Orgánico del Ministerio de Finanzas Públicas, es la dependencia responsable de la formulación y seguimiento de la política fiscal, así como de concentrar y proveer información de índole fiscal, mediante análisis económicos y fiscales (Artículo 54).  </w:t>
      </w:r>
    </w:p>
    <w:p w:rsidR="00E14CCD" w:rsidRPr="00E14CCD" w:rsidRDefault="00E14CCD" w:rsidP="00E14CCD">
      <w:pPr>
        <w:jc w:val="both"/>
        <w:rPr>
          <w:rFonts w:ascii="Times New Roman" w:hAnsi="Times New Roman" w:cs="Times New Roman"/>
          <w:lang w:val="es-MX"/>
        </w:rPr>
      </w:pPr>
      <w:r w:rsidRPr="00E14CCD">
        <w:rPr>
          <w:rFonts w:ascii="Times New Roman" w:hAnsi="Times New Roman" w:cs="Times New Roman"/>
          <w:lang w:val="es-MX"/>
        </w:rPr>
        <w:t xml:space="preserve">   </w:t>
      </w:r>
    </w:p>
    <w:p w:rsidR="00E14CCD" w:rsidRDefault="00E14CCD" w:rsidP="00E14CCD">
      <w:pPr>
        <w:jc w:val="both"/>
        <w:rPr>
          <w:rFonts w:ascii="Times New Roman" w:hAnsi="Times New Roman" w:cs="Times New Roman"/>
          <w:lang w:val="es-MX"/>
        </w:rPr>
      </w:pPr>
      <w:r w:rsidRPr="00E14CCD">
        <w:rPr>
          <w:rFonts w:ascii="Times New Roman" w:hAnsi="Times New Roman" w:cs="Times New Roman"/>
          <w:lang w:val="es-MX"/>
        </w:rPr>
        <w:t xml:space="preserve">Para cumplir dichas atribuciones, y de acuerdo a los lineamientos y requerimientos de las actuales autoridades del ministerio, ha elaborado el presente Informe de desempeño de la Política Fiscal 2018, el cual contiene los aspectos más relevantes de la evolución de las variables fiscales durante el año recién finalizado.  En el mismo se puntualiza el impacto de las variables macroeconómicas y se resalta las principales acciones en materia de ingresos, gasto público y financiamiento.  El documento también incluye un anexo macroeconómico que destaca el comportamiento de la economía internacional, regional y nacional.  </w:t>
      </w:r>
    </w:p>
    <w:p w:rsidR="00E14CCD" w:rsidRPr="00E14CCD" w:rsidRDefault="00E14CCD" w:rsidP="00E14CCD">
      <w:pPr>
        <w:jc w:val="both"/>
        <w:rPr>
          <w:rFonts w:ascii="Times New Roman" w:hAnsi="Times New Roman" w:cs="Times New Roman"/>
          <w:lang w:val="es-MX"/>
        </w:rPr>
      </w:pPr>
    </w:p>
    <w:p w:rsidR="00E14CCD" w:rsidRDefault="00E14CCD" w:rsidP="00E14CCD">
      <w:pPr>
        <w:jc w:val="both"/>
        <w:rPr>
          <w:rFonts w:ascii="Times New Roman" w:hAnsi="Times New Roman" w:cs="Times New Roman"/>
          <w:lang w:val="es-MX"/>
        </w:rPr>
      </w:pPr>
      <w:r w:rsidRPr="00E14CCD">
        <w:rPr>
          <w:rFonts w:ascii="Times New Roman" w:hAnsi="Times New Roman" w:cs="Times New Roman"/>
          <w:lang w:val="es-MX"/>
        </w:rPr>
        <w:t>Es preciso indicar que la información utilizada en el presente informe es aún de carácter preliminar, sin embargo</w:t>
      </w:r>
      <w:r>
        <w:rPr>
          <w:rFonts w:ascii="Times New Roman" w:hAnsi="Times New Roman" w:cs="Times New Roman"/>
          <w:lang w:val="es-MX"/>
        </w:rPr>
        <w:t>,</w:t>
      </w:r>
      <w:r w:rsidRPr="00E14CCD">
        <w:rPr>
          <w:rFonts w:ascii="Times New Roman" w:hAnsi="Times New Roman" w:cs="Times New Roman"/>
          <w:lang w:val="es-MX"/>
        </w:rPr>
        <w:t xml:space="preserve"> las variaciones y ajustes derivadas de los procesos de cierre en las entidades del Estado son mínimas.    </w:t>
      </w:r>
    </w:p>
    <w:p w:rsidR="00E14CCD" w:rsidRPr="00E14CCD" w:rsidRDefault="00E14CCD" w:rsidP="00E14CCD">
      <w:pPr>
        <w:jc w:val="both"/>
        <w:rPr>
          <w:rFonts w:ascii="Times New Roman" w:hAnsi="Times New Roman" w:cs="Times New Roman"/>
          <w:lang w:val="es-MX"/>
        </w:rPr>
      </w:pPr>
    </w:p>
    <w:p w:rsidR="00DD1859" w:rsidRPr="00E14CCD" w:rsidRDefault="00E14CCD" w:rsidP="00E14CCD">
      <w:pPr>
        <w:jc w:val="both"/>
        <w:rPr>
          <w:rFonts w:ascii="Times New Roman" w:hAnsi="Times New Roman" w:cs="Times New Roman"/>
          <w:lang w:val="es-MX"/>
        </w:rPr>
      </w:pPr>
      <w:r w:rsidRPr="00E14CCD">
        <w:rPr>
          <w:rFonts w:ascii="Times New Roman" w:hAnsi="Times New Roman" w:cs="Times New Roman"/>
          <w:lang w:val="es-MX"/>
        </w:rPr>
        <w:t xml:space="preserve">Finalmente se agradece la colaboración de las dependencias del Ministerio de Finanzas Públicas, de la Superintendencia de Administración Tributaria -SAT-; del Banco de Guatemala y de las Direcciones Rectoras del Ministerio de Finanzas Públicas en por el apoyo brindado a esta dirección por la información que permitió consolidar los análisis citados en el documento y el trabajo en equipo de los funcionarios y asesores de la Dirección de Análisis y Política Fiscal.   </w:t>
      </w:r>
    </w:p>
    <w:p w:rsidR="00DD1859" w:rsidRDefault="00DD1859" w:rsidP="00DD1859">
      <w:pPr>
        <w:pStyle w:val="Prrafodelista"/>
        <w:ind w:left="0"/>
        <w:jc w:val="both"/>
        <w:rPr>
          <w:rFonts w:ascii="Times New Roman" w:eastAsiaTheme="majorEastAsia" w:hAnsi="Times New Roman" w:cs="Times New Roman"/>
          <w:b/>
          <w:bCs/>
          <w:sz w:val="24"/>
          <w:szCs w:val="26"/>
          <w:lang w:val="es-ES_tradnl" w:eastAsia="es-ES"/>
        </w:rPr>
      </w:pPr>
    </w:p>
    <w:p w:rsidR="00DD1859" w:rsidRDefault="00DD1859" w:rsidP="00DD1859">
      <w:pPr>
        <w:pStyle w:val="Prrafodelista"/>
        <w:ind w:left="0"/>
        <w:jc w:val="both"/>
        <w:rPr>
          <w:rFonts w:ascii="Times New Roman" w:eastAsiaTheme="majorEastAsia" w:hAnsi="Times New Roman" w:cs="Times New Roman"/>
          <w:b/>
          <w:bCs/>
          <w:sz w:val="24"/>
          <w:szCs w:val="26"/>
          <w:lang w:val="es-ES_tradnl" w:eastAsia="es-ES"/>
        </w:rPr>
      </w:pPr>
    </w:p>
    <w:p w:rsidR="00DD1859" w:rsidRDefault="00DD1859" w:rsidP="00DD1859">
      <w:pPr>
        <w:pStyle w:val="Prrafodelista"/>
        <w:ind w:left="0"/>
        <w:jc w:val="both"/>
        <w:rPr>
          <w:rFonts w:ascii="Times New Roman" w:eastAsiaTheme="majorEastAsia" w:hAnsi="Times New Roman" w:cs="Times New Roman"/>
          <w:b/>
          <w:bCs/>
          <w:sz w:val="24"/>
          <w:szCs w:val="26"/>
          <w:lang w:val="es-ES_tradnl" w:eastAsia="es-ES"/>
        </w:rPr>
      </w:pPr>
    </w:p>
    <w:p w:rsidR="00DD1859" w:rsidRDefault="00DD1859" w:rsidP="00DD1859">
      <w:pPr>
        <w:pStyle w:val="Prrafodelista"/>
        <w:ind w:left="0"/>
        <w:jc w:val="both"/>
        <w:rPr>
          <w:rFonts w:ascii="Times New Roman" w:eastAsiaTheme="majorEastAsia" w:hAnsi="Times New Roman" w:cs="Times New Roman"/>
          <w:b/>
          <w:bCs/>
          <w:sz w:val="24"/>
          <w:szCs w:val="26"/>
          <w:lang w:val="es-ES_tradnl" w:eastAsia="es-ES"/>
        </w:rPr>
      </w:pPr>
    </w:p>
    <w:p w:rsidR="00DD1859" w:rsidRDefault="00DD1859" w:rsidP="00DD1859">
      <w:pPr>
        <w:pStyle w:val="Prrafodelista"/>
        <w:ind w:left="0"/>
        <w:jc w:val="both"/>
        <w:rPr>
          <w:rFonts w:ascii="Times New Roman" w:eastAsiaTheme="majorEastAsia" w:hAnsi="Times New Roman" w:cs="Times New Roman"/>
          <w:b/>
          <w:bCs/>
          <w:sz w:val="24"/>
          <w:szCs w:val="26"/>
          <w:lang w:val="es-ES_tradnl" w:eastAsia="es-ES"/>
        </w:rPr>
      </w:pPr>
    </w:p>
    <w:p w:rsidR="00DD1859" w:rsidRDefault="00DD1859" w:rsidP="00DD1859">
      <w:pPr>
        <w:pStyle w:val="Prrafodelista"/>
        <w:ind w:left="0"/>
        <w:jc w:val="both"/>
        <w:rPr>
          <w:rFonts w:ascii="Times New Roman" w:eastAsiaTheme="majorEastAsia" w:hAnsi="Times New Roman" w:cs="Times New Roman"/>
          <w:b/>
          <w:bCs/>
          <w:sz w:val="24"/>
          <w:szCs w:val="26"/>
          <w:lang w:val="es-ES_tradnl" w:eastAsia="es-ES"/>
        </w:rPr>
      </w:pPr>
    </w:p>
    <w:p w:rsidR="00DD1859" w:rsidRDefault="00DD1859" w:rsidP="00DD1859">
      <w:pPr>
        <w:pStyle w:val="Prrafodelista"/>
        <w:ind w:left="0"/>
        <w:jc w:val="both"/>
        <w:rPr>
          <w:rFonts w:ascii="Times New Roman" w:eastAsiaTheme="majorEastAsia" w:hAnsi="Times New Roman" w:cs="Times New Roman"/>
          <w:b/>
          <w:bCs/>
          <w:sz w:val="24"/>
          <w:szCs w:val="26"/>
          <w:lang w:val="es-ES_tradnl" w:eastAsia="es-ES"/>
        </w:rPr>
      </w:pPr>
    </w:p>
    <w:p w:rsidR="00DD1859" w:rsidRDefault="00DD1859" w:rsidP="00DD1859">
      <w:pPr>
        <w:pStyle w:val="Prrafodelista"/>
        <w:ind w:left="0"/>
        <w:jc w:val="both"/>
        <w:rPr>
          <w:rFonts w:ascii="Times New Roman" w:eastAsiaTheme="majorEastAsia" w:hAnsi="Times New Roman" w:cs="Times New Roman"/>
          <w:b/>
          <w:bCs/>
          <w:sz w:val="24"/>
          <w:szCs w:val="26"/>
          <w:lang w:val="es-ES_tradnl" w:eastAsia="es-ES"/>
        </w:rPr>
      </w:pPr>
    </w:p>
    <w:p w:rsidR="00DD1859" w:rsidRDefault="00DD1859" w:rsidP="00DD1859">
      <w:pPr>
        <w:pStyle w:val="Prrafodelista"/>
        <w:ind w:left="0"/>
        <w:jc w:val="both"/>
        <w:rPr>
          <w:rFonts w:ascii="Times New Roman" w:eastAsiaTheme="majorEastAsia" w:hAnsi="Times New Roman" w:cs="Times New Roman"/>
          <w:b/>
          <w:bCs/>
          <w:sz w:val="24"/>
          <w:szCs w:val="26"/>
          <w:lang w:val="es-ES_tradnl" w:eastAsia="es-ES"/>
        </w:rPr>
      </w:pPr>
    </w:p>
    <w:p w:rsidR="00DD1859" w:rsidRDefault="00DD1859" w:rsidP="00DD1859">
      <w:pPr>
        <w:pStyle w:val="Prrafodelista"/>
        <w:ind w:left="0"/>
        <w:jc w:val="both"/>
        <w:rPr>
          <w:rFonts w:ascii="Times New Roman" w:eastAsiaTheme="majorEastAsia" w:hAnsi="Times New Roman" w:cs="Times New Roman"/>
          <w:b/>
          <w:bCs/>
          <w:sz w:val="24"/>
          <w:szCs w:val="26"/>
          <w:lang w:val="es-ES_tradnl" w:eastAsia="es-ES"/>
        </w:rPr>
      </w:pPr>
    </w:p>
    <w:p w:rsidR="00DD1859" w:rsidRDefault="00DD1859" w:rsidP="00DD1859">
      <w:pPr>
        <w:pStyle w:val="Prrafodelista"/>
        <w:ind w:left="0"/>
        <w:jc w:val="both"/>
        <w:rPr>
          <w:rFonts w:ascii="Times New Roman" w:eastAsiaTheme="majorEastAsia" w:hAnsi="Times New Roman" w:cs="Times New Roman"/>
          <w:b/>
          <w:bCs/>
          <w:sz w:val="24"/>
          <w:szCs w:val="26"/>
          <w:lang w:val="es-ES_tradnl" w:eastAsia="es-ES"/>
        </w:rPr>
      </w:pPr>
    </w:p>
    <w:p w:rsidR="00DD1859" w:rsidRDefault="00DD1859" w:rsidP="00DD1859">
      <w:pPr>
        <w:pStyle w:val="Prrafodelista"/>
        <w:ind w:left="0"/>
        <w:jc w:val="both"/>
        <w:rPr>
          <w:rFonts w:ascii="Times New Roman" w:eastAsiaTheme="majorEastAsia" w:hAnsi="Times New Roman" w:cs="Times New Roman"/>
          <w:b/>
          <w:bCs/>
          <w:sz w:val="24"/>
          <w:szCs w:val="26"/>
          <w:lang w:val="es-ES_tradnl" w:eastAsia="es-ES"/>
        </w:rPr>
      </w:pPr>
    </w:p>
    <w:p w:rsidR="00DD1859" w:rsidRDefault="00DD1859" w:rsidP="00DD1859">
      <w:pPr>
        <w:pStyle w:val="Prrafodelista"/>
        <w:ind w:left="0"/>
        <w:jc w:val="both"/>
        <w:rPr>
          <w:rFonts w:ascii="Times New Roman" w:eastAsiaTheme="majorEastAsia" w:hAnsi="Times New Roman" w:cs="Times New Roman"/>
          <w:b/>
          <w:bCs/>
          <w:sz w:val="24"/>
          <w:szCs w:val="26"/>
          <w:lang w:val="es-ES_tradnl" w:eastAsia="es-ES"/>
        </w:rPr>
      </w:pPr>
    </w:p>
    <w:p w:rsidR="00DD1859" w:rsidRDefault="00DD1859" w:rsidP="00DD1859">
      <w:pPr>
        <w:pStyle w:val="Prrafodelista"/>
        <w:ind w:left="0"/>
        <w:jc w:val="both"/>
        <w:rPr>
          <w:rFonts w:ascii="Times New Roman" w:eastAsiaTheme="majorEastAsia" w:hAnsi="Times New Roman" w:cs="Times New Roman"/>
          <w:b/>
          <w:bCs/>
          <w:sz w:val="24"/>
          <w:szCs w:val="26"/>
          <w:lang w:val="es-ES_tradnl" w:eastAsia="es-ES"/>
        </w:rPr>
      </w:pPr>
    </w:p>
    <w:p w:rsidR="00DD1859" w:rsidRDefault="00DD1859" w:rsidP="00DD1859">
      <w:pPr>
        <w:pStyle w:val="Prrafodelista"/>
        <w:ind w:left="0"/>
        <w:jc w:val="both"/>
        <w:rPr>
          <w:rFonts w:ascii="Times New Roman" w:eastAsiaTheme="majorEastAsia" w:hAnsi="Times New Roman" w:cs="Times New Roman"/>
          <w:b/>
          <w:bCs/>
          <w:sz w:val="24"/>
          <w:szCs w:val="26"/>
          <w:lang w:val="es-ES_tradnl" w:eastAsia="es-ES"/>
        </w:rPr>
      </w:pPr>
    </w:p>
    <w:p w:rsidR="00DD1859" w:rsidRDefault="00DD1859" w:rsidP="00DD1859">
      <w:pPr>
        <w:pStyle w:val="Prrafodelista"/>
        <w:ind w:left="0"/>
        <w:jc w:val="both"/>
        <w:rPr>
          <w:rFonts w:ascii="Times New Roman" w:eastAsiaTheme="majorEastAsia" w:hAnsi="Times New Roman" w:cs="Times New Roman"/>
          <w:b/>
          <w:bCs/>
          <w:sz w:val="24"/>
          <w:szCs w:val="26"/>
          <w:lang w:val="es-ES_tradnl" w:eastAsia="es-ES"/>
        </w:rPr>
      </w:pPr>
    </w:p>
    <w:p w:rsidR="00DD1859" w:rsidRDefault="00DD1859" w:rsidP="00DD1859">
      <w:pPr>
        <w:pStyle w:val="Prrafodelista"/>
        <w:ind w:left="0"/>
        <w:jc w:val="both"/>
        <w:rPr>
          <w:rFonts w:ascii="Times New Roman" w:eastAsiaTheme="majorEastAsia" w:hAnsi="Times New Roman" w:cs="Times New Roman"/>
          <w:b/>
          <w:bCs/>
          <w:sz w:val="24"/>
          <w:szCs w:val="26"/>
          <w:lang w:val="es-ES_tradnl" w:eastAsia="es-ES"/>
        </w:rPr>
      </w:pPr>
    </w:p>
    <w:p w:rsidR="00DD1859" w:rsidRDefault="00DD1859" w:rsidP="00DD1859">
      <w:pPr>
        <w:pStyle w:val="Prrafodelista"/>
        <w:ind w:left="0"/>
        <w:jc w:val="both"/>
        <w:rPr>
          <w:rFonts w:ascii="Times New Roman" w:eastAsiaTheme="majorEastAsia" w:hAnsi="Times New Roman" w:cs="Times New Roman"/>
          <w:b/>
          <w:bCs/>
          <w:sz w:val="24"/>
          <w:szCs w:val="26"/>
          <w:lang w:val="es-ES_tradnl" w:eastAsia="es-ES"/>
        </w:rPr>
      </w:pPr>
    </w:p>
    <w:p w:rsidR="00DD1859" w:rsidRDefault="00DD1859" w:rsidP="00DD1859">
      <w:pPr>
        <w:pStyle w:val="Prrafodelista"/>
        <w:ind w:left="0"/>
        <w:jc w:val="both"/>
        <w:rPr>
          <w:rFonts w:ascii="Times New Roman" w:eastAsiaTheme="majorEastAsia" w:hAnsi="Times New Roman" w:cs="Times New Roman"/>
          <w:b/>
          <w:bCs/>
          <w:sz w:val="24"/>
          <w:szCs w:val="26"/>
          <w:lang w:val="es-ES_tradnl" w:eastAsia="es-ES"/>
        </w:rPr>
      </w:pPr>
    </w:p>
    <w:p w:rsidR="00DD1859" w:rsidRDefault="00DD1859" w:rsidP="00DD1859">
      <w:pPr>
        <w:pStyle w:val="Prrafodelista"/>
        <w:ind w:left="0"/>
        <w:jc w:val="both"/>
        <w:rPr>
          <w:rFonts w:ascii="Times New Roman" w:eastAsiaTheme="majorEastAsia" w:hAnsi="Times New Roman" w:cs="Times New Roman"/>
          <w:b/>
          <w:bCs/>
          <w:sz w:val="24"/>
          <w:szCs w:val="26"/>
          <w:lang w:val="es-ES_tradnl" w:eastAsia="es-ES"/>
        </w:rPr>
      </w:pPr>
    </w:p>
    <w:p w:rsidR="00DD1859" w:rsidRDefault="00DD1859" w:rsidP="00DD1859">
      <w:pPr>
        <w:pStyle w:val="Prrafodelista"/>
        <w:ind w:left="0"/>
        <w:jc w:val="both"/>
        <w:rPr>
          <w:rFonts w:ascii="Times New Roman" w:eastAsiaTheme="majorEastAsia" w:hAnsi="Times New Roman" w:cs="Times New Roman"/>
          <w:b/>
          <w:bCs/>
          <w:sz w:val="24"/>
          <w:szCs w:val="26"/>
          <w:lang w:val="es-ES_tradnl" w:eastAsia="es-ES"/>
        </w:rPr>
      </w:pPr>
    </w:p>
    <w:bookmarkEnd w:id="0"/>
    <w:bookmarkEnd w:id="1"/>
    <w:p w:rsidR="0008775B" w:rsidRPr="0008775B" w:rsidRDefault="0008775B" w:rsidP="00D43598">
      <w:pPr>
        <w:rPr>
          <w:rFonts w:ascii="Times New Roman" w:hAnsi="Times New Roman" w:cs="Times New Roman"/>
          <w:color w:val="FF0000"/>
          <w:lang w:val="es-MX"/>
        </w:rPr>
      </w:pPr>
    </w:p>
    <w:p w:rsidR="00243DA8" w:rsidRPr="00541296" w:rsidRDefault="00EA37AC" w:rsidP="00EA37AC">
      <w:pPr>
        <w:pStyle w:val="Prrafodelista"/>
        <w:numPr>
          <w:ilvl w:val="0"/>
          <w:numId w:val="1"/>
        </w:numPr>
        <w:ind w:left="709" w:hanging="709"/>
        <w:jc w:val="both"/>
        <w:outlineLvl w:val="0"/>
        <w:rPr>
          <w:rFonts w:ascii="Times New Roman" w:eastAsiaTheme="majorEastAsia" w:hAnsi="Times New Roman" w:cs="Times New Roman"/>
          <w:b/>
          <w:bCs/>
          <w:sz w:val="24"/>
          <w:szCs w:val="26"/>
          <w:lang w:val="es-ES_tradnl" w:eastAsia="es-ES"/>
        </w:rPr>
      </w:pPr>
      <w:bookmarkStart w:id="3" w:name="_Toc534988219"/>
      <w:r w:rsidRPr="00541296">
        <w:rPr>
          <w:rFonts w:ascii="Times New Roman" w:eastAsiaTheme="majorEastAsia" w:hAnsi="Times New Roman" w:cs="Times New Roman"/>
          <w:b/>
          <w:bCs/>
          <w:sz w:val="24"/>
          <w:szCs w:val="26"/>
          <w:lang w:val="es-ES_tradnl" w:eastAsia="es-ES"/>
        </w:rPr>
        <w:t>Recaudación tributaria</w:t>
      </w:r>
      <w:bookmarkEnd w:id="3"/>
    </w:p>
    <w:p w:rsidR="00EA37AC" w:rsidRPr="00541296" w:rsidRDefault="00EA37AC" w:rsidP="00243DA8">
      <w:pPr>
        <w:pStyle w:val="Prrafodelista"/>
        <w:ind w:left="709"/>
        <w:jc w:val="both"/>
        <w:outlineLvl w:val="0"/>
        <w:rPr>
          <w:rFonts w:ascii="Times New Roman" w:eastAsiaTheme="majorEastAsia" w:hAnsi="Times New Roman" w:cs="Times New Roman"/>
          <w:b/>
          <w:bCs/>
          <w:sz w:val="24"/>
          <w:szCs w:val="26"/>
          <w:lang w:val="es-ES_tradnl" w:eastAsia="es-ES"/>
        </w:rPr>
      </w:pPr>
      <w:r w:rsidRPr="00541296">
        <w:rPr>
          <w:rFonts w:ascii="Times New Roman" w:eastAsiaTheme="majorEastAsia" w:hAnsi="Times New Roman" w:cs="Times New Roman"/>
          <w:b/>
          <w:bCs/>
          <w:sz w:val="24"/>
          <w:szCs w:val="26"/>
          <w:lang w:val="es-ES_tradnl" w:eastAsia="es-ES"/>
        </w:rPr>
        <w:t xml:space="preserve"> </w:t>
      </w:r>
    </w:p>
    <w:p w:rsidR="00770433" w:rsidRPr="00541296" w:rsidRDefault="00770433" w:rsidP="00770433">
      <w:pPr>
        <w:pStyle w:val="Prrafodelista"/>
        <w:keepNext/>
        <w:keepLines/>
        <w:numPr>
          <w:ilvl w:val="0"/>
          <w:numId w:val="11"/>
        </w:numPr>
        <w:spacing w:before="200"/>
        <w:contextualSpacing w:val="0"/>
        <w:outlineLvl w:val="1"/>
        <w:rPr>
          <w:rFonts w:ascii="Times New Roman" w:eastAsiaTheme="majorEastAsia" w:hAnsi="Times New Roman" w:cs="Times New Roman"/>
          <w:b/>
          <w:bCs/>
          <w:vanish/>
          <w:sz w:val="24"/>
          <w:szCs w:val="26"/>
          <w:lang w:val="es-ES_tradnl" w:eastAsia="es-ES"/>
        </w:rPr>
      </w:pPr>
      <w:bookmarkStart w:id="4" w:name="_Toc471986924"/>
      <w:bookmarkStart w:id="5" w:name="_Toc471987059"/>
      <w:bookmarkStart w:id="6" w:name="_Toc471987107"/>
      <w:bookmarkStart w:id="7" w:name="_Toc471987129"/>
      <w:bookmarkStart w:id="8" w:name="_Toc472082158"/>
      <w:bookmarkStart w:id="9" w:name="_Toc472082190"/>
      <w:bookmarkStart w:id="10" w:name="_Toc472089905"/>
      <w:bookmarkStart w:id="11" w:name="_Toc472089928"/>
      <w:bookmarkStart w:id="12" w:name="_Toc505346056"/>
      <w:bookmarkStart w:id="13" w:name="_Toc505349869"/>
      <w:bookmarkStart w:id="14" w:name="_Toc534985827"/>
      <w:bookmarkStart w:id="15" w:name="_Toc534988220"/>
      <w:bookmarkEnd w:id="4"/>
      <w:bookmarkEnd w:id="5"/>
      <w:bookmarkEnd w:id="6"/>
      <w:bookmarkEnd w:id="7"/>
      <w:bookmarkEnd w:id="8"/>
      <w:bookmarkEnd w:id="9"/>
      <w:bookmarkEnd w:id="10"/>
      <w:bookmarkEnd w:id="11"/>
      <w:bookmarkEnd w:id="12"/>
      <w:bookmarkEnd w:id="13"/>
      <w:bookmarkEnd w:id="14"/>
      <w:bookmarkEnd w:id="15"/>
    </w:p>
    <w:p w:rsidR="00243DA8" w:rsidRPr="00541296" w:rsidRDefault="00243DA8" w:rsidP="00243DA8">
      <w:pPr>
        <w:pStyle w:val="Ttulo2"/>
        <w:numPr>
          <w:ilvl w:val="1"/>
          <w:numId w:val="11"/>
        </w:numPr>
        <w:spacing w:before="0"/>
        <w:rPr>
          <w:rFonts w:ascii="Times New Roman" w:hAnsi="Times New Roman" w:cs="Times New Roman"/>
          <w:color w:val="auto"/>
          <w:sz w:val="24"/>
        </w:rPr>
      </w:pPr>
      <w:bookmarkStart w:id="16" w:name="_Toc471987131"/>
      <w:bookmarkStart w:id="17" w:name="_Toc534988221"/>
      <w:r w:rsidRPr="00541296">
        <w:rPr>
          <w:rFonts w:ascii="Times New Roman" w:hAnsi="Times New Roman" w:cs="Times New Roman"/>
          <w:color w:val="auto"/>
          <w:sz w:val="24"/>
        </w:rPr>
        <w:t>Evolución de la recaudación tributaria 201</w:t>
      </w:r>
      <w:bookmarkEnd w:id="16"/>
      <w:r w:rsidR="00541296" w:rsidRPr="00541296">
        <w:rPr>
          <w:rFonts w:ascii="Times New Roman" w:hAnsi="Times New Roman" w:cs="Times New Roman"/>
          <w:color w:val="auto"/>
          <w:sz w:val="24"/>
        </w:rPr>
        <w:t>8</w:t>
      </w:r>
      <w:bookmarkEnd w:id="17"/>
    </w:p>
    <w:p w:rsidR="00243DA8" w:rsidRPr="0008775B" w:rsidRDefault="00243DA8" w:rsidP="00243DA8">
      <w:pPr>
        <w:jc w:val="both"/>
        <w:rPr>
          <w:rFonts w:ascii="Times New Roman" w:hAnsi="Times New Roman" w:cs="Times New Roman"/>
          <w:b/>
          <w:color w:val="FF0000"/>
          <w:lang w:val="es-MX"/>
        </w:rPr>
      </w:pPr>
    </w:p>
    <w:p w:rsidR="0008775B" w:rsidRPr="0057330B" w:rsidRDefault="0008775B" w:rsidP="0008775B">
      <w:pPr>
        <w:jc w:val="both"/>
        <w:rPr>
          <w:rFonts w:ascii="Times New Roman" w:hAnsi="Times New Roman" w:cs="Times New Roman"/>
          <w:lang w:val="es-MX"/>
        </w:rPr>
      </w:pPr>
      <w:r w:rsidRPr="0057330B">
        <w:rPr>
          <w:rFonts w:ascii="Times New Roman" w:hAnsi="Times New Roman" w:cs="Times New Roman"/>
          <w:lang w:val="es-MX"/>
        </w:rPr>
        <w:t>El ejercicio fiscal 2018 da inicio con la aprobación del Presupuesto General de Ingresos y Egresos del Estado, al no ser aprobado este presupuesto queda en vigencia el del año anterior (2017), posteriormente se suscribe un convenio de metas entre el Ministro de Finanzas Públicas y el Superintendente de Administración Tributaria - SAT-.</w:t>
      </w:r>
    </w:p>
    <w:p w:rsidR="0008775B" w:rsidRPr="0057330B" w:rsidRDefault="0008775B" w:rsidP="0008775B">
      <w:pPr>
        <w:jc w:val="both"/>
        <w:rPr>
          <w:rFonts w:ascii="Times New Roman" w:hAnsi="Times New Roman" w:cs="Times New Roman"/>
          <w:lang w:val="es-MX"/>
        </w:rPr>
      </w:pPr>
    </w:p>
    <w:p w:rsidR="0008775B" w:rsidRDefault="0008775B" w:rsidP="0008775B">
      <w:pPr>
        <w:jc w:val="both"/>
        <w:rPr>
          <w:rFonts w:ascii="Times New Roman" w:hAnsi="Times New Roman" w:cs="Times New Roman"/>
          <w:lang w:val="es-MX"/>
        </w:rPr>
      </w:pPr>
      <w:r w:rsidRPr="0057330B">
        <w:rPr>
          <w:rFonts w:ascii="Times New Roman" w:hAnsi="Times New Roman" w:cs="Times New Roman"/>
          <w:lang w:val="es-MX"/>
        </w:rPr>
        <w:t>En la recaudación tributaria de 2018 se observan aspectos importantes relacionados a los principales impuestos que representan el 74.7% de la recaudación total, siendo estos el Impuesto a la renta y el IVA total, la administración tributaria estableció el año 2018 como año del combate a la defraudación y contrabando aduaneros, para lograr este objetivo la SAT realizó propuestas de políticas de control basadas en procesos de gestión de riesgo e inteligencia aduanera que contribuyan a minimizar los riesgos aduaneros.</w:t>
      </w:r>
    </w:p>
    <w:p w:rsidR="0008775B" w:rsidRDefault="0008775B" w:rsidP="0008775B">
      <w:pPr>
        <w:jc w:val="both"/>
        <w:rPr>
          <w:rFonts w:ascii="Times New Roman" w:hAnsi="Times New Roman" w:cs="Times New Roman"/>
          <w:lang w:val="es-MX"/>
        </w:rPr>
      </w:pPr>
    </w:p>
    <w:p w:rsidR="0008775B" w:rsidRPr="0057330B" w:rsidRDefault="0008775B" w:rsidP="0008775B">
      <w:pPr>
        <w:jc w:val="both"/>
        <w:rPr>
          <w:rFonts w:ascii="Times New Roman" w:hAnsi="Times New Roman" w:cs="Times New Roman"/>
          <w:lang w:val="es-MX"/>
        </w:rPr>
      </w:pPr>
      <w:r>
        <w:rPr>
          <w:rFonts w:ascii="Times New Roman" w:hAnsi="Times New Roman" w:cs="Times New Roman"/>
          <w:lang w:val="es-MX"/>
        </w:rPr>
        <w:t>Los resultados de estos esfuerzos se observan en un crecimiento interanual del 3.8% respecto al 2017 y una brecha positiva respecto al presupuesto de Q840.</w:t>
      </w:r>
      <w:r w:rsidR="00713598">
        <w:rPr>
          <w:rFonts w:ascii="Times New Roman" w:hAnsi="Times New Roman" w:cs="Times New Roman"/>
          <w:lang w:val="es-MX"/>
        </w:rPr>
        <w:t>8</w:t>
      </w:r>
      <w:r>
        <w:rPr>
          <w:rFonts w:ascii="Times New Roman" w:hAnsi="Times New Roman" w:cs="Times New Roman"/>
          <w:lang w:val="es-MX"/>
        </w:rPr>
        <w:t xml:space="preserve"> millones esto impulsado principalmente por un mejor desempeño en la recaudación de los impuestos asociados al comercio exterior.</w:t>
      </w:r>
    </w:p>
    <w:p w:rsidR="005176B4" w:rsidRPr="0008775B" w:rsidRDefault="005176B4" w:rsidP="005176B4">
      <w:pPr>
        <w:jc w:val="both"/>
        <w:rPr>
          <w:rFonts w:ascii="Times New Roman" w:hAnsi="Times New Roman" w:cs="Times New Roman"/>
          <w:color w:val="FF0000"/>
          <w:lang w:val="es-MX"/>
        </w:rPr>
      </w:pPr>
    </w:p>
    <w:p w:rsidR="005176B4" w:rsidRPr="00541296" w:rsidRDefault="005176B4" w:rsidP="005176B4">
      <w:pPr>
        <w:jc w:val="center"/>
        <w:rPr>
          <w:rFonts w:ascii="Times New Roman" w:hAnsi="Times New Roman" w:cs="Times New Roman"/>
          <w:b/>
          <w:lang w:val="es-MX"/>
        </w:rPr>
      </w:pPr>
      <w:r w:rsidRPr="00541296">
        <w:rPr>
          <w:rFonts w:ascii="Times New Roman" w:hAnsi="Times New Roman" w:cs="Times New Roman"/>
          <w:b/>
          <w:lang w:val="es-MX"/>
        </w:rPr>
        <w:t xml:space="preserve">Recaudación tributaria </w:t>
      </w:r>
    </w:p>
    <w:p w:rsidR="005176B4" w:rsidRPr="00541296" w:rsidRDefault="005176B4" w:rsidP="005176B4">
      <w:pPr>
        <w:jc w:val="center"/>
        <w:rPr>
          <w:rFonts w:ascii="Times New Roman" w:hAnsi="Times New Roman" w:cs="Times New Roman"/>
          <w:sz w:val="18"/>
          <w:lang w:val="es-MX"/>
        </w:rPr>
      </w:pPr>
      <w:r w:rsidRPr="00541296">
        <w:rPr>
          <w:rFonts w:ascii="Times New Roman" w:hAnsi="Times New Roman" w:cs="Times New Roman"/>
          <w:sz w:val="18"/>
          <w:lang w:val="es-MX"/>
        </w:rPr>
        <w:t>Millones de quetzales</w:t>
      </w:r>
    </w:p>
    <w:p w:rsidR="005176B4" w:rsidRPr="00541296" w:rsidRDefault="00541296" w:rsidP="005176B4">
      <w:pPr>
        <w:jc w:val="center"/>
        <w:rPr>
          <w:rFonts w:ascii="Times New Roman" w:hAnsi="Times New Roman" w:cs="Times New Roman"/>
          <w:sz w:val="16"/>
          <w:lang w:val="es-MX"/>
        </w:rPr>
      </w:pPr>
      <w:r w:rsidRPr="00541296">
        <w:rPr>
          <w:rFonts w:ascii="Times New Roman" w:hAnsi="Times New Roman" w:cs="Times New Roman"/>
          <w:noProof/>
          <w:highlight w:val="yellow"/>
          <w:lang w:val="es-GT" w:eastAsia="es-GT"/>
        </w:rPr>
        <w:drawing>
          <wp:inline distT="0" distB="0" distL="0" distR="0" wp14:anchorId="21B258AD" wp14:editId="5200AE5A">
            <wp:extent cx="4309607" cy="2393343"/>
            <wp:effectExtent l="0" t="0" r="0" b="698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76B4" w:rsidRPr="00541296" w:rsidRDefault="005176B4" w:rsidP="005176B4">
      <w:pPr>
        <w:ind w:left="1416" w:firstLine="708"/>
        <w:rPr>
          <w:rFonts w:ascii="Times New Roman" w:hAnsi="Times New Roman" w:cs="Times New Roman"/>
          <w:sz w:val="16"/>
          <w:lang w:val="es-MX"/>
        </w:rPr>
      </w:pPr>
      <w:r w:rsidRPr="00541296">
        <w:rPr>
          <w:rFonts w:ascii="Times New Roman" w:hAnsi="Times New Roman" w:cs="Times New Roman"/>
          <w:sz w:val="16"/>
          <w:lang w:val="es-MX"/>
        </w:rPr>
        <w:t>Fuente: Dirección de Análisis y Política Fiscal</w:t>
      </w:r>
    </w:p>
    <w:p w:rsidR="005176B4" w:rsidRPr="0008775B" w:rsidRDefault="005176B4" w:rsidP="005176B4">
      <w:pPr>
        <w:jc w:val="both"/>
        <w:rPr>
          <w:rFonts w:ascii="Times New Roman" w:hAnsi="Times New Roman" w:cs="Times New Roman"/>
          <w:color w:val="FF0000"/>
          <w:lang w:val="es-MX"/>
        </w:rPr>
      </w:pPr>
    </w:p>
    <w:p w:rsidR="00243DA8" w:rsidRPr="00BA51FA" w:rsidRDefault="00243DA8" w:rsidP="00243DA8">
      <w:pPr>
        <w:pStyle w:val="Ttulo2"/>
        <w:numPr>
          <w:ilvl w:val="1"/>
          <w:numId w:val="11"/>
        </w:numPr>
        <w:spacing w:before="0"/>
        <w:rPr>
          <w:rFonts w:ascii="Times New Roman" w:hAnsi="Times New Roman" w:cs="Times New Roman"/>
          <w:color w:val="auto"/>
          <w:sz w:val="24"/>
        </w:rPr>
      </w:pPr>
      <w:bookmarkStart w:id="18" w:name="_Toc471987132"/>
      <w:bookmarkStart w:id="19" w:name="_Toc534988222"/>
      <w:r w:rsidRPr="00BA51FA">
        <w:rPr>
          <w:rFonts w:ascii="Times New Roman" w:hAnsi="Times New Roman" w:cs="Times New Roman"/>
          <w:color w:val="auto"/>
          <w:sz w:val="24"/>
        </w:rPr>
        <w:t xml:space="preserve">Acciones </w:t>
      </w:r>
      <w:r w:rsidR="005176B4" w:rsidRPr="00BA51FA">
        <w:rPr>
          <w:rFonts w:ascii="Times New Roman" w:hAnsi="Times New Roman" w:cs="Times New Roman"/>
          <w:color w:val="auto"/>
          <w:sz w:val="24"/>
        </w:rPr>
        <w:t xml:space="preserve">y logros de la SAT en </w:t>
      </w:r>
      <w:r w:rsidRPr="00BA51FA">
        <w:rPr>
          <w:rFonts w:ascii="Times New Roman" w:hAnsi="Times New Roman" w:cs="Times New Roman"/>
          <w:color w:val="auto"/>
          <w:sz w:val="24"/>
        </w:rPr>
        <w:t>201</w:t>
      </w:r>
      <w:bookmarkEnd w:id="18"/>
      <w:r w:rsidR="00BA51FA" w:rsidRPr="00BA51FA">
        <w:rPr>
          <w:rFonts w:ascii="Times New Roman" w:hAnsi="Times New Roman" w:cs="Times New Roman"/>
          <w:color w:val="auto"/>
          <w:sz w:val="24"/>
        </w:rPr>
        <w:t>8</w:t>
      </w:r>
      <w:bookmarkEnd w:id="19"/>
    </w:p>
    <w:p w:rsidR="00243DA8" w:rsidRPr="0008775B" w:rsidRDefault="00243DA8" w:rsidP="00243DA8">
      <w:pPr>
        <w:jc w:val="both"/>
        <w:rPr>
          <w:rFonts w:ascii="Times New Roman" w:hAnsi="Times New Roman" w:cs="Times New Roman"/>
          <w:color w:val="FF0000"/>
          <w:lang w:val="es-MX"/>
        </w:rPr>
      </w:pPr>
    </w:p>
    <w:p w:rsidR="001F67A2" w:rsidRDefault="001F67A2" w:rsidP="001F67A2">
      <w:pPr>
        <w:jc w:val="both"/>
        <w:rPr>
          <w:rFonts w:ascii="Times New Roman" w:hAnsi="Times New Roman" w:cs="Times New Roman"/>
          <w:lang w:val="es-MX"/>
        </w:rPr>
      </w:pPr>
      <w:r>
        <w:rPr>
          <w:rFonts w:ascii="Times New Roman" w:hAnsi="Times New Roman" w:cs="Times New Roman"/>
          <w:lang w:val="es-MX"/>
        </w:rPr>
        <w:t>Durante el ejercicio fiscal 2018 las autoridades de SAT se focalizaron en esfuerzos para establecer las herramientas y las bases que le garanticen aumentar la percepción del riesgo en los contribuyentes, a través de acciones y objetivos estratégicos que permitieran aumentar el cumplimiento tributario y aumentar el control en las aduanas del país, en pro del aumento de la recaudación.</w:t>
      </w:r>
    </w:p>
    <w:p w:rsidR="001F67A2" w:rsidRDefault="001F67A2" w:rsidP="001F67A2">
      <w:pPr>
        <w:jc w:val="both"/>
        <w:rPr>
          <w:rFonts w:ascii="Times New Roman" w:hAnsi="Times New Roman" w:cs="Times New Roman"/>
        </w:rPr>
      </w:pPr>
    </w:p>
    <w:p w:rsidR="001F67A2" w:rsidRDefault="001F67A2" w:rsidP="001F67A2">
      <w:pPr>
        <w:jc w:val="both"/>
        <w:rPr>
          <w:rFonts w:ascii="Times New Roman" w:hAnsi="Times New Roman" w:cs="Times New Roman"/>
        </w:rPr>
      </w:pPr>
      <w:r>
        <w:rPr>
          <w:rFonts w:ascii="Times New Roman" w:hAnsi="Times New Roman" w:cs="Times New Roman"/>
        </w:rPr>
        <w:lastRenderedPageBreak/>
        <w:t>Con la finalidad de implementar el nuevo Régimen de Factura Electrónica en Línea –FEL– y con ello permitir a la SAT contar con la información de facturación en línea que incluye un sistema de consultas avanzadas como modelo de control de la información, para mejorar las tareas de control y por ende reforzar la percepción de riesgo por parte del contribuyente.  Asimismo, se ha avanzado en proveer a la Agencia Virtual de una opción gratuita y se pondrán a disposición del contribuyente módulos que facilitan información relevante para el cumplimiento tributario.</w:t>
      </w:r>
    </w:p>
    <w:p w:rsidR="001F67A2" w:rsidRDefault="001F67A2" w:rsidP="001F67A2">
      <w:pPr>
        <w:jc w:val="both"/>
        <w:rPr>
          <w:rFonts w:ascii="Times New Roman" w:hAnsi="Times New Roman" w:cs="Times New Roman"/>
        </w:rPr>
      </w:pPr>
    </w:p>
    <w:p w:rsidR="001F67A2" w:rsidRDefault="001F67A2" w:rsidP="001F67A2">
      <w:pPr>
        <w:jc w:val="both"/>
        <w:rPr>
          <w:rFonts w:ascii="Times New Roman" w:hAnsi="Times New Roman" w:cs="Times New Roman"/>
        </w:rPr>
      </w:pPr>
      <w:r>
        <w:rPr>
          <w:rFonts w:ascii="Times New Roman" w:hAnsi="Times New Roman" w:cs="Times New Roman"/>
        </w:rPr>
        <w:t>En este sentido el Directorio de la SAT, mediante el Acuerdo 13-2018, autorizó el establecimiento de un Régimen de Factura Electrónica en Línea –FEL–; posteriormente, este cuerpo colegiado, aprobó la contratación de los servicios en la “nube” para que funcione como plataforma tecnológica donde funcionará todo el sistema de factura electrónica. Finalmente, en octubre de 2018, se autorizó al primer certificador del régimen FEL y se tiene en proceso de autorización a cuatro entidades, 30 contribuyentes habilitados y 373 contribuyentes debidamente notificados por parte de la SAT.</w:t>
      </w:r>
    </w:p>
    <w:p w:rsidR="001F67A2" w:rsidRDefault="001F67A2" w:rsidP="001F67A2">
      <w:pPr>
        <w:jc w:val="both"/>
        <w:rPr>
          <w:rFonts w:ascii="Times New Roman" w:hAnsi="Times New Roman" w:cs="Times New Roman"/>
        </w:rPr>
      </w:pPr>
    </w:p>
    <w:p w:rsidR="001F67A2" w:rsidRDefault="001F67A2" w:rsidP="001F67A2">
      <w:pPr>
        <w:jc w:val="both"/>
        <w:rPr>
          <w:rFonts w:ascii="Times New Roman" w:hAnsi="Times New Roman" w:cs="Times New Roman"/>
        </w:rPr>
      </w:pPr>
      <w:r>
        <w:rPr>
          <w:rFonts w:ascii="Times New Roman" w:hAnsi="Times New Roman" w:cs="Times New Roman"/>
        </w:rPr>
        <w:t>En cuanto a los esfuerzos por dar mayor capacidad recaudatoria en las aduanas, se han implementado a</w:t>
      </w:r>
      <w:r w:rsidRPr="00EE1242">
        <w:rPr>
          <w:rFonts w:ascii="Times New Roman" w:hAnsi="Times New Roman" w:cs="Times New Roman"/>
        </w:rPr>
        <w:t>cciones para disminuir los tiempos de despacho de importación</w:t>
      </w:r>
      <w:r>
        <w:rPr>
          <w:rFonts w:ascii="Times New Roman" w:hAnsi="Times New Roman" w:cs="Times New Roman"/>
        </w:rPr>
        <w:t>, sin que se observe una pérdida de control.  D</w:t>
      </w:r>
      <w:r w:rsidRPr="00EE1242">
        <w:rPr>
          <w:rFonts w:ascii="Times New Roman" w:hAnsi="Times New Roman" w:cs="Times New Roman"/>
        </w:rPr>
        <w:t xml:space="preserve">entro de las acciones que se </w:t>
      </w:r>
      <w:r>
        <w:rPr>
          <w:rFonts w:ascii="Times New Roman" w:hAnsi="Times New Roman" w:cs="Times New Roman"/>
        </w:rPr>
        <w:t>implementaron</w:t>
      </w:r>
      <w:r w:rsidRPr="00EE1242">
        <w:rPr>
          <w:rFonts w:ascii="Times New Roman" w:hAnsi="Times New Roman" w:cs="Times New Roman"/>
        </w:rPr>
        <w:t xml:space="preserve"> con el objetivo de hacer más eficiente la operación, permitiendo la disminución de los tiempos de despacho, se encuentran:</w:t>
      </w:r>
    </w:p>
    <w:p w:rsidR="001F67A2" w:rsidRPr="00917901" w:rsidRDefault="001F67A2" w:rsidP="001F67A2">
      <w:pPr>
        <w:jc w:val="both"/>
        <w:rPr>
          <w:rFonts w:ascii="Times New Roman" w:hAnsi="Times New Roman" w:cs="Times New Roman"/>
          <w:sz w:val="28"/>
        </w:rPr>
      </w:pPr>
    </w:p>
    <w:p w:rsidR="001F67A2" w:rsidRPr="005C5656" w:rsidRDefault="001F67A2" w:rsidP="001F67A2">
      <w:pPr>
        <w:pStyle w:val="Prrafodelista"/>
        <w:numPr>
          <w:ilvl w:val="0"/>
          <w:numId w:val="26"/>
        </w:numPr>
        <w:spacing w:after="160" w:line="259" w:lineRule="auto"/>
        <w:jc w:val="both"/>
        <w:rPr>
          <w:rFonts w:ascii="Times New Roman" w:hAnsi="Times New Roman" w:cs="Times New Roman"/>
          <w:sz w:val="24"/>
        </w:rPr>
      </w:pPr>
      <w:r w:rsidRPr="005C5656">
        <w:rPr>
          <w:rFonts w:ascii="Times New Roman" w:hAnsi="Times New Roman" w:cs="Times New Roman"/>
          <w:sz w:val="24"/>
        </w:rPr>
        <w:t>Capacitación y fortalecimiento de la base de valor:  A partir de 2018 se ha puesto en funcionamiento la segunda etapa del Plan de Fortalecimiento de la Administración de Valor en Aduanas, la cual abarcó lo siguiente:</w:t>
      </w:r>
    </w:p>
    <w:p w:rsidR="001F67A2" w:rsidRPr="005C5656" w:rsidRDefault="001F67A2" w:rsidP="001F67A2">
      <w:pPr>
        <w:pStyle w:val="Prrafodelista"/>
        <w:numPr>
          <w:ilvl w:val="0"/>
          <w:numId w:val="25"/>
        </w:numPr>
        <w:spacing w:after="160" w:line="259" w:lineRule="auto"/>
        <w:jc w:val="both"/>
        <w:rPr>
          <w:rFonts w:ascii="Times New Roman" w:hAnsi="Times New Roman" w:cs="Times New Roman"/>
          <w:sz w:val="24"/>
        </w:rPr>
      </w:pPr>
      <w:r w:rsidRPr="005C5656">
        <w:rPr>
          <w:rFonts w:ascii="Times New Roman" w:hAnsi="Times New Roman" w:cs="Times New Roman"/>
          <w:sz w:val="24"/>
        </w:rPr>
        <w:t>Mejoras al sistema de duda razonable en la verificación inmediata:  Esto simplificará la gestión administrativa en el proceso de la determinación en aduana de las mercancías</w:t>
      </w:r>
    </w:p>
    <w:p w:rsidR="001F67A2" w:rsidRPr="005C5656" w:rsidRDefault="001F67A2" w:rsidP="001F67A2">
      <w:pPr>
        <w:pStyle w:val="Prrafodelista"/>
        <w:numPr>
          <w:ilvl w:val="0"/>
          <w:numId w:val="25"/>
        </w:numPr>
        <w:spacing w:after="160" w:line="259" w:lineRule="auto"/>
        <w:jc w:val="both"/>
        <w:rPr>
          <w:rFonts w:ascii="Times New Roman" w:hAnsi="Times New Roman" w:cs="Times New Roman"/>
          <w:sz w:val="24"/>
        </w:rPr>
      </w:pPr>
      <w:r w:rsidRPr="005C5656">
        <w:rPr>
          <w:rFonts w:ascii="Times New Roman" w:hAnsi="Times New Roman" w:cs="Times New Roman"/>
          <w:sz w:val="24"/>
        </w:rPr>
        <w:t>Automatización de la emisión de dictámenes de clasificación y certificados de laboratorio</w:t>
      </w:r>
    </w:p>
    <w:p w:rsidR="001F67A2" w:rsidRPr="005C5656" w:rsidRDefault="001F67A2" w:rsidP="001F67A2">
      <w:pPr>
        <w:pStyle w:val="Prrafodelista"/>
        <w:numPr>
          <w:ilvl w:val="0"/>
          <w:numId w:val="25"/>
        </w:numPr>
        <w:spacing w:after="160" w:line="360" w:lineRule="auto"/>
        <w:ind w:left="1066" w:hanging="357"/>
        <w:jc w:val="both"/>
        <w:rPr>
          <w:rFonts w:ascii="Times New Roman" w:hAnsi="Times New Roman" w:cs="Times New Roman"/>
          <w:sz w:val="24"/>
        </w:rPr>
      </w:pPr>
      <w:r w:rsidRPr="005C5656">
        <w:rPr>
          <w:rFonts w:ascii="Times New Roman" w:hAnsi="Times New Roman" w:cs="Times New Roman"/>
          <w:sz w:val="24"/>
        </w:rPr>
        <w:t>Analítica de valores de riesgo en base de valor</w:t>
      </w:r>
    </w:p>
    <w:p w:rsidR="001F67A2" w:rsidRPr="00917901" w:rsidRDefault="001F67A2" w:rsidP="001F67A2">
      <w:pPr>
        <w:pStyle w:val="Prrafodelista"/>
        <w:numPr>
          <w:ilvl w:val="0"/>
          <w:numId w:val="26"/>
        </w:numPr>
        <w:spacing w:after="160" w:line="259" w:lineRule="auto"/>
        <w:jc w:val="both"/>
        <w:rPr>
          <w:rFonts w:ascii="Times New Roman" w:hAnsi="Times New Roman" w:cs="Times New Roman"/>
          <w:b/>
          <w:sz w:val="24"/>
        </w:rPr>
      </w:pPr>
      <w:r w:rsidRPr="005C5656">
        <w:rPr>
          <w:rFonts w:ascii="Times New Roman" w:hAnsi="Times New Roman" w:cs="Times New Roman"/>
          <w:sz w:val="24"/>
        </w:rPr>
        <w:t xml:space="preserve">Simplificación de procedimientos: </w:t>
      </w:r>
      <w:r w:rsidRPr="00917901">
        <w:rPr>
          <w:rFonts w:ascii="Times New Roman" w:hAnsi="Times New Roman" w:cs="Times New Roman"/>
          <w:b/>
          <w:sz w:val="24"/>
        </w:rPr>
        <w:t xml:space="preserve"> </w:t>
      </w:r>
      <w:r w:rsidRPr="00917901">
        <w:rPr>
          <w:rFonts w:ascii="Times New Roman" w:hAnsi="Times New Roman" w:cs="Times New Roman"/>
          <w:sz w:val="24"/>
        </w:rPr>
        <w:t>Revisión de los principales procedimientos que son aplicados en el proceso de despacho aduanero</w:t>
      </w:r>
    </w:p>
    <w:p w:rsidR="00917901" w:rsidRDefault="001F67A2" w:rsidP="001F67A2">
      <w:pPr>
        <w:jc w:val="both"/>
        <w:rPr>
          <w:rFonts w:ascii="Times New Roman" w:hAnsi="Times New Roman" w:cs="Times New Roman"/>
          <w:lang w:val="es-MX"/>
        </w:rPr>
      </w:pPr>
      <w:r w:rsidRPr="003F6C74">
        <w:rPr>
          <w:rFonts w:ascii="Times New Roman" w:hAnsi="Times New Roman" w:cs="Times New Roman"/>
          <w:lang w:val="es-MX"/>
        </w:rPr>
        <w:t>Dentro de los objetivos estratégicos que se planteó la SAT destaca:</w:t>
      </w:r>
    </w:p>
    <w:p w:rsidR="001F67A2" w:rsidRDefault="001F67A2" w:rsidP="001F67A2">
      <w:pPr>
        <w:jc w:val="both"/>
        <w:rPr>
          <w:rFonts w:ascii="Times New Roman" w:hAnsi="Times New Roman" w:cs="Times New Roman"/>
          <w:lang w:val="es-MX"/>
        </w:rPr>
      </w:pPr>
      <w:r w:rsidRPr="003F6C74">
        <w:rPr>
          <w:rFonts w:ascii="Times New Roman" w:hAnsi="Times New Roman" w:cs="Times New Roman"/>
          <w:lang w:val="es-MX"/>
        </w:rPr>
        <w:t xml:space="preserve"> </w:t>
      </w:r>
    </w:p>
    <w:p w:rsidR="001F67A2" w:rsidRDefault="001F67A2" w:rsidP="001F67A2">
      <w:pPr>
        <w:pStyle w:val="Prrafodelista"/>
        <w:numPr>
          <w:ilvl w:val="0"/>
          <w:numId w:val="14"/>
        </w:numPr>
        <w:jc w:val="both"/>
        <w:rPr>
          <w:rFonts w:ascii="Times New Roman" w:eastAsiaTheme="minorEastAsia" w:hAnsi="Times New Roman" w:cs="Times New Roman"/>
          <w:sz w:val="24"/>
          <w:szCs w:val="24"/>
          <w:lang w:val="es-MX" w:eastAsia="es-ES"/>
        </w:rPr>
      </w:pPr>
      <w:r w:rsidRPr="003F6C74">
        <w:rPr>
          <w:rFonts w:ascii="Times New Roman" w:eastAsiaTheme="minorEastAsia" w:hAnsi="Times New Roman" w:cs="Times New Roman"/>
          <w:sz w:val="24"/>
          <w:szCs w:val="24"/>
          <w:lang w:val="es-MX" w:eastAsia="es-ES"/>
        </w:rPr>
        <w:t xml:space="preserve">Aumentar la recaudación de impuestos a través de factores conductuales, cobros de saldos exigibles, coordinación entre las intendencias de fiscalización y aduanas, mayor ampliación en la cobertura de acceso a consultas WEB, definición de un nuevo registro tributario unificado, la ampliación de la base tributaria.  </w:t>
      </w:r>
    </w:p>
    <w:p w:rsidR="00917901" w:rsidRPr="003F6C74" w:rsidRDefault="00917901" w:rsidP="00917901">
      <w:pPr>
        <w:pStyle w:val="Prrafodelista"/>
        <w:jc w:val="both"/>
        <w:rPr>
          <w:rFonts w:ascii="Times New Roman" w:eastAsiaTheme="minorEastAsia" w:hAnsi="Times New Roman" w:cs="Times New Roman"/>
          <w:sz w:val="24"/>
          <w:szCs w:val="24"/>
          <w:lang w:val="es-MX" w:eastAsia="es-ES"/>
        </w:rPr>
      </w:pPr>
    </w:p>
    <w:p w:rsidR="001F67A2" w:rsidRPr="001F67A2" w:rsidRDefault="001F67A2" w:rsidP="001F67A2">
      <w:pPr>
        <w:jc w:val="both"/>
        <w:rPr>
          <w:rFonts w:ascii="Times New Roman" w:hAnsi="Times New Roman" w:cs="Times New Roman"/>
          <w:lang w:val="es-MX"/>
        </w:rPr>
      </w:pPr>
      <w:r w:rsidRPr="003F6C74">
        <w:rPr>
          <w:rFonts w:ascii="Times New Roman" w:hAnsi="Times New Roman" w:cs="Times New Roman"/>
          <w:lang w:val="es-MX"/>
        </w:rPr>
        <w:t>Recuperar el control en aduanas mediante la continuidad de la implementación del marchamo electrónico, implementación de Unión Aduanera Guatemala-Honduras,</w:t>
      </w:r>
      <w:r>
        <w:rPr>
          <w:rFonts w:ascii="Times New Roman" w:hAnsi="Times New Roman" w:cs="Times New Roman"/>
          <w:lang w:val="es-MX"/>
        </w:rPr>
        <w:t xml:space="preserve"> </w:t>
      </w:r>
      <w:r w:rsidRPr="001F67A2">
        <w:rPr>
          <w:rFonts w:ascii="Times New Roman" w:hAnsi="Times New Roman" w:cs="Times New Roman"/>
          <w:lang w:val="es-MX"/>
        </w:rPr>
        <w:t>implementación de acciones tendentes a reducir el contrabando, mejora en infraestructura de aduanas y aumento en la percepción de riesgo.</w:t>
      </w:r>
    </w:p>
    <w:p w:rsidR="001F67A2" w:rsidRDefault="001F67A2" w:rsidP="001F67A2">
      <w:pPr>
        <w:jc w:val="both"/>
        <w:rPr>
          <w:rFonts w:ascii="Times New Roman" w:hAnsi="Times New Roman" w:cs="Times New Roman"/>
          <w:lang w:val="es-MX"/>
        </w:rPr>
      </w:pPr>
    </w:p>
    <w:p w:rsidR="00421AD9" w:rsidRDefault="00421AD9" w:rsidP="001F67A2">
      <w:pPr>
        <w:jc w:val="both"/>
        <w:rPr>
          <w:rFonts w:ascii="Times New Roman" w:hAnsi="Times New Roman" w:cs="Times New Roman"/>
          <w:lang w:val="es-MX"/>
        </w:rPr>
      </w:pPr>
    </w:p>
    <w:p w:rsidR="001F67A2" w:rsidRPr="00FA1695" w:rsidRDefault="001F67A2" w:rsidP="001F67A2">
      <w:pPr>
        <w:jc w:val="both"/>
        <w:rPr>
          <w:rFonts w:ascii="Times New Roman" w:hAnsi="Times New Roman" w:cs="Times New Roman"/>
        </w:rPr>
      </w:pPr>
      <w:r>
        <w:rPr>
          <w:rFonts w:ascii="Times New Roman" w:hAnsi="Times New Roman" w:cs="Times New Roman"/>
          <w:lang w:val="es-ES"/>
        </w:rPr>
        <w:t>L</w:t>
      </w:r>
      <w:r w:rsidRPr="00FA1695">
        <w:rPr>
          <w:rFonts w:ascii="Times New Roman" w:hAnsi="Times New Roman" w:cs="Times New Roman"/>
          <w:lang w:val="es-ES"/>
        </w:rPr>
        <w:t xml:space="preserve">as acciones </w:t>
      </w:r>
      <w:r>
        <w:rPr>
          <w:rFonts w:ascii="Times New Roman" w:hAnsi="Times New Roman" w:cs="Times New Roman"/>
          <w:lang w:val="es-ES"/>
        </w:rPr>
        <w:t>que destacan en 2018 y que culminaron en forma positiva son</w:t>
      </w:r>
      <w:r w:rsidRPr="00FA1695">
        <w:rPr>
          <w:rFonts w:ascii="Times New Roman" w:hAnsi="Times New Roman" w:cs="Times New Roman"/>
          <w:lang w:val="es-ES"/>
        </w:rPr>
        <w:t>:</w:t>
      </w:r>
    </w:p>
    <w:p w:rsidR="001F67A2" w:rsidRDefault="001F67A2" w:rsidP="001F67A2">
      <w:pPr>
        <w:jc w:val="both"/>
        <w:rPr>
          <w:rFonts w:ascii="Times New Roman" w:hAnsi="Times New Roman" w:cs="Times New Roman"/>
          <w:b/>
          <w:lang w:val="es-ES"/>
        </w:rPr>
      </w:pPr>
    </w:p>
    <w:p w:rsidR="001F67A2" w:rsidRDefault="001F67A2" w:rsidP="001F67A2">
      <w:pPr>
        <w:jc w:val="both"/>
        <w:rPr>
          <w:rFonts w:ascii="Times New Roman" w:hAnsi="Times New Roman" w:cs="Times New Roman"/>
          <w:b/>
          <w:lang w:val="es-ES"/>
        </w:rPr>
      </w:pPr>
      <w:r w:rsidRPr="003F6C74">
        <w:rPr>
          <w:rFonts w:ascii="Times New Roman" w:hAnsi="Times New Roman" w:cs="Times New Roman"/>
          <w:b/>
          <w:lang w:val="es-ES"/>
        </w:rPr>
        <w:t>Gestión en el área jurídica</w:t>
      </w:r>
    </w:p>
    <w:p w:rsidR="001F67A2" w:rsidRPr="00713598" w:rsidRDefault="001F67A2" w:rsidP="00713598">
      <w:pPr>
        <w:numPr>
          <w:ilvl w:val="0"/>
          <w:numId w:val="15"/>
        </w:numPr>
        <w:jc w:val="both"/>
        <w:rPr>
          <w:rFonts w:ascii="Times New Roman" w:hAnsi="Times New Roman" w:cs="Times New Roman"/>
          <w:lang w:val="es-ES"/>
        </w:rPr>
      </w:pPr>
      <w:r w:rsidRPr="00074BC1">
        <w:rPr>
          <w:rFonts w:ascii="Times New Roman" w:hAnsi="Times New Roman" w:cs="Times New Roman"/>
          <w:lang w:val="es-ES"/>
        </w:rPr>
        <w:t>Durante 201</w:t>
      </w:r>
      <w:r>
        <w:rPr>
          <w:rFonts w:ascii="Times New Roman" w:hAnsi="Times New Roman" w:cs="Times New Roman"/>
          <w:lang w:val="es-ES"/>
        </w:rPr>
        <w:t>8</w:t>
      </w:r>
      <w:r w:rsidRPr="00074BC1">
        <w:rPr>
          <w:rFonts w:ascii="Times New Roman" w:hAnsi="Times New Roman" w:cs="Times New Roman"/>
          <w:lang w:val="es-ES"/>
        </w:rPr>
        <w:t>, logró recaudar Q</w:t>
      </w:r>
      <w:r>
        <w:rPr>
          <w:rFonts w:ascii="Times New Roman" w:hAnsi="Times New Roman" w:cs="Times New Roman"/>
          <w:lang w:val="es-ES"/>
        </w:rPr>
        <w:t xml:space="preserve">166.4 </w:t>
      </w:r>
      <w:r w:rsidRPr="00074BC1">
        <w:rPr>
          <w:rFonts w:ascii="Times New Roman" w:hAnsi="Times New Roman" w:cs="Times New Roman"/>
          <w:lang w:val="es-ES"/>
        </w:rPr>
        <w:t>millones de una meta de Q</w:t>
      </w:r>
      <w:r>
        <w:rPr>
          <w:rFonts w:ascii="Times New Roman" w:hAnsi="Times New Roman" w:cs="Times New Roman"/>
          <w:lang w:val="es-ES"/>
        </w:rPr>
        <w:t>450</w:t>
      </w:r>
      <w:r w:rsidRPr="00074BC1">
        <w:rPr>
          <w:rFonts w:ascii="Times New Roman" w:hAnsi="Times New Roman" w:cs="Times New Roman"/>
          <w:lang w:val="es-ES"/>
        </w:rPr>
        <w:t>, es decir, una ejecución de 81.4%:</w:t>
      </w:r>
    </w:p>
    <w:p w:rsidR="001F67A2" w:rsidRPr="00FD740F" w:rsidRDefault="001F67A2" w:rsidP="001F67A2">
      <w:pPr>
        <w:ind w:left="1080"/>
        <w:jc w:val="both"/>
        <w:rPr>
          <w:rFonts w:ascii="Times New Roman" w:hAnsi="Times New Roman" w:cs="Times New Roman"/>
          <w:b/>
          <w:bCs/>
        </w:rPr>
      </w:pPr>
      <w:r w:rsidRPr="00FD740F">
        <w:rPr>
          <w:rFonts w:ascii="Times New Roman" w:hAnsi="Times New Roman" w:cs="Times New Roman"/>
          <w:color w:val="FFFFFF" w:themeColor="background1"/>
          <w:lang w:val="es-ES"/>
        </w:rPr>
        <w:t xml:space="preserve">157 </w:t>
      </w:r>
    </w:p>
    <w:p w:rsidR="001F67A2" w:rsidRPr="00FD740F" w:rsidRDefault="001F67A2" w:rsidP="001F67A2">
      <w:pPr>
        <w:jc w:val="both"/>
        <w:rPr>
          <w:rFonts w:ascii="Times New Roman" w:hAnsi="Times New Roman" w:cs="Times New Roman"/>
          <w:b/>
          <w:lang w:val="es-ES"/>
        </w:rPr>
      </w:pPr>
      <w:r w:rsidRPr="00FD740F">
        <w:rPr>
          <w:rFonts w:ascii="Times New Roman" w:hAnsi="Times New Roman" w:cs="Times New Roman"/>
          <w:b/>
          <w:lang w:val="es-ES"/>
        </w:rPr>
        <w:t>Fiscalización</w:t>
      </w:r>
    </w:p>
    <w:p w:rsidR="001F67A2" w:rsidRPr="00917901" w:rsidRDefault="001F67A2" w:rsidP="001F67A2">
      <w:pPr>
        <w:numPr>
          <w:ilvl w:val="0"/>
          <w:numId w:val="15"/>
        </w:numPr>
        <w:jc w:val="both"/>
        <w:rPr>
          <w:rFonts w:ascii="Times New Roman" w:hAnsi="Times New Roman" w:cs="Times New Roman"/>
          <w:lang w:val="es-ES"/>
        </w:rPr>
      </w:pPr>
      <w:r w:rsidRPr="00074BC1">
        <w:rPr>
          <w:rFonts w:ascii="Times New Roman" w:hAnsi="Times New Roman" w:cs="Times New Roman"/>
          <w:lang w:val="es-ES"/>
        </w:rPr>
        <w:t>Durante 201</w:t>
      </w:r>
      <w:r>
        <w:rPr>
          <w:rFonts w:ascii="Times New Roman" w:hAnsi="Times New Roman" w:cs="Times New Roman"/>
          <w:lang w:val="es-ES"/>
        </w:rPr>
        <w:t>8</w:t>
      </w:r>
      <w:r w:rsidRPr="00074BC1">
        <w:rPr>
          <w:rFonts w:ascii="Times New Roman" w:hAnsi="Times New Roman" w:cs="Times New Roman"/>
          <w:lang w:val="es-ES"/>
        </w:rPr>
        <w:t>, logró recaudar Q</w:t>
      </w:r>
      <w:r>
        <w:rPr>
          <w:rFonts w:ascii="Times New Roman" w:hAnsi="Times New Roman" w:cs="Times New Roman"/>
          <w:lang w:val="es-ES"/>
        </w:rPr>
        <w:t xml:space="preserve"> 73.4 </w:t>
      </w:r>
      <w:r w:rsidRPr="00074BC1">
        <w:rPr>
          <w:rFonts w:ascii="Times New Roman" w:hAnsi="Times New Roman" w:cs="Times New Roman"/>
          <w:lang w:val="es-ES"/>
        </w:rPr>
        <w:t>millones de una meta de Q</w:t>
      </w:r>
      <w:r>
        <w:rPr>
          <w:rFonts w:ascii="Times New Roman" w:hAnsi="Times New Roman" w:cs="Times New Roman"/>
          <w:lang w:val="es-ES"/>
        </w:rPr>
        <w:t>500 millones</w:t>
      </w:r>
      <w:r w:rsidRPr="00074BC1">
        <w:rPr>
          <w:rFonts w:ascii="Times New Roman" w:hAnsi="Times New Roman" w:cs="Times New Roman"/>
          <w:lang w:val="es-ES"/>
        </w:rPr>
        <w:t xml:space="preserve">, es decir, una ejecución de </w:t>
      </w:r>
      <w:r>
        <w:rPr>
          <w:rFonts w:ascii="Times New Roman" w:hAnsi="Times New Roman" w:cs="Times New Roman"/>
          <w:lang w:val="es-ES"/>
        </w:rPr>
        <w:t>14.7</w:t>
      </w:r>
      <w:r w:rsidRPr="00074BC1">
        <w:rPr>
          <w:rFonts w:ascii="Times New Roman" w:hAnsi="Times New Roman" w:cs="Times New Roman"/>
          <w:lang w:val="es-ES"/>
        </w:rPr>
        <w:t>%:</w:t>
      </w:r>
    </w:p>
    <w:p w:rsidR="00421AD9" w:rsidRDefault="00421AD9" w:rsidP="001F67A2">
      <w:pPr>
        <w:jc w:val="both"/>
        <w:rPr>
          <w:rFonts w:ascii="Times New Roman" w:hAnsi="Times New Roman" w:cs="Times New Roman"/>
          <w:b/>
          <w:bCs/>
        </w:rPr>
      </w:pPr>
    </w:p>
    <w:p w:rsidR="001F67A2" w:rsidRDefault="001F67A2" w:rsidP="001F67A2">
      <w:pPr>
        <w:jc w:val="both"/>
        <w:rPr>
          <w:rFonts w:ascii="Times New Roman" w:hAnsi="Times New Roman" w:cs="Times New Roman"/>
          <w:b/>
          <w:bCs/>
        </w:rPr>
      </w:pPr>
      <w:r w:rsidRPr="00074BC1">
        <w:rPr>
          <w:rFonts w:ascii="Times New Roman" w:hAnsi="Times New Roman" w:cs="Times New Roman"/>
          <w:b/>
          <w:bCs/>
        </w:rPr>
        <w:t>Gestión en impuestos internos</w:t>
      </w:r>
    </w:p>
    <w:p w:rsidR="001F67A2" w:rsidRPr="00FD740F" w:rsidRDefault="001F67A2" w:rsidP="001F67A2">
      <w:pPr>
        <w:pStyle w:val="Prrafodelista"/>
        <w:numPr>
          <w:ilvl w:val="0"/>
          <w:numId w:val="27"/>
        </w:numPr>
        <w:spacing w:after="160" w:line="259" w:lineRule="auto"/>
        <w:jc w:val="both"/>
        <w:rPr>
          <w:rFonts w:ascii="Times New Roman" w:hAnsi="Times New Roman" w:cs="Times New Roman"/>
        </w:rPr>
      </w:pPr>
      <w:r w:rsidRPr="00FD740F">
        <w:rPr>
          <w:rFonts w:ascii="Times New Roman" w:hAnsi="Times New Roman" w:cs="Times New Roman"/>
          <w:lang w:val="es-ES"/>
        </w:rPr>
        <w:t xml:space="preserve">Durante 2018, logró recaudar Q </w:t>
      </w:r>
      <w:r>
        <w:rPr>
          <w:rFonts w:ascii="Times New Roman" w:hAnsi="Times New Roman" w:cs="Times New Roman"/>
          <w:lang w:val="es-ES"/>
        </w:rPr>
        <w:t>1227.0</w:t>
      </w:r>
      <w:r w:rsidRPr="00FD740F">
        <w:rPr>
          <w:rFonts w:ascii="Times New Roman" w:hAnsi="Times New Roman" w:cs="Times New Roman"/>
          <w:lang w:val="es-ES"/>
        </w:rPr>
        <w:t xml:space="preserve"> millones de una meta de Q</w:t>
      </w:r>
      <w:r>
        <w:rPr>
          <w:rFonts w:ascii="Times New Roman" w:hAnsi="Times New Roman" w:cs="Times New Roman"/>
          <w:lang w:val="es-ES"/>
        </w:rPr>
        <w:t xml:space="preserve"> 1,000</w:t>
      </w:r>
      <w:r w:rsidRPr="00FD740F">
        <w:rPr>
          <w:rFonts w:ascii="Times New Roman" w:hAnsi="Times New Roman" w:cs="Times New Roman"/>
          <w:lang w:val="es-ES"/>
        </w:rPr>
        <w:t xml:space="preserve"> millones, es decir, una ejecución de </w:t>
      </w:r>
      <w:r>
        <w:rPr>
          <w:rFonts w:ascii="Times New Roman" w:hAnsi="Times New Roman" w:cs="Times New Roman"/>
          <w:lang w:val="es-ES"/>
        </w:rPr>
        <w:t>122.7</w:t>
      </w:r>
      <w:r w:rsidRPr="00FD740F">
        <w:rPr>
          <w:rFonts w:ascii="Times New Roman" w:hAnsi="Times New Roman" w:cs="Times New Roman"/>
          <w:lang w:val="es-ES"/>
        </w:rPr>
        <w:t>%</w:t>
      </w:r>
    </w:p>
    <w:p w:rsidR="001F67A2" w:rsidRPr="00672F64" w:rsidRDefault="001F67A2" w:rsidP="001F67A2">
      <w:pPr>
        <w:pStyle w:val="Prrafodelista"/>
        <w:numPr>
          <w:ilvl w:val="0"/>
          <w:numId w:val="27"/>
        </w:numPr>
        <w:spacing w:after="160" w:line="259" w:lineRule="auto"/>
        <w:jc w:val="both"/>
        <w:rPr>
          <w:rFonts w:ascii="Times New Roman" w:hAnsi="Times New Roman" w:cs="Times New Roman"/>
          <w:lang w:val="es-ES"/>
        </w:rPr>
      </w:pPr>
      <w:r w:rsidRPr="00672F64">
        <w:rPr>
          <w:rFonts w:ascii="Times New Roman" w:hAnsi="Times New Roman" w:cs="Times New Roman"/>
          <w:lang w:val="es-ES"/>
        </w:rPr>
        <w:t>Masificación en el uso de medios electrónicos.</w:t>
      </w:r>
    </w:p>
    <w:p w:rsidR="001F67A2" w:rsidRDefault="001F67A2" w:rsidP="001F67A2">
      <w:pPr>
        <w:jc w:val="both"/>
        <w:rPr>
          <w:rFonts w:ascii="Times New Roman" w:hAnsi="Times New Roman" w:cs="Times New Roman"/>
        </w:rPr>
      </w:pPr>
      <w:r>
        <w:rPr>
          <w:rFonts w:ascii="Times New Roman" w:hAnsi="Times New Roman" w:cs="Times New Roman"/>
          <w:lang w:val="es-MX"/>
        </w:rPr>
        <w:t>El rendimiento de los objetivos estratégicos que se planteó SAT se vieron afectados por factores externos e internos de los externos destacan la variación en el tipo de cambio de la moneda nacional y la oscilación en el precio internacional del petróleo, de los internos están los relacionados con aspectos legales tales como las resoluciones emitidas por la Corte de Constitucionalidad relacionadas con la suspensión del acceso a la información bancaria, que interfirió en los procesos de fiscalización y aumento en la percepción de riesgo,  además de estos factores, también existieron aspectos de índole político que coadyuvaron en la ralentización de la economía nacional.</w:t>
      </w:r>
    </w:p>
    <w:p w:rsidR="003F6C74" w:rsidRPr="0008775B" w:rsidRDefault="00917901" w:rsidP="003F6C74">
      <w:pPr>
        <w:jc w:val="both"/>
        <w:rPr>
          <w:rFonts w:ascii="Times New Roman" w:hAnsi="Times New Roman" w:cs="Times New Roman"/>
          <w:color w:val="FF0000"/>
          <w:lang w:val="es-MX"/>
        </w:rPr>
      </w:pPr>
      <w:r>
        <w:rPr>
          <w:rFonts w:ascii="Times New Roman" w:hAnsi="Times New Roman" w:cs="Times New Roman"/>
          <w:color w:val="FF0000"/>
          <w:lang w:val="es-MX"/>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520"/>
      </w:tblGrid>
      <w:tr w:rsidR="001F67A2" w:rsidRPr="001F67A2" w:rsidTr="00364844">
        <w:tc>
          <w:tcPr>
            <w:tcW w:w="4434" w:type="dxa"/>
          </w:tcPr>
          <w:p w:rsidR="003F6C74" w:rsidRPr="001F67A2" w:rsidRDefault="003F6C74" w:rsidP="00364844">
            <w:pPr>
              <w:jc w:val="center"/>
              <w:rPr>
                <w:rFonts w:ascii="Times New Roman" w:hAnsi="Times New Roman" w:cs="Times New Roman"/>
                <w:b/>
                <w:lang w:val="es-MX"/>
              </w:rPr>
            </w:pPr>
            <w:r w:rsidRPr="001F67A2">
              <w:rPr>
                <w:rFonts w:ascii="Times New Roman" w:hAnsi="Times New Roman" w:cs="Times New Roman"/>
                <w:b/>
                <w:lang w:val="es-MX"/>
              </w:rPr>
              <w:t xml:space="preserve">Estructura de los principales impuestos </w:t>
            </w:r>
          </w:p>
          <w:p w:rsidR="003F6C74" w:rsidRPr="001F67A2" w:rsidRDefault="003F6C74" w:rsidP="00364844">
            <w:pPr>
              <w:jc w:val="center"/>
              <w:rPr>
                <w:rFonts w:ascii="Times New Roman" w:hAnsi="Times New Roman" w:cs="Times New Roman"/>
                <w:lang w:val="es-MX"/>
              </w:rPr>
            </w:pPr>
            <w:r w:rsidRPr="001F67A2">
              <w:rPr>
                <w:rFonts w:ascii="Times New Roman" w:hAnsi="Times New Roman" w:cs="Times New Roman"/>
                <w:b/>
                <w:lang w:val="es-MX"/>
              </w:rPr>
              <w:t xml:space="preserve"> </w:t>
            </w:r>
            <w:r w:rsidRPr="001F67A2">
              <w:rPr>
                <w:rFonts w:ascii="Times New Roman" w:hAnsi="Times New Roman" w:cs="Times New Roman"/>
                <w:sz w:val="18"/>
                <w:lang w:val="es-MX"/>
              </w:rPr>
              <w:t>en Porcentaje</w:t>
            </w:r>
          </w:p>
        </w:tc>
        <w:tc>
          <w:tcPr>
            <w:tcW w:w="4404" w:type="dxa"/>
          </w:tcPr>
          <w:p w:rsidR="003F6C74" w:rsidRPr="001F67A2" w:rsidRDefault="003F6C74" w:rsidP="00364844">
            <w:pPr>
              <w:jc w:val="center"/>
              <w:rPr>
                <w:rFonts w:ascii="Times New Roman" w:hAnsi="Times New Roman" w:cs="Times New Roman"/>
                <w:b/>
                <w:lang w:val="es-MX"/>
              </w:rPr>
            </w:pPr>
            <w:r w:rsidRPr="001F67A2">
              <w:rPr>
                <w:rFonts w:ascii="Times New Roman" w:hAnsi="Times New Roman" w:cs="Times New Roman"/>
                <w:b/>
                <w:lang w:val="es-MX"/>
              </w:rPr>
              <w:t>Recaudación tributaria</w:t>
            </w:r>
          </w:p>
          <w:p w:rsidR="003F6C74" w:rsidRPr="001F67A2" w:rsidRDefault="003F6C74" w:rsidP="00364844">
            <w:pPr>
              <w:jc w:val="center"/>
              <w:rPr>
                <w:rFonts w:ascii="Times New Roman" w:hAnsi="Times New Roman" w:cs="Times New Roman"/>
                <w:lang w:val="es-MX"/>
              </w:rPr>
            </w:pPr>
            <w:r w:rsidRPr="001F67A2">
              <w:rPr>
                <w:rFonts w:ascii="Times New Roman" w:hAnsi="Times New Roman" w:cs="Times New Roman"/>
                <w:sz w:val="18"/>
                <w:lang w:val="es-MX"/>
              </w:rPr>
              <w:t>Millones de quetzales</w:t>
            </w:r>
          </w:p>
        </w:tc>
      </w:tr>
      <w:tr w:rsidR="001F67A2" w:rsidRPr="001F67A2" w:rsidTr="00364844">
        <w:tc>
          <w:tcPr>
            <w:tcW w:w="4434" w:type="dxa"/>
          </w:tcPr>
          <w:p w:rsidR="003F6C74" w:rsidRPr="001F67A2" w:rsidRDefault="001F67A2" w:rsidP="00364844">
            <w:pPr>
              <w:jc w:val="both"/>
              <w:rPr>
                <w:rFonts w:ascii="Times New Roman" w:hAnsi="Times New Roman" w:cs="Times New Roman"/>
                <w:lang w:val="es-MX"/>
              </w:rPr>
            </w:pPr>
            <w:r w:rsidRPr="001F67A2">
              <w:rPr>
                <w:rFonts w:ascii="Times New Roman" w:hAnsi="Times New Roman" w:cs="Times New Roman"/>
                <w:noProof/>
                <w:highlight w:val="yellow"/>
                <w:lang w:val="es-GT" w:eastAsia="es-GT"/>
              </w:rPr>
              <w:drawing>
                <wp:inline distT="0" distB="0" distL="0" distR="0" wp14:anchorId="7F2D93CD" wp14:editId="128C08E6">
                  <wp:extent cx="2753248" cy="2612571"/>
                  <wp:effectExtent l="0" t="0" r="0" b="0"/>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404" w:type="dxa"/>
          </w:tcPr>
          <w:p w:rsidR="003F6C74" w:rsidRPr="001F67A2" w:rsidRDefault="001F67A2" w:rsidP="00364844">
            <w:pPr>
              <w:jc w:val="both"/>
              <w:rPr>
                <w:rFonts w:ascii="Times New Roman" w:hAnsi="Times New Roman" w:cs="Times New Roman"/>
                <w:lang w:val="es-MX"/>
              </w:rPr>
            </w:pPr>
            <w:r w:rsidRPr="001F67A2">
              <w:rPr>
                <w:rFonts w:ascii="Times New Roman" w:hAnsi="Times New Roman" w:cs="Times New Roman"/>
                <w:noProof/>
                <w:highlight w:val="yellow"/>
                <w:lang w:val="es-GT" w:eastAsia="es-GT"/>
              </w:rPr>
              <w:drawing>
                <wp:inline distT="0" distB="0" distL="0" distR="0" wp14:anchorId="213E28E9" wp14:editId="68B445D0">
                  <wp:extent cx="2733152" cy="2612571"/>
                  <wp:effectExtent l="0" t="0" r="0" b="0"/>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3F6C74" w:rsidRPr="00917901" w:rsidRDefault="003F6C74" w:rsidP="003F6C74">
      <w:pPr>
        <w:jc w:val="both"/>
        <w:rPr>
          <w:rFonts w:ascii="Times New Roman" w:hAnsi="Times New Roman" w:cs="Times New Roman"/>
          <w:sz w:val="16"/>
          <w:lang w:val="es-MX"/>
        </w:rPr>
      </w:pPr>
      <w:r w:rsidRPr="00917901">
        <w:rPr>
          <w:rFonts w:ascii="Times New Roman" w:hAnsi="Times New Roman" w:cs="Times New Roman"/>
          <w:sz w:val="16"/>
          <w:lang w:val="es-MX"/>
        </w:rPr>
        <w:t>Fuente: Dirección de Análisis y Política Fiscal</w:t>
      </w:r>
    </w:p>
    <w:p w:rsidR="00243DA8" w:rsidRPr="0008775B" w:rsidRDefault="00243DA8" w:rsidP="00243DA8">
      <w:pPr>
        <w:jc w:val="both"/>
        <w:rPr>
          <w:rFonts w:ascii="Times New Roman" w:hAnsi="Times New Roman" w:cs="Times New Roman"/>
          <w:color w:val="FF0000"/>
          <w:lang w:val="es-MX"/>
        </w:rPr>
      </w:pPr>
    </w:p>
    <w:p w:rsidR="00243DA8" w:rsidRPr="00534328" w:rsidRDefault="003F6C74" w:rsidP="00243DA8">
      <w:pPr>
        <w:pStyle w:val="Ttulo2"/>
        <w:numPr>
          <w:ilvl w:val="1"/>
          <w:numId w:val="11"/>
        </w:numPr>
        <w:spacing w:before="0"/>
        <w:rPr>
          <w:rFonts w:ascii="Times New Roman" w:hAnsi="Times New Roman" w:cs="Times New Roman"/>
          <w:color w:val="auto"/>
          <w:sz w:val="24"/>
        </w:rPr>
      </w:pPr>
      <w:bookmarkStart w:id="20" w:name="_Toc534988223"/>
      <w:r w:rsidRPr="00534328">
        <w:rPr>
          <w:rFonts w:ascii="Times New Roman" w:hAnsi="Times New Roman" w:cs="Times New Roman"/>
          <w:color w:val="auto"/>
          <w:sz w:val="24"/>
        </w:rPr>
        <w:t>Análisis de la recaudación tributaria 201</w:t>
      </w:r>
      <w:r w:rsidR="00534328" w:rsidRPr="00534328">
        <w:rPr>
          <w:rFonts w:ascii="Times New Roman" w:hAnsi="Times New Roman" w:cs="Times New Roman"/>
          <w:color w:val="auto"/>
          <w:sz w:val="24"/>
        </w:rPr>
        <w:t>8</w:t>
      </w:r>
      <w:r w:rsidR="00243DA8" w:rsidRPr="00534328">
        <w:rPr>
          <w:rFonts w:ascii="Times New Roman" w:hAnsi="Times New Roman" w:cs="Times New Roman"/>
          <w:color w:val="auto"/>
          <w:sz w:val="24"/>
        </w:rPr>
        <w:t>.</w:t>
      </w:r>
      <w:bookmarkEnd w:id="20"/>
    </w:p>
    <w:p w:rsidR="00243DA8" w:rsidRPr="0008775B" w:rsidRDefault="00243DA8" w:rsidP="00243DA8">
      <w:pPr>
        <w:jc w:val="both"/>
        <w:rPr>
          <w:rFonts w:ascii="Times New Roman" w:hAnsi="Times New Roman" w:cs="Times New Roman"/>
          <w:color w:val="FF0000"/>
        </w:rPr>
      </w:pPr>
    </w:p>
    <w:p w:rsidR="00534328" w:rsidRPr="006D4BF0" w:rsidRDefault="00534328" w:rsidP="00534328">
      <w:pPr>
        <w:jc w:val="both"/>
        <w:rPr>
          <w:rFonts w:ascii="Times New Roman" w:hAnsi="Times New Roman" w:cs="Times New Roman"/>
        </w:rPr>
      </w:pPr>
      <w:r w:rsidRPr="006D4BF0">
        <w:rPr>
          <w:rFonts w:ascii="Times New Roman" w:hAnsi="Times New Roman" w:cs="Times New Roman"/>
        </w:rPr>
        <w:t>El ejercicio fiscal 2018 da cuenta de un cierre preliminar de recaudación tributaria en el orden de Q58,835.</w:t>
      </w:r>
      <w:r w:rsidR="00421AD9">
        <w:rPr>
          <w:rFonts w:ascii="Times New Roman" w:hAnsi="Times New Roman" w:cs="Times New Roman"/>
        </w:rPr>
        <w:t>6</w:t>
      </w:r>
      <w:r w:rsidRPr="006D4BF0">
        <w:rPr>
          <w:rFonts w:ascii="Times New Roman" w:hAnsi="Times New Roman" w:cs="Times New Roman"/>
        </w:rPr>
        <w:t xml:space="preserve"> millones equivalentes a 10 como porcentaje del PIB, este resultado refleja un crecimiento de 3.8% (Q2,151.</w:t>
      </w:r>
      <w:r w:rsidR="00421AD9">
        <w:rPr>
          <w:rFonts w:ascii="Times New Roman" w:hAnsi="Times New Roman" w:cs="Times New Roman"/>
        </w:rPr>
        <w:t>5</w:t>
      </w:r>
      <w:r w:rsidRPr="006D4BF0">
        <w:rPr>
          <w:rFonts w:ascii="Times New Roman" w:hAnsi="Times New Roman" w:cs="Times New Roman"/>
        </w:rPr>
        <w:t xml:space="preserve"> millones) respecto a lo observado el año anterior, dentro de los factores positivos que permitieron este crecimiento están el impulso positivo en el IVA total que superó lo observado en 2017 en Q1,54</w:t>
      </w:r>
      <w:r w:rsidR="00421AD9">
        <w:rPr>
          <w:rFonts w:ascii="Times New Roman" w:hAnsi="Times New Roman" w:cs="Times New Roman"/>
        </w:rPr>
        <w:t>5.8</w:t>
      </w:r>
      <w:r w:rsidRPr="006D4BF0">
        <w:rPr>
          <w:rFonts w:ascii="Times New Roman" w:hAnsi="Times New Roman" w:cs="Times New Roman"/>
        </w:rPr>
        <w:t xml:space="preserve"> millones, además destacan impuestos como el de </w:t>
      </w:r>
      <w:r w:rsidRPr="006D4BF0">
        <w:rPr>
          <w:rFonts w:ascii="Times New Roman" w:hAnsi="Times New Roman" w:cs="Times New Roman"/>
        </w:rPr>
        <w:lastRenderedPageBreak/>
        <w:t>solidaridad, los derechos arancelarios a la importación, el de derivados del petróleo, el de circulación de vehículos, el de distribución de bebidas, el de cemento y el de regalías e hidrocarburos compartibles, aspectos negativos destaca la caída en el Impuesto a la renta el cual no alcanzo lo observado en 2017 dejando de recaudar Q70.</w:t>
      </w:r>
      <w:r w:rsidR="00421AD9">
        <w:rPr>
          <w:rFonts w:ascii="Times New Roman" w:hAnsi="Times New Roman" w:cs="Times New Roman"/>
        </w:rPr>
        <w:t>6</w:t>
      </w:r>
      <w:r w:rsidRPr="006D4BF0">
        <w:rPr>
          <w:rFonts w:ascii="Times New Roman" w:hAnsi="Times New Roman" w:cs="Times New Roman"/>
        </w:rPr>
        <w:t xml:space="preserve"> millones.</w:t>
      </w:r>
    </w:p>
    <w:p w:rsidR="00534328" w:rsidRPr="006D4BF0" w:rsidRDefault="00534328" w:rsidP="00534328">
      <w:pPr>
        <w:jc w:val="both"/>
        <w:rPr>
          <w:rFonts w:ascii="Times New Roman" w:hAnsi="Times New Roman" w:cs="Times New Roman"/>
        </w:rPr>
      </w:pPr>
    </w:p>
    <w:p w:rsidR="00534328" w:rsidRPr="006D4BF0" w:rsidRDefault="00534328" w:rsidP="00534328">
      <w:pPr>
        <w:jc w:val="both"/>
        <w:rPr>
          <w:rFonts w:ascii="Times New Roman" w:hAnsi="Times New Roman" w:cs="Times New Roman"/>
        </w:rPr>
      </w:pPr>
      <w:r w:rsidRPr="006D4BF0">
        <w:rPr>
          <w:rFonts w:ascii="Times New Roman" w:hAnsi="Times New Roman" w:cs="Times New Roman"/>
        </w:rPr>
        <w:t>La recaudación tributaria respecto a la meta de presupuesto generó una brecha positiva de Q840.</w:t>
      </w:r>
      <w:r w:rsidR="00421AD9">
        <w:rPr>
          <w:rFonts w:ascii="Times New Roman" w:hAnsi="Times New Roman" w:cs="Times New Roman"/>
        </w:rPr>
        <w:t>8</w:t>
      </w:r>
      <w:r w:rsidRPr="006D4BF0">
        <w:rPr>
          <w:rFonts w:ascii="Times New Roman" w:hAnsi="Times New Roman" w:cs="Times New Roman"/>
        </w:rPr>
        <w:t xml:space="preserve"> millones, esta brecha se generó en impuestos como al patrimonio, IVA total, al cemento y regalías e hidrocarburos compartibles que sumados dan Q1,34</w:t>
      </w:r>
      <w:r w:rsidR="00421AD9">
        <w:rPr>
          <w:rFonts w:ascii="Times New Roman" w:hAnsi="Times New Roman" w:cs="Times New Roman"/>
        </w:rPr>
        <w:t>1.8</w:t>
      </w:r>
      <w:r w:rsidRPr="006D4BF0">
        <w:rPr>
          <w:rFonts w:ascii="Times New Roman" w:hAnsi="Times New Roman" w:cs="Times New Roman"/>
        </w:rPr>
        <w:t xml:space="preserve"> millones, el resto de impuestos no alcanzaron la meta de los cuales destacan impuestos como los derechos arancelarios a la importación, derivados del petróleo, circulación de vehículos e impuesto a la primera matrícula entre otros. </w:t>
      </w:r>
    </w:p>
    <w:p w:rsidR="00534328" w:rsidRPr="0008775B" w:rsidRDefault="00534328" w:rsidP="003F6C74">
      <w:pPr>
        <w:jc w:val="both"/>
        <w:rPr>
          <w:rFonts w:ascii="Times New Roman" w:hAnsi="Times New Roman" w:cs="Times New Roman"/>
          <w:color w:val="FF0000"/>
          <w:highlight w:val="yellow"/>
        </w:rPr>
      </w:pPr>
    </w:p>
    <w:p w:rsidR="003F6C74" w:rsidRPr="007A47E6" w:rsidRDefault="003F6C74" w:rsidP="003F6C74">
      <w:pPr>
        <w:jc w:val="center"/>
        <w:rPr>
          <w:rFonts w:ascii="Times New Roman" w:hAnsi="Times New Roman" w:cs="Times New Roman"/>
          <w:b/>
        </w:rPr>
      </w:pPr>
      <w:r w:rsidRPr="007A47E6">
        <w:rPr>
          <w:rFonts w:ascii="Times New Roman" w:hAnsi="Times New Roman" w:cs="Times New Roman"/>
          <w:b/>
        </w:rPr>
        <w:t>Recaudación tributaria</w:t>
      </w:r>
    </w:p>
    <w:p w:rsidR="003F6C74" w:rsidRPr="007A47E6" w:rsidRDefault="003F6C74" w:rsidP="003F6C74">
      <w:pPr>
        <w:jc w:val="center"/>
        <w:rPr>
          <w:rFonts w:ascii="Times New Roman" w:hAnsi="Times New Roman" w:cs="Times New Roman"/>
          <w:sz w:val="18"/>
        </w:rPr>
      </w:pPr>
      <w:r w:rsidRPr="007A47E6">
        <w:rPr>
          <w:rFonts w:ascii="Times New Roman" w:hAnsi="Times New Roman" w:cs="Times New Roman"/>
          <w:sz w:val="18"/>
        </w:rPr>
        <w:t>Millones de quetzales y porcentajes</w:t>
      </w:r>
    </w:p>
    <w:tbl>
      <w:tblPr>
        <w:tblW w:w="9566" w:type="dxa"/>
        <w:jc w:val="center"/>
        <w:tblCellMar>
          <w:left w:w="70" w:type="dxa"/>
          <w:right w:w="70" w:type="dxa"/>
        </w:tblCellMar>
        <w:tblLook w:val="04A0" w:firstRow="1" w:lastRow="0" w:firstColumn="1" w:lastColumn="0" w:noHBand="0" w:noVBand="1"/>
      </w:tblPr>
      <w:tblGrid>
        <w:gridCol w:w="2870"/>
        <w:gridCol w:w="795"/>
        <w:gridCol w:w="795"/>
        <w:gridCol w:w="993"/>
        <w:gridCol w:w="1055"/>
        <w:gridCol w:w="1014"/>
        <w:gridCol w:w="1022"/>
        <w:gridCol w:w="1022"/>
      </w:tblGrid>
      <w:tr w:rsidR="007A47E6" w:rsidRPr="007A47E6" w:rsidTr="007F6D2F">
        <w:trPr>
          <w:trHeight w:val="337"/>
          <w:jc w:val="center"/>
        </w:trPr>
        <w:tc>
          <w:tcPr>
            <w:tcW w:w="2870" w:type="dxa"/>
            <w:vMerge w:val="restart"/>
            <w:tcBorders>
              <w:top w:val="single" w:sz="8" w:space="0" w:color="auto"/>
              <w:left w:val="single" w:sz="8" w:space="0" w:color="auto"/>
              <w:bottom w:val="single" w:sz="8" w:space="0" w:color="000000"/>
              <w:right w:val="single" w:sz="8" w:space="0" w:color="auto"/>
            </w:tcBorders>
            <w:shd w:val="clear" w:color="FFFFCC" w:fill="FFFFCC"/>
            <w:noWrap/>
            <w:vAlign w:val="center"/>
            <w:hideMark/>
          </w:tcPr>
          <w:p w:rsidR="007A47E6" w:rsidRPr="007A47E6" w:rsidRDefault="007A47E6" w:rsidP="007F6D2F">
            <w:pPr>
              <w:jc w:val="center"/>
              <w:rPr>
                <w:rFonts w:ascii="Times New Roman" w:eastAsia="Times New Roman" w:hAnsi="Times New Roman" w:cs="Times New Roman"/>
                <w:b/>
                <w:bCs/>
                <w:sz w:val="16"/>
                <w:szCs w:val="28"/>
                <w:lang w:eastAsia="es-GT"/>
              </w:rPr>
            </w:pPr>
            <w:r w:rsidRPr="007A47E6">
              <w:rPr>
                <w:rFonts w:ascii="Times New Roman" w:eastAsia="Times New Roman" w:hAnsi="Times New Roman" w:cs="Times New Roman"/>
                <w:b/>
                <w:bCs/>
                <w:sz w:val="16"/>
                <w:szCs w:val="28"/>
                <w:lang w:eastAsia="es-GT"/>
              </w:rPr>
              <w:t>Impuestos</w:t>
            </w:r>
          </w:p>
        </w:tc>
        <w:tc>
          <w:tcPr>
            <w:tcW w:w="795" w:type="dxa"/>
            <w:vMerge w:val="restart"/>
            <w:tcBorders>
              <w:top w:val="single" w:sz="8" w:space="0" w:color="auto"/>
              <w:left w:val="single" w:sz="8" w:space="0" w:color="auto"/>
              <w:bottom w:val="single" w:sz="8" w:space="0" w:color="000000"/>
              <w:right w:val="single" w:sz="8" w:space="0" w:color="auto"/>
            </w:tcBorders>
            <w:shd w:val="clear" w:color="FFFFCC" w:fill="FFFFCC"/>
            <w:noWrap/>
            <w:vAlign w:val="center"/>
            <w:hideMark/>
          </w:tcPr>
          <w:p w:rsidR="007A47E6" w:rsidRPr="007A47E6" w:rsidRDefault="007A47E6" w:rsidP="007F6D2F">
            <w:pPr>
              <w:jc w:val="center"/>
              <w:rPr>
                <w:rFonts w:ascii="Times New Roman" w:eastAsia="Times New Roman" w:hAnsi="Times New Roman" w:cs="Times New Roman"/>
                <w:b/>
                <w:bCs/>
                <w:sz w:val="16"/>
                <w:szCs w:val="28"/>
                <w:lang w:eastAsia="es-GT"/>
              </w:rPr>
            </w:pPr>
            <w:r w:rsidRPr="007A47E6">
              <w:rPr>
                <w:rFonts w:ascii="Times New Roman" w:eastAsia="Times New Roman" w:hAnsi="Times New Roman" w:cs="Times New Roman"/>
                <w:b/>
                <w:bCs/>
                <w:sz w:val="16"/>
                <w:szCs w:val="28"/>
                <w:lang w:eastAsia="es-GT"/>
              </w:rPr>
              <w:t>2017</w:t>
            </w:r>
          </w:p>
        </w:tc>
        <w:tc>
          <w:tcPr>
            <w:tcW w:w="795" w:type="dxa"/>
            <w:vMerge w:val="restart"/>
            <w:tcBorders>
              <w:top w:val="single" w:sz="8" w:space="0" w:color="auto"/>
              <w:left w:val="single" w:sz="8" w:space="0" w:color="auto"/>
              <w:bottom w:val="single" w:sz="8" w:space="0" w:color="000000"/>
              <w:right w:val="single" w:sz="8" w:space="0" w:color="auto"/>
            </w:tcBorders>
            <w:shd w:val="clear" w:color="FFFFCC" w:fill="FFFFCC"/>
            <w:noWrap/>
            <w:vAlign w:val="center"/>
            <w:hideMark/>
          </w:tcPr>
          <w:p w:rsidR="007A47E6" w:rsidRPr="007A47E6" w:rsidRDefault="007A47E6" w:rsidP="007F6D2F">
            <w:pPr>
              <w:jc w:val="center"/>
              <w:rPr>
                <w:rFonts w:ascii="Times New Roman" w:eastAsia="Times New Roman" w:hAnsi="Times New Roman" w:cs="Times New Roman"/>
                <w:b/>
                <w:bCs/>
                <w:sz w:val="16"/>
                <w:szCs w:val="28"/>
                <w:lang w:eastAsia="es-GT"/>
              </w:rPr>
            </w:pPr>
            <w:r w:rsidRPr="007A47E6">
              <w:rPr>
                <w:rFonts w:ascii="Times New Roman" w:eastAsia="Times New Roman" w:hAnsi="Times New Roman" w:cs="Times New Roman"/>
                <w:b/>
                <w:bCs/>
                <w:sz w:val="16"/>
                <w:szCs w:val="28"/>
                <w:lang w:eastAsia="es-GT"/>
              </w:rPr>
              <w:t>2018</w:t>
            </w:r>
          </w:p>
        </w:tc>
        <w:tc>
          <w:tcPr>
            <w:tcW w:w="993" w:type="dxa"/>
            <w:vMerge w:val="restart"/>
            <w:tcBorders>
              <w:top w:val="single" w:sz="8" w:space="0" w:color="auto"/>
              <w:left w:val="single" w:sz="8" w:space="0" w:color="auto"/>
              <w:bottom w:val="single" w:sz="8" w:space="0" w:color="000000"/>
              <w:right w:val="single" w:sz="8" w:space="0" w:color="auto"/>
            </w:tcBorders>
            <w:shd w:val="clear" w:color="FFFFCC" w:fill="FFFFCC"/>
            <w:noWrap/>
            <w:vAlign w:val="center"/>
            <w:hideMark/>
          </w:tcPr>
          <w:p w:rsidR="007A47E6" w:rsidRPr="007A47E6" w:rsidRDefault="007A47E6" w:rsidP="007F6D2F">
            <w:pPr>
              <w:jc w:val="center"/>
              <w:rPr>
                <w:rFonts w:ascii="Times New Roman" w:eastAsia="Times New Roman" w:hAnsi="Times New Roman" w:cs="Times New Roman"/>
                <w:b/>
                <w:bCs/>
                <w:sz w:val="16"/>
                <w:szCs w:val="28"/>
                <w:lang w:eastAsia="es-GT"/>
              </w:rPr>
            </w:pPr>
            <w:r w:rsidRPr="007A47E6">
              <w:rPr>
                <w:rFonts w:ascii="Times New Roman" w:eastAsia="Times New Roman" w:hAnsi="Times New Roman" w:cs="Times New Roman"/>
                <w:b/>
                <w:bCs/>
                <w:sz w:val="16"/>
                <w:szCs w:val="28"/>
                <w:lang w:eastAsia="es-GT"/>
              </w:rPr>
              <w:t>Presupuesto</w:t>
            </w:r>
          </w:p>
        </w:tc>
        <w:tc>
          <w:tcPr>
            <w:tcW w:w="4113" w:type="dxa"/>
            <w:gridSpan w:val="4"/>
            <w:tcBorders>
              <w:top w:val="single" w:sz="8" w:space="0" w:color="auto"/>
              <w:left w:val="nil"/>
              <w:bottom w:val="single" w:sz="8" w:space="0" w:color="auto"/>
              <w:right w:val="single" w:sz="8" w:space="0" w:color="000000"/>
            </w:tcBorders>
            <w:shd w:val="clear" w:color="FFFFCC" w:fill="FFFFCC"/>
            <w:noWrap/>
            <w:vAlign w:val="center"/>
            <w:hideMark/>
          </w:tcPr>
          <w:p w:rsidR="007A47E6" w:rsidRPr="007A47E6" w:rsidRDefault="007A47E6" w:rsidP="007F6D2F">
            <w:pPr>
              <w:jc w:val="center"/>
              <w:rPr>
                <w:rFonts w:ascii="Times New Roman" w:eastAsia="Times New Roman" w:hAnsi="Times New Roman" w:cs="Times New Roman"/>
                <w:b/>
                <w:bCs/>
                <w:sz w:val="16"/>
                <w:szCs w:val="28"/>
                <w:lang w:eastAsia="es-GT"/>
              </w:rPr>
            </w:pPr>
            <w:r w:rsidRPr="007A47E6">
              <w:rPr>
                <w:rFonts w:ascii="Times New Roman" w:eastAsia="Times New Roman" w:hAnsi="Times New Roman" w:cs="Times New Roman"/>
                <w:b/>
                <w:bCs/>
                <w:sz w:val="16"/>
                <w:szCs w:val="28"/>
                <w:lang w:eastAsia="es-GT"/>
              </w:rPr>
              <w:t>Variaciones</w:t>
            </w:r>
          </w:p>
        </w:tc>
      </w:tr>
      <w:tr w:rsidR="007A47E6" w:rsidRPr="007A47E6" w:rsidTr="007F6D2F">
        <w:trPr>
          <w:trHeight w:val="283"/>
          <w:jc w:val="center"/>
        </w:trPr>
        <w:tc>
          <w:tcPr>
            <w:tcW w:w="2870" w:type="dxa"/>
            <w:vMerge/>
            <w:tcBorders>
              <w:top w:val="single" w:sz="8" w:space="0" w:color="auto"/>
              <w:left w:val="single" w:sz="8" w:space="0" w:color="auto"/>
              <w:bottom w:val="single" w:sz="8" w:space="0" w:color="000000"/>
              <w:right w:val="single" w:sz="8" w:space="0" w:color="auto"/>
            </w:tcBorders>
            <w:vAlign w:val="center"/>
            <w:hideMark/>
          </w:tcPr>
          <w:p w:rsidR="007A47E6" w:rsidRPr="007A47E6" w:rsidRDefault="007A47E6" w:rsidP="007F6D2F">
            <w:pPr>
              <w:rPr>
                <w:rFonts w:ascii="Times New Roman" w:eastAsia="Times New Roman" w:hAnsi="Times New Roman" w:cs="Times New Roman"/>
                <w:b/>
                <w:bCs/>
                <w:sz w:val="16"/>
                <w:szCs w:val="28"/>
                <w:lang w:eastAsia="es-GT"/>
              </w:rPr>
            </w:pPr>
          </w:p>
        </w:tc>
        <w:tc>
          <w:tcPr>
            <w:tcW w:w="795" w:type="dxa"/>
            <w:vMerge/>
            <w:tcBorders>
              <w:top w:val="single" w:sz="8" w:space="0" w:color="auto"/>
              <w:left w:val="single" w:sz="8" w:space="0" w:color="auto"/>
              <w:bottom w:val="single" w:sz="8" w:space="0" w:color="000000"/>
              <w:right w:val="single" w:sz="8" w:space="0" w:color="auto"/>
            </w:tcBorders>
            <w:vAlign w:val="center"/>
            <w:hideMark/>
          </w:tcPr>
          <w:p w:rsidR="007A47E6" w:rsidRPr="007A47E6" w:rsidRDefault="007A47E6" w:rsidP="007F6D2F">
            <w:pPr>
              <w:rPr>
                <w:rFonts w:ascii="Times New Roman" w:eastAsia="Times New Roman" w:hAnsi="Times New Roman" w:cs="Times New Roman"/>
                <w:b/>
                <w:bCs/>
                <w:sz w:val="16"/>
                <w:szCs w:val="28"/>
                <w:lang w:eastAsia="es-GT"/>
              </w:rPr>
            </w:pPr>
          </w:p>
        </w:tc>
        <w:tc>
          <w:tcPr>
            <w:tcW w:w="795" w:type="dxa"/>
            <w:vMerge/>
            <w:tcBorders>
              <w:top w:val="single" w:sz="8" w:space="0" w:color="auto"/>
              <w:left w:val="single" w:sz="8" w:space="0" w:color="auto"/>
              <w:bottom w:val="single" w:sz="8" w:space="0" w:color="000000"/>
              <w:right w:val="single" w:sz="8" w:space="0" w:color="auto"/>
            </w:tcBorders>
            <w:vAlign w:val="center"/>
            <w:hideMark/>
          </w:tcPr>
          <w:p w:rsidR="007A47E6" w:rsidRPr="007A47E6" w:rsidRDefault="007A47E6" w:rsidP="007F6D2F">
            <w:pPr>
              <w:rPr>
                <w:rFonts w:ascii="Times New Roman" w:eastAsia="Times New Roman" w:hAnsi="Times New Roman" w:cs="Times New Roman"/>
                <w:b/>
                <w:bCs/>
                <w:sz w:val="16"/>
                <w:szCs w:val="28"/>
                <w:lang w:eastAsia="es-GT"/>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A47E6" w:rsidRPr="007A47E6" w:rsidRDefault="007A47E6" w:rsidP="007F6D2F">
            <w:pPr>
              <w:rPr>
                <w:rFonts w:ascii="Times New Roman" w:eastAsia="Times New Roman" w:hAnsi="Times New Roman" w:cs="Times New Roman"/>
                <w:b/>
                <w:bCs/>
                <w:sz w:val="16"/>
                <w:szCs w:val="28"/>
                <w:lang w:eastAsia="es-GT"/>
              </w:rPr>
            </w:pPr>
          </w:p>
        </w:tc>
        <w:tc>
          <w:tcPr>
            <w:tcW w:w="2069" w:type="dxa"/>
            <w:gridSpan w:val="2"/>
            <w:tcBorders>
              <w:top w:val="single" w:sz="8" w:space="0" w:color="auto"/>
              <w:left w:val="nil"/>
              <w:bottom w:val="single" w:sz="8" w:space="0" w:color="auto"/>
              <w:right w:val="single" w:sz="8" w:space="0" w:color="000000"/>
            </w:tcBorders>
            <w:shd w:val="clear" w:color="FFFFCC" w:fill="FFFFCC"/>
            <w:noWrap/>
            <w:vAlign w:val="center"/>
            <w:hideMark/>
          </w:tcPr>
          <w:p w:rsidR="007A47E6" w:rsidRPr="007A47E6" w:rsidRDefault="007A47E6" w:rsidP="007F6D2F">
            <w:pPr>
              <w:jc w:val="center"/>
              <w:rPr>
                <w:rFonts w:ascii="Times New Roman" w:eastAsia="Times New Roman" w:hAnsi="Times New Roman" w:cs="Times New Roman"/>
                <w:b/>
                <w:bCs/>
                <w:sz w:val="16"/>
                <w:szCs w:val="28"/>
                <w:lang w:eastAsia="es-GT"/>
              </w:rPr>
            </w:pPr>
            <w:r w:rsidRPr="007A47E6">
              <w:rPr>
                <w:rFonts w:ascii="Times New Roman" w:eastAsia="Times New Roman" w:hAnsi="Times New Roman" w:cs="Times New Roman"/>
                <w:b/>
                <w:bCs/>
                <w:sz w:val="16"/>
                <w:szCs w:val="28"/>
                <w:lang w:eastAsia="es-GT"/>
              </w:rPr>
              <w:t>Absolutas</w:t>
            </w:r>
          </w:p>
        </w:tc>
        <w:tc>
          <w:tcPr>
            <w:tcW w:w="2044" w:type="dxa"/>
            <w:gridSpan w:val="2"/>
            <w:tcBorders>
              <w:top w:val="single" w:sz="8" w:space="0" w:color="auto"/>
              <w:left w:val="nil"/>
              <w:bottom w:val="single" w:sz="8" w:space="0" w:color="auto"/>
              <w:right w:val="single" w:sz="8" w:space="0" w:color="000000"/>
            </w:tcBorders>
            <w:shd w:val="clear" w:color="FFFFCC" w:fill="FFFFCC"/>
            <w:noWrap/>
            <w:vAlign w:val="center"/>
            <w:hideMark/>
          </w:tcPr>
          <w:p w:rsidR="007A47E6" w:rsidRPr="007A47E6" w:rsidRDefault="007A47E6" w:rsidP="007F6D2F">
            <w:pPr>
              <w:jc w:val="center"/>
              <w:rPr>
                <w:rFonts w:ascii="Times New Roman" w:eastAsia="Times New Roman" w:hAnsi="Times New Roman" w:cs="Times New Roman"/>
                <w:b/>
                <w:bCs/>
                <w:sz w:val="16"/>
                <w:szCs w:val="28"/>
                <w:lang w:eastAsia="es-GT"/>
              </w:rPr>
            </w:pPr>
            <w:r w:rsidRPr="007A47E6">
              <w:rPr>
                <w:rFonts w:ascii="Times New Roman" w:eastAsia="Times New Roman" w:hAnsi="Times New Roman" w:cs="Times New Roman"/>
                <w:b/>
                <w:bCs/>
                <w:sz w:val="16"/>
                <w:szCs w:val="28"/>
                <w:lang w:eastAsia="es-GT"/>
              </w:rPr>
              <w:t>Relativas</w:t>
            </w:r>
          </w:p>
        </w:tc>
      </w:tr>
      <w:tr w:rsidR="007A47E6" w:rsidRPr="007A47E6" w:rsidTr="007F6D2F">
        <w:trPr>
          <w:trHeight w:val="358"/>
          <w:jc w:val="center"/>
        </w:trPr>
        <w:tc>
          <w:tcPr>
            <w:tcW w:w="2870" w:type="dxa"/>
            <w:vMerge/>
            <w:tcBorders>
              <w:top w:val="single" w:sz="8" w:space="0" w:color="auto"/>
              <w:left w:val="single" w:sz="8" w:space="0" w:color="auto"/>
              <w:bottom w:val="single" w:sz="8" w:space="0" w:color="000000"/>
              <w:right w:val="single" w:sz="8" w:space="0" w:color="auto"/>
            </w:tcBorders>
            <w:vAlign w:val="center"/>
            <w:hideMark/>
          </w:tcPr>
          <w:p w:rsidR="007A47E6" w:rsidRPr="007A47E6" w:rsidRDefault="007A47E6" w:rsidP="007F6D2F">
            <w:pPr>
              <w:rPr>
                <w:rFonts w:ascii="Times New Roman" w:eastAsia="Times New Roman" w:hAnsi="Times New Roman" w:cs="Times New Roman"/>
                <w:b/>
                <w:bCs/>
                <w:sz w:val="16"/>
                <w:szCs w:val="28"/>
                <w:lang w:eastAsia="es-GT"/>
              </w:rPr>
            </w:pPr>
          </w:p>
        </w:tc>
        <w:tc>
          <w:tcPr>
            <w:tcW w:w="795" w:type="dxa"/>
            <w:vMerge/>
            <w:tcBorders>
              <w:top w:val="single" w:sz="8" w:space="0" w:color="auto"/>
              <w:left w:val="single" w:sz="8" w:space="0" w:color="auto"/>
              <w:bottom w:val="single" w:sz="8" w:space="0" w:color="000000"/>
              <w:right w:val="single" w:sz="8" w:space="0" w:color="auto"/>
            </w:tcBorders>
            <w:vAlign w:val="center"/>
            <w:hideMark/>
          </w:tcPr>
          <w:p w:rsidR="007A47E6" w:rsidRPr="007A47E6" w:rsidRDefault="007A47E6" w:rsidP="007F6D2F">
            <w:pPr>
              <w:rPr>
                <w:rFonts w:ascii="Times New Roman" w:eastAsia="Times New Roman" w:hAnsi="Times New Roman" w:cs="Times New Roman"/>
                <w:b/>
                <w:bCs/>
                <w:sz w:val="16"/>
                <w:szCs w:val="28"/>
                <w:lang w:eastAsia="es-GT"/>
              </w:rPr>
            </w:pPr>
          </w:p>
        </w:tc>
        <w:tc>
          <w:tcPr>
            <w:tcW w:w="795" w:type="dxa"/>
            <w:vMerge/>
            <w:tcBorders>
              <w:top w:val="single" w:sz="8" w:space="0" w:color="auto"/>
              <w:left w:val="single" w:sz="8" w:space="0" w:color="auto"/>
              <w:bottom w:val="single" w:sz="8" w:space="0" w:color="000000"/>
              <w:right w:val="single" w:sz="8" w:space="0" w:color="auto"/>
            </w:tcBorders>
            <w:vAlign w:val="center"/>
            <w:hideMark/>
          </w:tcPr>
          <w:p w:rsidR="007A47E6" w:rsidRPr="007A47E6" w:rsidRDefault="007A47E6" w:rsidP="007F6D2F">
            <w:pPr>
              <w:rPr>
                <w:rFonts w:ascii="Times New Roman" w:eastAsia="Times New Roman" w:hAnsi="Times New Roman" w:cs="Times New Roman"/>
                <w:b/>
                <w:bCs/>
                <w:sz w:val="16"/>
                <w:szCs w:val="28"/>
                <w:lang w:eastAsia="es-GT"/>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A47E6" w:rsidRPr="007A47E6" w:rsidRDefault="007A47E6" w:rsidP="007F6D2F">
            <w:pPr>
              <w:rPr>
                <w:rFonts w:ascii="Times New Roman" w:eastAsia="Times New Roman" w:hAnsi="Times New Roman" w:cs="Times New Roman"/>
                <w:b/>
                <w:bCs/>
                <w:sz w:val="16"/>
                <w:szCs w:val="28"/>
                <w:lang w:eastAsia="es-GT"/>
              </w:rPr>
            </w:pPr>
          </w:p>
        </w:tc>
        <w:tc>
          <w:tcPr>
            <w:tcW w:w="1055" w:type="dxa"/>
            <w:tcBorders>
              <w:top w:val="nil"/>
              <w:left w:val="nil"/>
              <w:bottom w:val="single" w:sz="8" w:space="0" w:color="auto"/>
              <w:right w:val="single" w:sz="8" w:space="0" w:color="auto"/>
            </w:tcBorders>
            <w:shd w:val="clear" w:color="FFFFCC" w:fill="FFFFCC"/>
            <w:noWrap/>
            <w:vAlign w:val="center"/>
            <w:hideMark/>
          </w:tcPr>
          <w:p w:rsidR="007A47E6" w:rsidRPr="007A47E6" w:rsidRDefault="007A47E6" w:rsidP="007F6D2F">
            <w:pPr>
              <w:jc w:val="center"/>
              <w:rPr>
                <w:rFonts w:ascii="Times New Roman" w:eastAsia="Times New Roman" w:hAnsi="Times New Roman" w:cs="Times New Roman"/>
                <w:b/>
                <w:bCs/>
                <w:sz w:val="16"/>
                <w:szCs w:val="28"/>
                <w:lang w:eastAsia="es-GT"/>
              </w:rPr>
            </w:pPr>
            <w:r w:rsidRPr="007A47E6">
              <w:rPr>
                <w:rFonts w:ascii="Times New Roman" w:eastAsia="Times New Roman" w:hAnsi="Times New Roman" w:cs="Times New Roman"/>
                <w:b/>
                <w:bCs/>
                <w:sz w:val="16"/>
                <w:szCs w:val="28"/>
                <w:lang w:eastAsia="es-GT"/>
              </w:rPr>
              <w:t>2018-2017</w:t>
            </w:r>
          </w:p>
        </w:tc>
        <w:tc>
          <w:tcPr>
            <w:tcW w:w="1014" w:type="dxa"/>
            <w:tcBorders>
              <w:top w:val="nil"/>
              <w:left w:val="nil"/>
              <w:bottom w:val="single" w:sz="8" w:space="0" w:color="auto"/>
              <w:right w:val="single" w:sz="8" w:space="0" w:color="auto"/>
            </w:tcBorders>
            <w:shd w:val="clear" w:color="FFFFCC" w:fill="FFFFCC"/>
            <w:noWrap/>
            <w:vAlign w:val="center"/>
            <w:hideMark/>
          </w:tcPr>
          <w:p w:rsidR="007A47E6" w:rsidRPr="007A47E6" w:rsidRDefault="007A47E6" w:rsidP="007F6D2F">
            <w:pPr>
              <w:jc w:val="center"/>
              <w:rPr>
                <w:rFonts w:ascii="Times New Roman" w:eastAsia="Times New Roman" w:hAnsi="Times New Roman" w:cs="Times New Roman"/>
                <w:b/>
                <w:bCs/>
                <w:sz w:val="16"/>
                <w:szCs w:val="28"/>
                <w:lang w:eastAsia="es-GT"/>
              </w:rPr>
            </w:pPr>
            <w:r w:rsidRPr="007A47E6">
              <w:rPr>
                <w:rFonts w:ascii="Times New Roman" w:eastAsia="Times New Roman" w:hAnsi="Times New Roman" w:cs="Times New Roman"/>
                <w:b/>
                <w:bCs/>
                <w:sz w:val="16"/>
                <w:szCs w:val="28"/>
                <w:lang w:eastAsia="es-GT"/>
              </w:rPr>
              <w:t>2018-Pres</w:t>
            </w:r>
          </w:p>
        </w:tc>
        <w:tc>
          <w:tcPr>
            <w:tcW w:w="1022" w:type="dxa"/>
            <w:tcBorders>
              <w:top w:val="nil"/>
              <w:left w:val="nil"/>
              <w:bottom w:val="single" w:sz="8" w:space="0" w:color="auto"/>
              <w:right w:val="single" w:sz="8" w:space="0" w:color="auto"/>
            </w:tcBorders>
            <w:shd w:val="clear" w:color="FFFFCC" w:fill="FFFFCC"/>
            <w:noWrap/>
            <w:vAlign w:val="center"/>
            <w:hideMark/>
          </w:tcPr>
          <w:p w:rsidR="007A47E6" w:rsidRPr="007A47E6" w:rsidRDefault="007A47E6" w:rsidP="007F6D2F">
            <w:pPr>
              <w:jc w:val="center"/>
              <w:rPr>
                <w:rFonts w:ascii="Times New Roman" w:eastAsia="Times New Roman" w:hAnsi="Times New Roman" w:cs="Times New Roman"/>
                <w:b/>
                <w:bCs/>
                <w:sz w:val="16"/>
                <w:szCs w:val="28"/>
                <w:lang w:eastAsia="es-GT"/>
              </w:rPr>
            </w:pPr>
            <w:r w:rsidRPr="007A47E6">
              <w:rPr>
                <w:rFonts w:ascii="Times New Roman" w:eastAsia="Times New Roman" w:hAnsi="Times New Roman" w:cs="Times New Roman"/>
                <w:b/>
                <w:bCs/>
                <w:sz w:val="16"/>
                <w:szCs w:val="28"/>
                <w:lang w:eastAsia="es-GT"/>
              </w:rPr>
              <w:t>2018-2017</w:t>
            </w:r>
          </w:p>
        </w:tc>
        <w:tc>
          <w:tcPr>
            <w:tcW w:w="1022" w:type="dxa"/>
            <w:tcBorders>
              <w:top w:val="nil"/>
              <w:left w:val="nil"/>
              <w:bottom w:val="single" w:sz="8" w:space="0" w:color="auto"/>
              <w:right w:val="single" w:sz="8" w:space="0" w:color="auto"/>
            </w:tcBorders>
            <w:shd w:val="clear" w:color="FFFFCC" w:fill="FFFFCC"/>
            <w:noWrap/>
            <w:vAlign w:val="center"/>
            <w:hideMark/>
          </w:tcPr>
          <w:p w:rsidR="007A47E6" w:rsidRPr="007A47E6" w:rsidRDefault="007A47E6" w:rsidP="007F6D2F">
            <w:pPr>
              <w:jc w:val="center"/>
              <w:rPr>
                <w:rFonts w:ascii="Times New Roman" w:eastAsia="Times New Roman" w:hAnsi="Times New Roman" w:cs="Times New Roman"/>
                <w:b/>
                <w:bCs/>
                <w:sz w:val="16"/>
                <w:szCs w:val="28"/>
                <w:lang w:eastAsia="es-GT"/>
              </w:rPr>
            </w:pPr>
            <w:r w:rsidRPr="007A47E6">
              <w:rPr>
                <w:rFonts w:ascii="Times New Roman" w:eastAsia="Times New Roman" w:hAnsi="Times New Roman" w:cs="Times New Roman"/>
                <w:b/>
                <w:bCs/>
                <w:sz w:val="16"/>
                <w:szCs w:val="28"/>
                <w:lang w:eastAsia="es-GT"/>
              </w:rPr>
              <w:t>2018-Pres</w:t>
            </w:r>
          </w:p>
        </w:tc>
      </w:tr>
      <w:tr w:rsidR="00421AD9" w:rsidRPr="007A47E6" w:rsidTr="00700AAA">
        <w:trPr>
          <w:trHeight w:val="243"/>
          <w:jc w:val="center"/>
        </w:trPr>
        <w:tc>
          <w:tcPr>
            <w:tcW w:w="2870" w:type="dxa"/>
            <w:tcBorders>
              <w:top w:val="nil"/>
              <w:left w:val="single" w:sz="8" w:space="0" w:color="auto"/>
              <w:bottom w:val="single" w:sz="8" w:space="0" w:color="auto"/>
              <w:right w:val="single" w:sz="8" w:space="0" w:color="auto"/>
            </w:tcBorders>
            <w:shd w:val="clear" w:color="FFFFCC" w:fill="FFFFCC"/>
            <w:noWrap/>
            <w:vAlign w:val="center"/>
            <w:hideMark/>
          </w:tcPr>
          <w:p w:rsidR="00421AD9" w:rsidRPr="007A47E6" w:rsidRDefault="00421AD9" w:rsidP="00421AD9">
            <w:pPr>
              <w:jc w:val="center"/>
              <w:rPr>
                <w:rFonts w:ascii="Times New Roman" w:eastAsia="Times New Roman" w:hAnsi="Times New Roman" w:cs="Times New Roman"/>
                <w:b/>
                <w:bCs/>
                <w:i/>
                <w:iCs/>
                <w:sz w:val="16"/>
                <w:szCs w:val="28"/>
                <w:lang w:eastAsia="es-GT"/>
              </w:rPr>
            </w:pPr>
            <w:r w:rsidRPr="007A47E6">
              <w:rPr>
                <w:rFonts w:ascii="Times New Roman" w:eastAsia="Times New Roman" w:hAnsi="Times New Roman" w:cs="Times New Roman"/>
                <w:b/>
                <w:bCs/>
                <w:i/>
                <w:iCs/>
                <w:sz w:val="16"/>
                <w:szCs w:val="28"/>
                <w:lang w:eastAsia="es-GT"/>
              </w:rPr>
              <w:t>Total SAT (Neto)</w:t>
            </w:r>
          </w:p>
        </w:tc>
        <w:tc>
          <w:tcPr>
            <w:tcW w:w="795" w:type="dxa"/>
            <w:tcBorders>
              <w:top w:val="nil"/>
              <w:left w:val="nil"/>
              <w:bottom w:val="single" w:sz="8" w:space="0" w:color="auto"/>
              <w:right w:val="single" w:sz="8" w:space="0" w:color="auto"/>
            </w:tcBorders>
            <w:shd w:val="clear" w:color="auto" w:fill="auto"/>
            <w:noWrap/>
            <w:vAlign w:val="center"/>
            <w:hideMark/>
          </w:tcPr>
          <w:p w:rsidR="00421AD9" w:rsidRPr="007A47E6" w:rsidRDefault="00421AD9" w:rsidP="00421AD9">
            <w:pPr>
              <w:jc w:val="center"/>
              <w:rPr>
                <w:rFonts w:ascii="Times New Roman" w:eastAsia="Times New Roman" w:hAnsi="Times New Roman" w:cs="Times New Roman"/>
                <w:b/>
                <w:bCs/>
                <w:i/>
                <w:iCs/>
                <w:sz w:val="16"/>
                <w:szCs w:val="28"/>
                <w:lang w:eastAsia="es-GT"/>
              </w:rPr>
            </w:pPr>
            <w:r w:rsidRPr="007A47E6">
              <w:rPr>
                <w:rFonts w:ascii="Times New Roman" w:eastAsia="Times New Roman" w:hAnsi="Times New Roman" w:cs="Times New Roman"/>
                <w:b/>
                <w:bCs/>
                <w:i/>
                <w:iCs/>
                <w:sz w:val="16"/>
                <w:szCs w:val="28"/>
                <w:lang w:eastAsia="es-GT"/>
              </w:rPr>
              <w:t>56,177.0</w:t>
            </w:r>
          </w:p>
        </w:tc>
        <w:tc>
          <w:tcPr>
            <w:tcW w:w="795" w:type="dxa"/>
            <w:tcBorders>
              <w:top w:val="single" w:sz="8" w:space="0" w:color="auto"/>
              <w:left w:val="single" w:sz="8" w:space="0" w:color="auto"/>
              <w:bottom w:val="single" w:sz="8" w:space="0" w:color="auto"/>
              <w:right w:val="single" w:sz="8" w:space="0" w:color="auto"/>
            </w:tcBorders>
            <w:shd w:val="clear" w:color="auto" w:fill="auto"/>
            <w:noWrap/>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58,200.7</w:t>
            </w:r>
          </w:p>
        </w:tc>
        <w:tc>
          <w:tcPr>
            <w:tcW w:w="9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21AD9" w:rsidRPr="007A47E6" w:rsidRDefault="00421AD9" w:rsidP="00421AD9">
            <w:pPr>
              <w:jc w:val="center"/>
              <w:rPr>
                <w:rFonts w:ascii="Times New Roman" w:eastAsia="Times New Roman" w:hAnsi="Times New Roman" w:cs="Times New Roman"/>
                <w:b/>
                <w:bCs/>
                <w:i/>
                <w:iCs/>
                <w:sz w:val="16"/>
                <w:szCs w:val="28"/>
                <w:lang w:eastAsia="es-GT"/>
              </w:rPr>
            </w:pPr>
            <w:r w:rsidRPr="007A47E6">
              <w:rPr>
                <w:rFonts w:ascii="Times New Roman" w:eastAsia="Times New Roman" w:hAnsi="Times New Roman" w:cs="Times New Roman"/>
                <w:b/>
                <w:bCs/>
                <w:i/>
                <w:iCs/>
                <w:sz w:val="16"/>
                <w:szCs w:val="28"/>
                <w:lang w:eastAsia="es-GT"/>
              </w:rPr>
              <w:t>57,463.0</w:t>
            </w:r>
          </w:p>
        </w:tc>
        <w:tc>
          <w:tcPr>
            <w:tcW w:w="1055" w:type="dxa"/>
            <w:tcBorders>
              <w:top w:val="single" w:sz="8" w:space="0" w:color="auto"/>
              <w:left w:val="single" w:sz="4" w:space="0" w:color="auto"/>
              <w:bottom w:val="single" w:sz="8" w:space="0" w:color="auto"/>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2,023.7</w:t>
            </w:r>
          </w:p>
        </w:tc>
        <w:tc>
          <w:tcPr>
            <w:tcW w:w="1014" w:type="dxa"/>
            <w:tcBorders>
              <w:top w:val="single" w:sz="8" w:space="0" w:color="auto"/>
              <w:left w:val="nil"/>
              <w:bottom w:val="single" w:sz="8" w:space="0" w:color="auto"/>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737.7</w:t>
            </w:r>
          </w:p>
        </w:tc>
        <w:tc>
          <w:tcPr>
            <w:tcW w:w="1022" w:type="dxa"/>
            <w:tcBorders>
              <w:top w:val="single" w:sz="8" w:space="0" w:color="auto"/>
              <w:left w:val="nil"/>
              <w:bottom w:val="single" w:sz="8" w:space="0" w:color="auto"/>
              <w:right w:val="single" w:sz="4" w:space="0" w:color="auto"/>
            </w:tcBorders>
            <w:shd w:val="clear" w:color="auto" w:fill="auto"/>
            <w:noWrap/>
            <w:vAlign w:val="center"/>
            <w:hideMark/>
          </w:tcPr>
          <w:p w:rsidR="00421AD9" w:rsidRPr="007A47E6" w:rsidRDefault="00421AD9" w:rsidP="00421AD9">
            <w:pPr>
              <w:jc w:val="center"/>
              <w:rPr>
                <w:rFonts w:ascii="Times New Roman" w:eastAsia="Times New Roman" w:hAnsi="Times New Roman" w:cs="Times New Roman"/>
                <w:b/>
                <w:bCs/>
                <w:sz w:val="16"/>
                <w:szCs w:val="16"/>
                <w:lang w:val="es-GT" w:eastAsia="es-GT"/>
              </w:rPr>
            </w:pPr>
            <w:r w:rsidRPr="007A47E6">
              <w:rPr>
                <w:rFonts w:ascii="Times New Roman" w:hAnsi="Times New Roman" w:cs="Times New Roman"/>
                <w:b/>
                <w:bCs/>
                <w:sz w:val="16"/>
                <w:szCs w:val="16"/>
              </w:rPr>
              <w:t>3.6%</w:t>
            </w:r>
          </w:p>
        </w:tc>
        <w:tc>
          <w:tcPr>
            <w:tcW w:w="1022" w:type="dxa"/>
            <w:tcBorders>
              <w:top w:val="single" w:sz="8" w:space="0" w:color="auto"/>
              <w:left w:val="nil"/>
              <w:bottom w:val="single" w:sz="8" w:space="0" w:color="auto"/>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b/>
                <w:bCs/>
                <w:sz w:val="16"/>
                <w:szCs w:val="16"/>
              </w:rPr>
            </w:pPr>
            <w:r w:rsidRPr="007A47E6">
              <w:rPr>
                <w:rFonts w:ascii="Times New Roman" w:hAnsi="Times New Roman" w:cs="Times New Roman"/>
                <w:b/>
                <w:bCs/>
                <w:sz w:val="16"/>
                <w:szCs w:val="16"/>
              </w:rPr>
              <w:t>1.3%</w:t>
            </w:r>
          </w:p>
        </w:tc>
      </w:tr>
      <w:tr w:rsidR="00421AD9" w:rsidRPr="007A47E6" w:rsidTr="00700AAA">
        <w:trPr>
          <w:trHeight w:val="312"/>
          <w:jc w:val="center"/>
        </w:trPr>
        <w:tc>
          <w:tcPr>
            <w:tcW w:w="2870" w:type="dxa"/>
            <w:tcBorders>
              <w:top w:val="nil"/>
              <w:left w:val="single" w:sz="8" w:space="0" w:color="auto"/>
              <w:bottom w:val="nil"/>
              <w:right w:val="single" w:sz="8" w:space="0" w:color="auto"/>
            </w:tcBorders>
            <w:shd w:val="clear" w:color="FFFFCC" w:fill="FFFFCC"/>
            <w:noWrap/>
            <w:vAlign w:val="center"/>
            <w:hideMark/>
          </w:tcPr>
          <w:p w:rsidR="00421AD9" w:rsidRPr="007A47E6" w:rsidRDefault="00421AD9" w:rsidP="00421AD9">
            <w:pPr>
              <w:ind w:firstLineChars="100" w:firstLine="160"/>
              <w:rPr>
                <w:rFonts w:ascii="Times New Roman" w:eastAsia="Times New Roman" w:hAnsi="Times New Roman" w:cs="Times New Roman"/>
                <w:sz w:val="16"/>
                <w:szCs w:val="28"/>
                <w:lang w:eastAsia="es-GT"/>
              </w:rPr>
            </w:pPr>
            <w:r w:rsidRPr="007A47E6">
              <w:rPr>
                <w:rFonts w:ascii="Times New Roman" w:eastAsia="Times New Roman" w:hAnsi="Times New Roman" w:cs="Times New Roman"/>
                <w:sz w:val="16"/>
                <w:szCs w:val="28"/>
                <w:lang w:eastAsia="es-GT"/>
              </w:rPr>
              <w:t>Sobre la Renta</w:t>
            </w:r>
          </w:p>
        </w:tc>
        <w:tc>
          <w:tcPr>
            <w:tcW w:w="795" w:type="dxa"/>
            <w:tcBorders>
              <w:top w:val="nil"/>
              <w:left w:val="nil"/>
              <w:bottom w:val="nil"/>
              <w:right w:val="single" w:sz="8"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16,306.9</w:t>
            </w:r>
          </w:p>
        </w:tc>
        <w:tc>
          <w:tcPr>
            <w:tcW w:w="795" w:type="dxa"/>
            <w:tcBorders>
              <w:top w:val="nil"/>
              <w:left w:val="single" w:sz="8" w:space="0" w:color="auto"/>
              <w:bottom w:val="nil"/>
              <w:right w:val="single" w:sz="8" w:space="0" w:color="auto"/>
            </w:tcBorders>
            <w:shd w:val="clear" w:color="auto" w:fill="auto"/>
            <w:noWrap/>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16,236.3</w:t>
            </w:r>
          </w:p>
        </w:tc>
        <w:tc>
          <w:tcPr>
            <w:tcW w:w="993" w:type="dxa"/>
            <w:tcBorders>
              <w:top w:val="nil"/>
              <w:left w:val="single" w:sz="8" w:space="0" w:color="auto"/>
              <w:bottom w:val="nil"/>
              <w:right w:val="single" w:sz="4"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16,242.0</w:t>
            </w:r>
          </w:p>
        </w:tc>
        <w:tc>
          <w:tcPr>
            <w:tcW w:w="1055" w:type="dxa"/>
            <w:tcBorders>
              <w:top w:val="nil"/>
              <w:left w:val="single" w:sz="4" w:space="0" w:color="auto"/>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-70.6</w:t>
            </w:r>
          </w:p>
        </w:tc>
        <w:tc>
          <w:tcPr>
            <w:tcW w:w="1014" w:type="dxa"/>
            <w:tcBorders>
              <w:top w:val="nil"/>
              <w:left w:val="nil"/>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-5.7</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-0.4%</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0.0%</w:t>
            </w:r>
          </w:p>
        </w:tc>
      </w:tr>
      <w:tr w:rsidR="00421AD9" w:rsidRPr="007A47E6" w:rsidTr="00700AAA">
        <w:trPr>
          <w:trHeight w:val="312"/>
          <w:jc w:val="center"/>
        </w:trPr>
        <w:tc>
          <w:tcPr>
            <w:tcW w:w="2870" w:type="dxa"/>
            <w:tcBorders>
              <w:top w:val="nil"/>
              <w:left w:val="single" w:sz="8" w:space="0" w:color="auto"/>
              <w:bottom w:val="nil"/>
              <w:right w:val="single" w:sz="8" w:space="0" w:color="auto"/>
            </w:tcBorders>
            <w:shd w:val="clear" w:color="FFFFCC" w:fill="FFFFCC"/>
            <w:noWrap/>
            <w:vAlign w:val="center"/>
            <w:hideMark/>
          </w:tcPr>
          <w:p w:rsidR="00421AD9" w:rsidRPr="007A47E6" w:rsidRDefault="00421AD9" w:rsidP="00421AD9">
            <w:pPr>
              <w:ind w:firstLineChars="100" w:firstLine="160"/>
              <w:rPr>
                <w:rFonts w:ascii="Times New Roman" w:eastAsia="Times New Roman" w:hAnsi="Times New Roman" w:cs="Times New Roman"/>
                <w:sz w:val="16"/>
                <w:szCs w:val="28"/>
                <w:lang w:eastAsia="es-GT"/>
              </w:rPr>
            </w:pPr>
            <w:r w:rsidRPr="007A47E6">
              <w:rPr>
                <w:rFonts w:ascii="Times New Roman" w:eastAsia="Times New Roman" w:hAnsi="Times New Roman" w:cs="Times New Roman"/>
                <w:sz w:val="16"/>
                <w:szCs w:val="28"/>
                <w:lang w:eastAsia="es-GT"/>
              </w:rPr>
              <w:t>Sobre la Propiedad y Otros</w:t>
            </w:r>
          </w:p>
        </w:tc>
        <w:tc>
          <w:tcPr>
            <w:tcW w:w="795" w:type="dxa"/>
            <w:tcBorders>
              <w:top w:val="nil"/>
              <w:left w:val="nil"/>
              <w:bottom w:val="nil"/>
              <w:right w:val="single" w:sz="8"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30.2</w:t>
            </w:r>
          </w:p>
        </w:tc>
        <w:tc>
          <w:tcPr>
            <w:tcW w:w="795" w:type="dxa"/>
            <w:tcBorders>
              <w:top w:val="nil"/>
              <w:left w:val="single" w:sz="8" w:space="0" w:color="auto"/>
              <w:bottom w:val="nil"/>
              <w:right w:val="single" w:sz="8" w:space="0" w:color="auto"/>
            </w:tcBorders>
            <w:shd w:val="clear" w:color="auto" w:fill="auto"/>
            <w:noWrap/>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28.1</w:t>
            </w:r>
          </w:p>
        </w:tc>
        <w:tc>
          <w:tcPr>
            <w:tcW w:w="993" w:type="dxa"/>
            <w:tcBorders>
              <w:top w:val="nil"/>
              <w:left w:val="single" w:sz="8" w:space="0" w:color="auto"/>
              <w:bottom w:val="nil"/>
              <w:right w:val="single" w:sz="4"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24.7</w:t>
            </w:r>
          </w:p>
        </w:tc>
        <w:tc>
          <w:tcPr>
            <w:tcW w:w="1055" w:type="dxa"/>
            <w:tcBorders>
              <w:top w:val="nil"/>
              <w:left w:val="single" w:sz="4" w:space="0" w:color="auto"/>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-2.1</w:t>
            </w:r>
          </w:p>
        </w:tc>
        <w:tc>
          <w:tcPr>
            <w:tcW w:w="1014" w:type="dxa"/>
            <w:tcBorders>
              <w:top w:val="nil"/>
              <w:left w:val="nil"/>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3.4</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-6.9%</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13.8%</w:t>
            </w:r>
          </w:p>
        </w:tc>
      </w:tr>
      <w:tr w:rsidR="00421AD9" w:rsidRPr="007A47E6" w:rsidTr="00700AAA">
        <w:trPr>
          <w:trHeight w:val="312"/>
          <w:jc w:val="center"/>
        </w:trPr>
        <w:tc>
          <w:tcPr>
            <w:tcW w:w="2870" w:type="dxa"/>
            <w:tcBorders>
              <w:top w:val="nil"/>
              <w:left w:val="single" w:sz="8" w:space="0" w:color="auto"/>
              <w:bottom w:val="nil"/>
              <w:right w:val="single" w:sz="8" w:space="0" w:color="auto"/>
            </w:tcBorders>
            <w:shd w:val="clear" w:color="FFFFCC" w:fill="FFFFCC"/>
            <w:noWrap/>
            <w:vAlign w:val="center"/>
            <w:hideMark/>
          </w:tcPr>
          <w:p w:rsidR="00421AD9" w:rsidRPr="007A47E6" w:rsidRDefault="00421AD9" w:rsidP="00421AD9">
            <w:pPr>
              <w:ind w:firstLineChars="100" w:firstLine="160"/>
              <w:rPr>
                <w:rFonts w:ascii="Times New Roman" w:eastAsia="Times New Roman" w:hAnsi="Times New Roman" w:cs="Times New Roman"/>
                <w:sz w:val="16"/>
                <w:szCs w:val="28"/>
                <w:lang w:eastAsia="es-GT"/>
              </w:rPr>
            </w:pPr>
            <w:r w:rsidRPr="007A47E6">
              <w:rPr>
                <w:rFonts w:ascii="Times New Roman" w:eastAsia="Times New Roman" w:hAnsi="Times New Roman" w:cs="Times New Roman"/>
                <w:sz w:val="16"/>
                <w:szCs w:val="28"/>
                <w:lang w:eastAsia="es-GT"/>
              </w:rPr>
              <w:t>IEMA</w:t>
            </w:r>
          </w:p>
        </w:tc>
        <w:tc>
          <w:tcPr>
            <w:tcW w:w="795" w:type="dxa"/>
            <w:tcBorders>
              <w:top w:val="nil"/>
              <w:left w:val="nil"/>
              <w:bottom w:val="nil"/>
              <w:right w:val="single" w:sz="8"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6.3</w:t>
            </w:r>
          </w:p>
        </w:tc>
        <w:tc>
          <w:tcPr>
            <w:tcW w:w="795" w:type="dxa"/>
            <w:tcBorders>
              <w:top w:val="nil"/>
              <w:left w:val="single" w:sz="8" w:space="0" w:color="auto"/>
              <w:bottom w:val="nil"/>
              <w:right w:val="single" w:sz="8" w:space="0" w:color="auto"/>
            </w:tcBorders>
            <w:shd w:val="clear" w:color="auto" w:fill="auto"/>
            <w:noWrap/>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0.2</w:t>
            </w:r>
          </w:p>
        </w:tc>
        <w:tc>
          <w:tcPr>
            <w:tcW w:w="993" w:type="dxa"/>
            <w:tcBorders>
              <w:top w:val="nil"/>
              <w:left w:val="single" w:sz="8" w:space="0" w:color="auto"/>
              <w:bottom w:val="nil"/>
              <w:right w:val="single" w:sz="4"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0.0</w:t>
            </w:r>
          </w:p>
        </w:tc>
        <w:tc>
          <w:tcPr>
            <w:tcW w:w="1055" w:type="dxa"/>
            <w:tcBorders>
              <w:top w:val="nil"/>
              <w:left w:val="single" w:sz="4" w:space="0" w:color="auto"/>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-6.2</w:t>
            </w:r>
          </w:p>
        </w:tc>
        <w:tc>
          <w:tcPr>
            <w:tcW w:w="1014" w:type="dxa"/>
            <w:tcBorders>
              <w:top w:val="nil"/>
              <w:left w:val="nil"/>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0.2</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-97.6%</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w:t>
            </w:r>
          </w:p>
        </w:tc>
      </w:tr>
      <w:tr w:rsidR="00421AD9" w:rsidRPr="007A47E6" w:rsidTr="00700AAA">
        <w:trPr>
          <w:trHeight w:val="312"/>
          <w:jc w:val="center"/>
        </w:trPr>
        <w:tc>
          <w:tcPr>
            <w:tcW w:w="2870" w:type="dxa"/>
            <w:tcBorders>
              <w:top w:val="nil"/>
              <w:left w:val="single" w:sz="8" w:space="0" w:color="auto"/>
              <w:bottom w:val="nil"/>
              <w:right w:val="single" w:sz="8" w:space="0" w:color="auto"/>
            </w:tcBorders>
            <w:shd w:val="clear" w:color="FFFFCC" w:fill="FFFFCC"/>
            <w:noWrap/>
            <w:vAlign w:val="center"/>
            <w:hideMark/>
          </w:tcPr>
          <w:p w:rsidR="00421AD9" w:rsidRPr="007A47E6" w:rsidRDefault="00421AD9" w:rsidP="00421AD9">
            <w:pPr>
              <w:ind w:firstLineChars="100" w:firstLine="160"/>
              <w:rPr>
                <w:rFonts w:ascii="Times New Roman" w:eastAsia="Times New Roman" w:hAnsi="Times New Roman" w:cs="Times New Roman"/>
                <w:sz w:val="16"/>
                <w:szCs w:val="28"/>
                <w:lang w:eastAsia="es-GT"/>
              </w:rPr>
            </w:pPr>
            <w:r w:rsidRPr="007A47E6">
              <w:rPr>
                <w:rFonts w:ascii="Times New Roman" w:eastAsia="Times New Roman" w:hAnsi="Times New Roman" w:cs="Times New Roman"/>
                <w:sz w:val="16"/>
                <w:szCs w:val="28"/>
                <w:lang w:eastAsia="es-GT"/>
              </w:rPr>
              <w:t>IETAAP</w:t>
            </w:r>
          </w:p>
        </w:tc>
        <w:tc>
          <w:tcPr>
            <w:tcW w:w="795" w:type="dxa"/>
            <w:tcBorders>
              <w:top w:val="nil"/>
              <w:left w:val="nil"/>
              <w:bottom w:val="nil"/>
              <w:right w:val="single" w:sz="8"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27.8</w:t>
            </w:r>
          </w:p>
        </w:tc>
        <w:tc>
          <w:tcPr>
            <w:tcW w:w="795" w:type="dxa"/>
            <w:tcBorders>
              <w:top w:val="nil"/>
              <w:left w:val="single" w:sz="8" w:space="0" w:color="auto"/>
              <w:bottom w:val="nil"/>
              <w:right w:val="single" w:sz="8" w:space="0" w:color="auto"/>
            </w:tcBorders>
            <w:shd w:val="clear" w:color="auto" w:fill="auto"/>
            <w:noWrap/>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10.3</w:t>
            </w:r>
          </w:p>
        </w:tc>
        <w:tc>
          <w:tcPr>
            <w:tcW w:w="993" w:type="dxa"/>
            <w:tcBorders>
              <w:top w:val="nil"/>
              <w:left w:val="single" w:sz="8" w:space="0" w:color="auto"/>
              <w:bottom w:val="nil"/>
              <w:right w:val="single" w:sz="4"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0.0</w:t>
            </w:r>
          </w:p>
        </w:tc>
        <w:tc>
          <w:tcPr>
            <w:tcW w:w="1055" w:type="dxa"/>
            <w:tcBorders>
              <w:top w:val="nil"/>
              <w:left w:val="single" w:sz="4" w:space="0" w:color="auto"/>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-17.6</w:t>
            </w:r>
          </w:p>
        </w:tc>
        <w:tc>
          <w:tcPr>
            <w:tcW w:w="1014" w:type="dxa"/>
            <w:tcBorders>
              <w:top w:val="nil"/>
              <w:left w:val="nil"/>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10.3</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-63.7%</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w:t>
            </w:r>
          </w:p>
        </w:tc>
      </w:tr>
      <w:tr w:rsidR="00421AD9" w:rsidRPr="007A47E6" w:rsidTr="00700AAA">
        <w:trPr>
          <w:trHeight w:val="312"/>
          <w:jc w:val="center"/>
        </w:trPr>
        <w:tc>
          <w:tcPr>
            <w:tcW w:w="2870" w:type="dxa"/>
            <w:tcBorders>
              <w:top w:val="nil"/>
              <w:left w:val="single" w:sz="8" w:space="0" w:color="auto"/>
              <w:bottom w:val="nil"/>
              <w:right w:val="single" w:sz="8" w:space="0" w:color="auto"/>
            </w:tcBorders>
            <w:shd w:val="clear" w:color="FFFFCC" w:fill="FFFFCC"/>
            <w:noWrap/>
            <w:vAlign w:val="center"/>
            <w:hideMark/>
          </w:tcPr>
          <w:p w:rsidR="00421AD9" w:rsidRPr="007A47E6" w:rsidRDefault="00421AD9" w:rsidP="00421AD9">
            <w:pPr>
              <w:ind w:firstLineChars="100" w:firstLine="160"/>
              <w:rPr>
                <w:rFonts w:ascii="Times New Roman" w:eastAsia="Times New Roman" w:hAnsi="Times New Roman" w:cs="Times New Roman"/>
                <w:sz w:val="16"/>
                <w:szCs w:val="28"/>
                <w:lang w:eastAsia="es-GT"/>
              </w:rPr>
            </w:pPr>
            <w:r w:rsidRPr="007A47E6">
              <w:rPr>
                <w:rFonts w:ascii="Times New Roman" w:eastAsia="Times New Roman" w:hAnsi="Times New Roman" w:cs="Times New Roman"/>
                <w:sz w:val="16"/>
                <w:szCs w:val="28"/>
                <w:lang w:eastAsia="es-GT"/>
              </w:rPr>
              <w:t>ISO</w:t>
            </w:r>
          </w:p>
        </w:tc>
        <w:tc>
          <w:tcPr>
            <w:tcW w:w="795" w:type="dxa"/>
            <w:tcBorders>
              <w:top w:val="nil"/>
              <w:left w:val="nil"/>
              <w:bottom w:val="nil"/>
              <w:right w:val="single" w:sz="8"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4,352.2</w:t>
            </w:r>
          </w:p>
        </w:tc>
        <w:tc>
          <w:tcPr>
            <w:tcW w:w="795" w:type="dxa"/>
            <w:tcBorders>
              <w:top w:val="nil"/>
              <w:left w:val="single" w:sz="8" w:space="0" w:color="auto"/>
              <w:bottom w:val="nil"/>
              <w:right w:val="single" w:sz="8" w:space="0" w:color="auto"/>
            </w:tcBorders>
            <w:shd w:val="clear" w:color="auto" w:fill="auto"/>
            <w:noWrap/>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4,645.9</w:t>
            </w:r>
          </w:p>
        </w:tc>
        <w:tc>
          <w:tcPr>
            <w:tcW w:w="993" w:type="dxa"/>
            <w:tcBorders>
              <w:top w:val="nil"/>
              <w:left w:val="single" w:sz="8" w:space="0" w:color="auto"/>
              <w:bottom w:val="nil"/>
              <w:right w:val="single" w:sz="4"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4,747.6</w:t>
            </w:r>
          </w:p>
        </w:tc>
        <w:tc>
          <w:tcPr>
            <w:tcW w:w="1055" w:type="dxa"/>
            <w:tcBorders>
              <w:top w:val="nil"/>
              <w:left w:val="single" w:sz="4" w:space="0" w:color="auto"/>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293.7</w:t>
            </w:r>
          </w:p>
        </w:tc>
        <w:tc>
          <w:tcPr>
            <w:tcW w:w="1014" w:type="dxa"/>
            <w:tcBorders>
              <w:top w:val="nil"/>
              <w:left w:val="nil"/>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-101.7</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6.8%</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-2.1%</w:t>
            </w:r>
          </w:p>
        </w:tc>
      </w:tr>
      <w:tr w:rsidR="00421AD9" w:rsidRPr="007A47E6" w:rsidTr="00700AAA">
        <w:trPr>
          <w:trHeight w:val="312"/>
          <w:jc w:val="center"/>
        </w:trPr>
        <w:tc>
          <w:tcPr>
            <w:tcW w:w="2870" w:type="dxa"/>
            <w:tcBorders>
              <w:top w:val="nil"/>
              <w:left w:val="single" w:sz="8" w:space="0" w:color="auto"/>
              <w:bottom w:val="nil"/>
              <w:right w:val="single" w:sz="8" w:space="0" w:color="auto"/>
            </w:tcBorders>
            <w:shd w:val="clear" w:color="FFFFCC" w:fill="FFFFCC"/>
            <w:noWrap/>
            <w:vAlign w:val="center"/>
            <w:hideMark/>
          </w:tcPr>
          <w:p w:rsidR="00421AD9" w:rsidRPr="007A47E6" w:rsidRDefault="00421AD9" w:rsidP="00421AD9">
            <w:pPr>
              <w:ind w:firstLineChars="100" w:firstLine="160"/>
              <w:rPr>
                <w:rFonts w:ascii="Times New Roman" w:eastAsia="Times New Roman" w:hAnsi="Times New Roman" w:cs="Times New Roman"/>
                <w:b/>
                <w:i/>
                <w:sz w:val="16"/>
                <w:szCs w:val="28"/>
                <w:lang w:eastAsia="es-GT"/>
              </w:rPr>
            </w:pPr>
            <w:r w:rsidRPr="007A47E6">
              <w:rPr>
                <w:rFonts w:ascii="Times New Roman" w:eastAsia="Times New Roman" w:hAnsi="Times New Roman" w:cs="Times New Roman"/>
                <w:b/>
                <w:i/>
                <w:sz w:val="16"/>
                <w:szCs w:val="28"/>
                <w:lang w:eastAsia="es-GT"/>
              </w:rPr>
              <w:t>Impuesto al Valor Agregado (Neto)</w:t>
            </w:r>
          </w:p>
        </w:tc>
        <w:tc>
          <w:tcPr>
            <w:tcW w:w="795" w:type="dxa"/>
            <w:tcBorders>
              <w:top w:val="nil"/>
              <w:left w:val="nil"/>
              <w:bottom w:val="nil"/>
              <w:right w:val="single" w:sz="8" w:space="0" w:color="auto"/>
            </w:tcBorders>
            <w:shd w:val="clear" w:color="auto" w:fill="auto"/>
            <w:noWrap/>
            <w:vAlign w:val="center"/>
            <w:hideMark/>
          </w:tcPr>
          <w:p w:rsidR="00421AD9" w:rsidRPr="007A47E6" w:rsidRDefault="00421AD9" w:rsidP="00421AD9">
            <w:pPr>
              <w:jc w:val="center"/>
              <w:rPr>
                <w:rFonts w:ascii="Times New Roman" w:eastAsia="Times New Roman" w:hAnsi="Times New Roman" w:cs="Times New Roman"/>
                <w:b/>
                <w:bCs/>
                <w:i/>
                <w:iCs/>
                <w:sz w:val="16"/>
                <w:szCs w:val="28"/>
                <w:lang w:eastAsia="es-GT"/>
              </w:rPr>
            </w:pPr>
            <w:r w:rsidRPr="007A47E6">
              <w:rPr>
                <w:rFonts w:ascii="Times New Roman" w:eastAsia="Times New Roman" w:hAnsi="Times New Roman" w:cs="Times New Roman"/>
                <w:b/>
                <w:bCs/>
                <w:i/>
                <w:iCs/>
                <w:sz w:val="16"/>
                <w:szCs w:val="28"/>
                <w:lang w:eastAsia="es-GT"/>
              </w:rPr>
              <w:t>26,186.7</w:t>
            </w:r>
          </w:p>
        </w:tc>
        <w:tc>
          <w:tcPr>
            <w:tcW w:w="795" w:type="dxa"/>
            <w:tcBorders>
              <w:top w:val="nil"/>
              <w:left w:val="single" w:sz="8" w:space="0" w:color="auto"/>
              <w:bottom w:val="nil"/>
              <w:right w:val="single" w:sz="8" w:space="0" w:color="auto"/>
            </w:tcBorders>
            <w:shd w:val="clear" w:color="auto" w:fill="auto"/>
            <w:noWrap/>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421AD9">
              <w:rPr>
                <w:rFonts w:ascii="Times New Roman" w:eastAsia="Times New Roman" w:hAnsi="Times New Roman" w:cs="Times New Roman"/>
                <w:b/>
                <w:bCs/>
                <w:i/>
                <w:iCs/>
                <w:sz w:val="16"/>
                <w:szCs w:val="28"/>
                <w:lang w:eastAsia="es-GT"/>
              </w:rPr>
              <w:t>27,732</w:t>
            </w:r>
            <w:r w:rsidRPr="00522E54">
              <w:rPr>
                <w:rFonts w:ascii="Times New Roman" w:eastAsia="Times New Roman" w:hAnsi="Times New Roman" w:cs="Times New Roman"/>
                <w:b/>
                <w:bCs/>
                <w:i/>
                <w:iCs/>
                <w:sz w:val="16"/>
                <w:szCs w:val="28"/>
                <w:lang w:eastAsia="es-GT"/>
              </w:rPr>
              <w:t>.5</w:t>
            </w:r>
          </w:p>
        </w:tc>
        <w:tc>
          <w:tcPr>
            <w:tcW w:w="993" w:type="dxa"/>
            <w:tcBorders>
              <w:top w:val="nil"/>
              <w:left w:val="single" w:sz="8" w:space="0" w:color="auto"/>
              <w:bottom w:val="nil"/>
              <w:right w:val="single" w:sz="4" w:space="0" w:color="auto"/>
            </w:tcBorders>
            <w:shd w:val="clear" w:color="auto" w:fill="auto"/>
            <w:noWrap/>
            <w:vAlign w:val="center"/>
            <w:hideMark/>
          </w:tcPr>
          <w:p w:rsidR="00421AD9" w:rsidRPr="007A47E6" w:rsidRDefault="00421AD9" w:rsidP="00421AD9">
            <w:pPr>
              <w:jc w:val="center"/>
              <w:rPr>
                <w:rFonts w:ascii="Times New Roman" w:eastAsia="Times New Roman" w:hAnsi="Times New Roman" w:cs="Times New Roman"/>
                <w:b/>
                <w:bCs/>
                <w:i/>
                <w:iCs/>
                <w:sz w:val="16"/>
                <w:szCs w:val="28"/>
                <w:lang w:eastAsia="es-GT"/>
              </w:rPr>
            </w:pPr>
            <w:r w:rsidRPr="007A47E6">
              <w:rPr>
                <w:rFonts w:ascii="Times New Roman" w:eastAsia="Times New Roman" w:hAnsi="Times New Roman" w:cs="Times New Roman"/>
                <w:b/>
                <w:bCs/>
                <w:i/>
                <w:iCs/>
                <w:sz w:val="16"/>
                <w:szCs w:val="28"/>
                <w:lang w:eastAsia="es-GT"/>
              </w:rPr>
              <w:t>26,543.2</w:t>
            </w:r>
          </w:p>
        </w:tc>
        <w:tc>
          <w:tcPr>
            <w:tcW w:w="1055" w:type="dxa"/>
            <w:tcBorders>
              <w:top w:val="nil"/>
              <w:left w:val="single" w:sz="4" w:space="0" w:color="auto"/>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1,545.8</w:t>
            </w:r>
          </w:p>
        </w:tc>
        <w:tc>
          <w:tcPr>
            <w:tcW w:w="1014" w:type="dxa"/>
            <w:tcBorders>
              <w:top w:val="nil"/>
              <w:left w:val="nil"/>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1,189.3</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b/>
                <w:bCs/>
                <w:i/>
                <w:iCs/>
                <w:sz w:val="16"/>
                <w:szCs w:val="16"/>
              </w:rPr>
            </w:pPr>
            <w:r w:rsidRPr="007A47E6">
              <w:rPr>
                <w:rFonts w:ascii="Times New Roman" w:hAnsi="Times New Roman" w:cs="Times New Roman"/>
                <w:b/>
                <w:bCs/>
                <w:i/>
                <w:iCs/>
                <w:sz w:val="16"/>
                <w:szCs w:val="16"/>
              </w:rPr>
              <w:t>5.9%</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b/>
                <w:bCs/>
                <w:i/>
                <w:iCs/>
                <w:sz w:val="16"/>
                <w:szCs w:val="16"/>
              </w:rPr>
            </w:pPr>
            <w:r w:rsidRPr="007A47E6">
              <w:rPr>
                <w:rFonts w:ascii="Times New Roman" w:hAnsi="Times New Roman" w:cs="Times New Roman"/>
                <w:b/>
                <w:bCs/>
                <w:i/>
                <w:iCs/>
                <w:sz w:val="16"/>
                <w:szCs w:val="16"/>
              </w:rPr>
              <w:t>4.5%</w:t>
            </w:r>
          </w:p>
        </w:tc>
      </w:tr>
      <w:tr w:rsidR="00421AD9" w:rsidRPr="007A47E6" w:rsidTr="00700AAA">
        <w:trPr>
          <w:trHeight w:val="312"/>
          <w:jc w:val="center"/>
        </w:trPr>
        <w:tc>
          <w:tcPr>
            <w:tcW w:w="2870" w:type="dxa"/>
            <w:tcBorders>
              <w:top w:val="nil"/>
              <w:left w:val="single" w:sz="8" w:space="0" w:color="auto"/>
              <w:bottom w:val="nil"/>
              <w:right w:val="single" w:sz="8" w:space="0" w:color="auto"/>
            </w:tcBorders>
            <w:shd w:val="clear" w:color="FFFFCC" w:fill="FFFFCC"/>
            <w:noWrap/>
            <w:vAlign w:val="center"/>
            <w:hideMark/>
          </w:tcPr>
          <w:p w:rsidR="00421AD9" w:rsidRPr="007A47E6" w:rsidRDefault="00421AD9" w:rsidP="00421AD9">
            <w:pPr>
              <w:ind w:firstLineChars="100" w:firstLine="160"/>
              <w:rPr>
                <w:rFonts w:ascii="Times New Roman" w:eastAsia="Times New Roman" w:hAnsi="Times New Roman" w:cs="Times New Roman"/>
                <w:i/>
                <w:iCs/>
                <w:sz w:val="16"/>
                <w:szCs w:val="28"/>
                <w:lang w:eastAsia="es-GT"/>
              </w:rPr>
            </w:pPr>
            <w:r w:rsidRPr="007A47E6">
              <w:rPr>
                <w:rFonts w:ascii="Times New Roman" w:eastAsia="Times New Roman" w:hAnsi="Times New Roman" w:cs="Times New Roman"/>
                <w:i/>
                <w:iCs/>
                <w:sz w:val="16"/>
                <w:szCs w:val="28"/>
                <w:lang w:eastAsia="es-GT"/>
              </w:rPr>
              <w:t xml:space="preserve">     Doméstico</w:t>
            </w:r>
          </w:p>
        </w:tc>
        <w:tc>
          <w:tcPr>
            <w:tcW w:w="795" w:type="dxa"/>
            <w:tcBorders>
              <w:top w:val="nil"/>
              <w:left w:val="nil"/>
              <w:bottom w:val="nil"/>
              <w:right w:val="single" w:sz="8"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12,970.7</w:t>
            </w:r>
          </w:p>
        </w:tc>
        <w:tc>
          <w:tcPr>
            <w:tcW w:w="795" w:type="dxa"/>
            <w:tcBorders>
              <w:top w:val="nil"/>
              <w:left w:val="single" w:sz="8" w:space="0" w:color="auto"/>
              <w:bottom w:val="nil"/>
              <w:right w:val="single" w:sz="8" w:space="0" w:color="auto"/>
            </w:tcBorders>
            <w:shd w:val="clear" w:color="auto" w:fill="auto"/>
            <w:noWrap/>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13,263.4</w:t>
            </w:r>
          </w:p>
        </w:tc>
        <w:tc>
          <w:tcPr>
            <w:tcW w:w="993" w:type="dxa"/>
            <w:tcBorders>
              <w:top w:val="nil"/>
              <w:left w:val="single" w:sz="8" w:space="0" w:color="auto"/>
              <w:bottom w:val="nil"/>
              <w:right w:val="single" w:sz="4"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13,012.7</w:t>
            </w:r>
          </w:p>
        </w:tc>
        <w:tc>
          <w:tcPr>
            <w:tcW w:w="1055" w:type="dxa"/>
            <w:tcBorders>
              <w:top w:val="nil"/>
              <w:left w:val="single" w:sz="4" w:space="0" w:color="auto"/>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292.7</w:t>
            </w:r>
          </w:p>
        </w:tc>
        <w:tc>
          <w:tcPr>
            <w:tcW w:w="1014" w:type="dxa"/>
            <w:tcBorders>
              <w:top w:val="nil"/>
              <w:left w:val="nil"/>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250.7</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2.3%</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1.9%</w:t>
            </w:r>
          </w:p>
        </w:tc>
      </w:tr>
      <w:tr w:rsidR="00421AD9" w:rsidRPr="007A47E6" w:rsidTr="00700AAA">
        <w:trPr>
          <w:trHeight w:val="312"/>
          <w:jc w:val="center"/>
        </w:trPr>
        <w:tc>
          <w:tcPr>
            <w:tcW w:w="2870" w:type="dxa"/>
            <w:tcBorders>
              <w:top w:val="nil"/>
              <w:left w:val="single" w:sz="8" w:space="0" w:color="auto"/>
              <w:bottom w:val="nil"/>
              <w:right w:val="single" w:sz="8" w:space="0" w:color="auto"/>
            </w:tcBorders>
            <w:shd w:val="clear" w:color="FFFFCC" w:fill="FFFFCC"/>
            <w:noWrap/>
            <w:vAlign w:val="center"/>
            <w:hideMark/>
          </w:tcPr>
          <w:p w:rsidR="00421AD9" w:rsidRPr="007A47E6" w:rsidRDefault="00421AD9" w:rsidP="00421AD9">
            <w:pPr>
              <w:ind w:firstLineChars="100" w:firstLine="160"/>
              <w:rPr>
                <w:rFonts w:ascii="Times New Roman" w:eastAsia="Times New Roman" w:hAnsi="Times New Roman" w:cs="Times New Roman"/>
                <w:i/>
                <w:iCs/>
                <w:sz w:val="16"/>
                <w:szCs w:val="28"/>
                <w:lang w:eastAsia="es-GT"/>
              </w:rPr>
            </w:pPr>
            <w:r w:rsidRPr="007A47E6">
              <w:rPr>
                <w:rFonts w:ascii="Times New Roman" w:eastAsia="Times New Roman" w:hAnsi="Times New Roman" w:cs="Times New Roman"/>
                <w:i/>
                <w:iCs/>
                <w:sz w:val="16"/>
                <w:szCs w:val="28"/>
                <w:lang w:eastAsia="es-GT"/>
              </w:rPr>
              <w:t xml:space="preserve">     Importaciones</w:t>
            </w:r>
          </w:p>
        </w:tc>
        <w:tc>
          <w:tcPr>
            <w:tcW w:w="795" w:type="dxa"/>
            <w:tcBorders>
              <w:top w:val="nil"/>
              <w:left w:val="nil"/>
              <w:bottom w:val="nil"/>
              <w:right w:val="single" w:sz="8"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13,216.0</w:t>
            </w:r>
          </w:p>
        </w:tc>
        <w:tc>
          <w:tcPr>
            <w:tcW w:w="795" w:type="dxa"/>
            <w:tcBorders>
              <w:top w:val="nil"/>
              <w:left w:val="single" w:sz="8" w:space="0" w:color="auto"/>
              <w:bottom w:val="nil"/>
              <w:right w:val="single" w:sz="8" w:space="0" w:color="auto"/>
            </w:tcBorders>
            <w:shd w:val="clear" w:color="auto" w:fill="auto"/>
            <w:noWrap/>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14,469.1</w:t>
            </w:r>
          </w:p>
        </w:tc>
        <w:tc>
          <w:tcPr>
            <w:tcW w:w="993" w:type="dxa"/>
            <w:tcBorders>
              <w:top w:val="nil"/>
              <w:left w:val="single" w:sz="8" w:space="0" w:color="auto"/>
              <w:bottom w:val="nil"/>
              <w:right w:val="single" w:sz="4"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13,530.5</w:t>
            </w:r>
          </w:p>
        </w:tc>
        <w:tc>
          <w:tcPr>
            <w:tcW w:w="1055" w:type="dxa"/>
            <w:tcBorders>
              <w:top w:val="nil"/>
              <w:left w:val="single" w:sz="4" w:space="0" w:color="auto"/>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1,253.1</w:t>
            </w:r>
          </w:p>
        </w:tc>
        <w:tc>
          <w:tcPr>
            <w:tcW w:w="1014" w:type="dxa"/>
            <w:tcBorders>
              <w:top w:val="nil"/>
              <w:left w:val="nil"/>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938.6</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9.5%</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6.9%</w:t>
            </w:r>
          </w:p>
        </w:tc>
      </w:tr>
      <w:tr w:rsidR="00421AD9" w:rsidRPr="007A47E6" w:rsidTr="00700AAA">
        <w:trPr>
          <w:trHeight w:val="312"/>
          <w:jc w:val="center"/>
        </w:trPr>
        <w:tc>
          <w:tcPr>
            <w:tcW w:w="2870" w:type="dxa"/>
            <w:tcBorders>
              <w:top w:val="nil"/>
              <w:left w:val="single" w:sz="8" w:space="0" w:color="auto"/>
              <w:bottom w:val="nil"/>
              <w:right w:val="single" w:sz="8" w:space="0" w:color="auto"/>
            </w:tcBorders>
            <w:shd w:val="clear" w:color="FFFFCC" w:fill="FFFFCC"/>
            <w:noWrap/>
            <w:vAlign w:val="center"/>
            <w:hideMark/>
          </w:tcPr>
          <w:p w:rsidR="00421AD9" w:rsidRPr="007A47E6" w:rsidRDefault="00421AD9" w:rsidP="00421AD9">
            <w:pPr>
              <w:ind w:firstLineChars="100" w:firstLine="160"/>
              <w:rPr>
                <w:rFonts w:ascii="Times New Roman" w:eastAsia="Times New Roman" w:hAnsi="Times New Roman" w:cs="Times New Roman"/>
                <w:sz w:val="16"/>
                <w:szCs w:val="28"/>
                <w:lang w:eastAsia="es-GT"/>
              </w:rPr>
            </w:pPr>
            <w:r w:rsidRPr="007A47E6">
              <w:rPr>
                <w:rFonts w:ascii="Times New Roman" w:eastAsia="Times New Roman" w:hAnsi="Times New Roman" w:cs="Times New Roman"/>
                <w:sz w:val="16"/>
                <w:szCs w:val="28"/>
                <w:lang w:eastAsia="es-GT"/>
              </w:rPr>
              <w:t>Derechos Arancelarios</w:t>
            </w:r>
          </w:p>
        </w:tc>
        <w:tc>
          <w:tcPr>
            <w:tcW w:w="795" w:type="dxa"/>
            <w:tcBorders>
              <w:top w:val="nil"/>
              <w:left w:val="nil"/>
              <w:bottom w:val="nil"/>
              <w:right w:val="single" w:sz="8"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2,454.8</w:t>
            </w:r>
          </w:p>
        </w:tc>
        <w:tc>
          <w:tcPr>
            <w:tcW w:w="795" w:type="dxa"/>
            <w:tcBorders>
              <w:top w:val="nil"/>
              <w:left w:val="single" w:sz="8" w:space="0" w:color="auto"/>
              <w:bottom w:val="nil"/>
              <w:right w:val="single" w:sz="8" w:space="0" w:color="auto"/>
            </w:tcBorders>
            <w:shd w:val="clear" w:color="auto" w:fill="auto"/>
            <w:noWrap/>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2,575.8</w:t>
            </w:r>
          </w:p>
        </w:tc>
        <w:tc>
          <w:tcPr>
            <w:tcW w:w="993" w:type="dxa"/>
            <w:tcBorders>
              <w:top w:val="nil"/>
              <w:left w:val="single" w:sz="8" w:space="0" w:color="auto"/>
              <w:bottom w:val="nil"/>
              <w:right w:val="single" w:sz="4"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2,637.4</w:t>
            </w:r>
          </w:p>
        </w:tc>
        <w:tc>
          <w:tcPr>
            <w:tcW w:w="1055" w:type="dxa"/>
            <w:tcBorders>
              <w:top w:val="nil"/>
              <w:left w:val="single" w:sz="4" w:space="0" w:color="auto"/>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121.0</w:t>
            </w:r>
          </w:p>
        </w:tc>
        <w:tc>
          <w:tcPr>
            <w:tcW w:w="1014" w:type="dxa"/>
            <w:tcBorders>
              <w:top w:val="nil"/>
              <w:left w:val="nil"/>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-61.6</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4.9%</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-2.3%</w:t>
            </w:r>
          </w:p>
        </w:tc>
      </w:tr>
      <w:tr w:rsidR="00421AD9" w:rsidRPr="007A47E6" w:rsidTr="00700AAA">
        <w:trPr>
          <w:trHeight w:val="312"/>
          <w:jc w:val="center"/>
        </w:trPr>
        <w:tc>
          <w:tcPr>
            <w:tcW w:w="2870" w:type="dxa"/>
            <w:tcBorders>
              <w:top w:val="nil"/>
              <w:left w:val="single" w:sz="8" w:space="0" w:color="auto"/>
              <w:bottom w:val="nil"/>
              <w:right w:val="single" w:sz="8" w:space="0" w:color="auto"/>
            </w:tcBorders>
            <w:shd w:val="clear" w:color="FFFFCC" w:fill="FFFFCC"/>
            <w:noWrap/>
            <w:vAlign w:val="center"/>
            <w:hideMark/>
          </w:tcPr>
          <w:p w:rsidR="00421AD9" w:rsidRPr="007A47E6" w:rsidRDefault="00421AD9" w:rsidP="00421AD9">
            <w:pPr>
              <w:ind w:firstLineChars="100" w:firstLine="160"/>
              <w:rPr>
                <w:rFonts w:ascii="Times New Roman" w:eastAsia="Times New Roman" w:hAnsi="Times New Roman" w:cs="Times New Roman"/>
                <w:sz w:val="16"/>
                <w:szCs w:val="28"/>
                <w:lang w:eastAsia="es-GT"/>
              </w:rPr>
            </w:pPr>
            <w:r w:rsidRPr="007A47E6">
              <w:rPr>
                <w:rFonts w:ascii="Times New Roman" w:eastAsia="Times New Roman" w:hAnsi="Times New Roman" w:cs="Times New Roman"/>
                <w:sz w:val="16"/>
                <w:szCs w:val="28"/>
                <w:lang w:eastAsia="es-GT"/>
              </w:rPr>
              <w:t>Derivados del Petróleo</w:t>
            </w:r>
          </w:p>
        </w:tc>
        <w:tc>
          <w:tcPr>
            <w:tcW w:w="795" w:type="dxa"/>
            <w:tcBorders>
              <w:top w:val="nil"/>
              <w:left w:val="nil"/>
              <w:bottom w:val="nil"/>
              <w:right w:val="single" w:sz="8"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3,296.4</w:t>
            </w:r>
          </w:p>
        </w:tc>
        <w:tc>
          <w:tcPr>
            <w:tcW w:w="795" w:type="dxa"/>
            <w:tcBorders>
              <w:top w:val="nil"/>
              <w:left w:val="single" w:sz="8" w:space="0" w:color="auto"/>
              <w:bottom w:val="nil"/>
              <w:right w:val="single" w:sz="8" w:space="0" w:color="auto"/>
            </w:tcBorders>
            <w:shd w:val="clear" w:color="auto" w:fill="auto"/>
            <w:noWrap/>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3,417.4</w:t>
            </w:r>
          </w:p>
        </w:tc>
        <w:tc>
          <w:tcPr>
            <w:tcW w:w="993" w:type="dxa"/>
            <w:tcBorders>
              <w:top w:val="nil"/>
              <w:left w:val="single" w:sz="8" w:space="0" w:color="auto"/>
              <w:bottom w:val="nil"/>
              <w:right w:val="single" w:sz="4"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3,496.0</w:t>
            </w:r>
          </w:p>
        </w:tc>
        <w:tc>
          <w:tcPr>
            <w:tcW w:w="1055" w:type="dxa"/>
            <w:tcBorders>
              <w:top w:val="nil"/>
              <w:left w:val="single" w:sz="4" w:space="0" w:color="auto"/>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120.9</w:t>
            </w:r>
          </w:p>
        </w:tc>
        <w:tc>
          <w:tcPr>
            <w:tcW w:w="1014" w:type="dxa"/>
            <w:tcBorders>
              <w:top w:val="nil"/>
              <w:left w:val="nil"/>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-78.6</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3.7%</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-2.2%</w:t>
            </w:r>
          </w:p>
        </w:tc>
      </w:tr>
      <w:tr w:rsidR="00421AD9" w:rsidRPr="007A47E6" w:rsidTr="00700AAA">
        <w:trPr>
          <w:trHeight w:val="312"/>
          <w:jc w:val="center"/>
        </w:trPr>
        <w:tc>
          <w:tcPr>
            <w:tcW w:w="2870" w:type="dxa"/>
            <w:tcBorders>
              <w:top w:val="nil"/>
              <w:left w:val="single" w:sz="8" w:space="0" w:color="auto"/>
              <w:bottom w:val="nil"/>
              <w:right w:val="single" w:sz="8" w:space="0" w:color="auto"/>
            </w:tcBorders>
            <w:shd w:val="clear" w:color="FFFFCC" w:fill="FFFFCC"/>
            <w:noWrap/>
            <w:vAlign w:val="center"/>
            <w:hideMark/>
          </w:tcPr>
          <w:p w:rsidR="00421AD9" w:rsidRPr="007A47E6" w:rsidRDefault="00421AD9" w:rsidP="00421AD9">
            <w:pPr>
              <w:ind w:firstLineChars="100" w:firstLine="160"/>
              <w:rPr>
                <w:rFonts w:ascii="Times New Roman" w:eastAsia="Times New Roman" w:hAnsi="Times New Roman" w:cs="Times New Roman"/>
                <w:sz w:val="16"/>
                <w:szCs w:val="28"/>
                <w:lang w:eastAsia="es-GT"/>
              </w:rPr>
            </w:pPr>
            <w:r w:rsidRPr="007A47E6">
              <w:rPr>
                <w:rFonts w:ascii="Times New Roman" w:eastAsia="Times New Roman" w:hAnsi="Times New Roman" w:cs="Times New Roman"/>
                <w:sz w:val="16"/>
                <w:szCs w:val="28"/>
                <w:lang w:eastAsia="es-GT"/>
              </w:rPr>
              <w:t>Timbres Fiscales</w:t>
            </w:r>
          </w:p>
        </w:tc>
        <w:tc>
          <w:tcPr>
            <w:tcW w:w="795" w:type="dxa"/>
            <w:tcBorders>
              <w:top w:val="nil"/>
              <w:left w:val="nil"/>
              <w:bottom w:val="nil"/>
              <w:right w:val="single" w:sz="8"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507.9</w:t>
            </w:r>
          </w:p>
        </w:tc>
        <w:tc>
          <w:tcPr>
            <w:tcW w:w="795" w:type="dxa"/>
            <w:tcBorders>
              <w:top w:val="nil"/>
              <w:left w:val="single" w:sz="8" w:space="0" w:color="auto"/>
              <w:bottom w:val="nil"/>
              <w:right w:val="single" w:sz="8" w:space="0" w:color="auto"/>
            </w:tcBorders>
            <w:shd w:val="clear" w:color="auto" w:fill="auto"/>
            <w:noWrap/>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463.0</w:t>
            </w:r>
          </w:p>
        </w:tc>
        <w:tc>
          <w:tcPr>
            <w:tcW w:w="993" w:type="dxa"/>
            <w:tcBorders>
              <w:top w:val="nil"/>
              <w:left w:val="single" w:sz="8" w:space="0" w:color="auto"/>
              <w:bottom w:val="nil"/>
              <w:right w:val="single" w:sz="4"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489.5</w:t>
            </w:r>
          </w:p>
        </w:tc>
        <w:tc>
          <w:tcPr>
            <w:tcW w:w="1055" w:type="dxa"/>
            <w:tcBorders>
              <w:top w:val="nil"/>
              <w:left w:val="single" w:sz="4" w:space="0" w:color="auto"/>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-45.0</w:t>
            </w:r>
          </w:p>
        </w:tc>
        <w:tc>
          <w:tcPr>
            <w:tcW w:w="1014" w:type="dxa"/>
            <w:tcBorders>
              <w:top w:val="nil"/>
              <w:left w:val="nil"/>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-26.5</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-9.0%</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-5.6%</w:t>
            </w:r>
          </w:p>
        </w:tc>
      </w:tr>
      <w:tr w:rsidR="00421AD9" w:rsidRPr="007A47E6" w:rsidTr="00700AAA">
        <w:trPr>
          <w:trHeight w:val="312"/>
          <w:jc w:val="center"/>
        </w:trPr>
        <w:tc>
          <w:tcPr>
            <w:tcW w:w="2870" w:type="dxa"/>
            <w:tcBorders>
              <w:top w:val="nil"/>
              <w:left w:val="single" w:sz="8" w:space="0" w:color="auto"/>
              <w:bottom w:val="nil"/>
              <w:right w:val="single" w:sz="8" w:space="0" w:color="auto"/>
            </w:tcBorders>
            <w:shd w:val="clear" w:color="FFFFCC" w:fill="FFFFCC"/>
            <w:noWrap/>
            <w:vAlign w:val="center"/>
            <w:hideMark/>
          </w:tcPr>
          <w:p w:rsidR="00421AD9" w:rsidRPr="007A47E6" w:rsidRDefault="00421AD9" w:rsidP="00421AD9">
            <w:pPr>
              <w:ind w:firstLineChars="100" w:firstLine="160"/>
              <w:rPr>
                <w:rFonts w:ascii="Times New Roman" w:eastAsia="Times New Roman" w:hAnsi="Times New Roman" w:cs="Times New Roman"/>
                <w:sz w:val="16"/>
                <w:szCs w:val="28"/>
                <w:lang w:eastAsia="es-GT"/>
              </w:rPr>
            </w:pPr>
            <w:r w:rsidRPr="007A47E6">
              <w:rPr>
                <w:rFonts w:ascii="Times New Roman" w:eastAsia="Times New Roman" w:hAnsi="Times New Roman" w:cs="Times New Roman"/>
                <w:sz w:val="16"/>
                <w:szCs w:val="28"/>
                <w:lang w:eastAsia="es-GT"/>
              </w:rPr>
              <w:t>Circulación de Vehículos</w:t>
            </w:r>
          </w:p>
        </w:tc>
        <w:tc>
          <w:tcPr>
            <w:tcW w:w="795" w:type="dxa"/>
            <w:tcBorders>
              <w:top w:val="nil"/>
              <w:left w:val="nil"/>
              <w:bottom w:val="nil"/>
              <w:right w:val="single" w:sz="8"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826.0</w:t>
            </w:r>
          </w:p>
        </w:tc>
        <w:tc>
          <w:tcPr>
            <w:tcW w:w="795" w:type="dxa"/>
            <w:tcBorders>
              <w:top w:val="nil"/>
              <w:left w:val="single" w:sz="8" w:space="0" w:color="auto"/>
              <w:bottom w:val="nil"/>
              <w:right w:val="single" w:sz="8" w:space="0" w:color="auto"/>
            </w:tcBorders>
            <w:shd w:val="clear" w:color="auto" w:fill="auto"/>
            <w:noWrap/>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881.2</w:t>
            </w:r>
          </w:p>
        </w:tc>
        <w:tc>
          <w:tcPr>
            <w:tcW w:w="993" w:type="dxa"/>
            <w:tcBorders>
              <w:top w:val="nil"/>
              <w:left w:val="single" w:sz="8" w:space="0" w:color="auto"/>
              <w:bottom w:val="nil"/>
              <w:right w:val="single" w:sz="4"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920.2</w:t>
            </w:r>
          </w:p>
        </w:tc>
        <w:tc>
          <w:tcPr>
            <w:tcW w:w="1055" w:type="dxa"/>
            <w:tcBorders>
              <w:top w:val="nil"/>
              <w:left w:val="single" w:sz="4" w:space="0" w:color="auto"/>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55.20</w:t>
            </w:r>
          </w:p>
        </w:tc>
        <w:tc>
          <w:tcPr>
            <w:tcW w:w="1014" w:type="dxa"/>
            <w:tcBorders>
              <w:top w:val="nil"/>
              <w:left w:val="nil"/>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-39.0</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6.7%</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-4.2%</w:t>
            </w:r>
          </w:p>
        </w:tc>
      </w:tr>
      <w:tr w:rsidR="00421AD9" w:rsidRPr="007A47E6" w:rsidTr="00700AAA">
        <w:trPr>
          <w:trHeight w:val="312"/>
          <w:jc w:val="center"/>
        </w:trPr>
        <w:tc>
          <w:tcPr>
            <w:tcW w:w="2870" w:type="dxa"/>
            <w:tcBorders>
              <w:top w:val="nil"/>
              <w:left w:val="single" w:sz="8" w:space="0" w:color="auto"/>
              <w:bottom w:val="nil"/>
              <w:right w:val="single" w:sz="8" w:space="0" w:color="auto"/>
            </w:tcBorders>
            <w:shd w:val="clear" w:color="FFFFCC" w:fill="FFFFCC"/>
            <w:noWrap/>
            <w:vAlign w:val="center"/>
            <w:hideMark/>
          </w:tcPr>
          <w:p w:rsidR="00421AD9" w:rsidRPr="007A47E6" w:rsidRDefault="00421AD9" w:rsidP="00421AD9">
            <w:pPr>
              <w:ind w:firstLineChars="100" w:firstLine="160"/>
              <w:rPr>
                <w:rFonts w:ascii="Times New Roman" w:eastAsia="Times New Roman" w:hAnsi="Times New Roman" w:cs="Times New Roman"/>
                <w:sz w:val="16"/>
                <w:szCs w:val="28"/>
                <w:lang w:eastAsia="es-GT"/>
              </w:rPr>
            </w:pPr>
            <w:r w:rsidRPr="007A47E6">
              <w:rPr>
                <w:rFonts w:ascii="Times New Roman" w:eastAsia="Times New Roman" w:hAnsi="Times New Roman" w:cs="Times New Roman"/>
                <w:sz w:val="16"/>
                <w:szCs w:val="28"/>
                <w:lang w:eastAsia="es-GT"/>
              </w:rPr>
              <w:t>IPRIMA</w:t>
            </w:r>
          </w:p>
        </w:tc>
        <w:tc>
          <w:tcPr>
            <w:tcW w:w="795" w:type="dxa"/>
            <w:tcBorders>
              <w:top w:val="nil"/>
              <w:left w:val="nil"/>
              <w:bottom w:val="nil"/>
              <w:right w:val="single" w:sz="8"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952.9</w:t>
            </w:r>
          </w:p>
        </w:tc>
        <w:tc>
          <w:tcPr>
            <w:tcW w:w="795" w:type="dxa"/>
            <w:tcBorders>
              <w:top w:val="nil"/>
              <w:left w:val="single" w:sz="8" w:space="0" w:color="auto"/>
              <w:bottom w:val="nil"/>
              <w:right w:val="single" w:sz="8" w:space="0" w:color="auto"/>
            </w:tcBorders>
            <w:shd w:val="clear" w:color="auto" w:fill="auto"/>
            <w:noWrap/>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952.7</w:t>
            </w:r>
          </w:p>
        </w:tc>
        <w:tc>
          <w:tcPr>
            <w:tcW w:w="993" w:type="dxa"/>
            <w:tcBorders>
              <w:top w:val="nil"/>
              <w:left w:val="single" w:sz="8" w:space="0" w:color="auto"/>
              <w:bottom w:val="nil"/>
              <w:right w:val="single" w:sz="4"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1,031.1</w:t>
            </w:r>
          </w:p>
        </w:tc>
        <w:tc>
          <w:tcPr>
            <w:tcW w:w="1055" w:type="dxa"/>
            <w:tcBorders>
              <w:top w:val="nil"/>
              <w:left w:val="single" w:sz="4" w:space="0" w:color="auto"/>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-0.2</w:t>
            </w:r>
          </w:p>
        </w:tc>
        <w:tc>
          <w:tcPr>
            <w:tcW w:w="1014" w:type="dxa"/>
            <w:tcBorders>
              <w:top w:val="nil"/>
              <w:left w:val="nil"/>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-78.4</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0.0%</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-7.6%</w:t>
            </w:r>
          </w:p>
        </w:tc>
      </w:tr>
      <w:tr w:rsidR="00421AD9" w:rsidRPr="007A47E6" w:rsidTr="00700AAA">
        <w:trPr>
          <w:trHeight w:val="312"/>
          <w:jc w:val="center"/>
        </w:trPr>
        <w:tc>
          <w:tcPr>
            <w:tcW w:w="2870" w:type="dxa"/>
            <w:tcBorders>
              <w:top w:val="nil"/>
              <w:left w:val="single" w:sz="8" w:space="0" w:color="auto"/>
              <w:bottom w:val="nil"/>
              <w:right w:val="single" w:sz="8" w:space="0" w:color="auto"/>
            </w:tcBorders>
            <w:shd w:val="clear" w:color="FFFFCC" w:fill="FFFFCC"/>
            <w:noWrap/>
            <w:vAlign w:val="center"/>
            <w:hideMark/>
          </w:tcPr>
          <w:p w:rsidR="00421AD9" w:rsidRPr="007A47E6" w:rsidRDefault="00421AD9" w:rsidP="00421AD9">
            <w:pPr>
              <w:ind w:firstLineChars="100" w:firstLine="160"/>
              <w:rPr>
                <w:rFonts w:ascii="Times New Roman" w:eastAsia="Times New Roman" w:hAnsi="Times New Roman" w:cs="Times New Roman"/>
                <w:sz w:val="16"/>
                <w:szCs w:val="28"/>
                <w:lang w:eastAsia="es-GT"/>
              </w:rPr>
            </w:pPr>
            <w:r w:rsidRPr="007A47E6">
              <w:rPr>
                <w:rFonts w:ascii="Times New Roman" w:eastAsia="Times New Roman" w:hAnsi="Times New Roman" w:cs="Times New Roman"/>
                <w:sz w:val="16"/>
                <w:szCs w:val="28"/>
                <w:lang w:eastAsia="es-GT"/>
              </w:rPr>
              <w:t>Bebidas</w:t>
            </w:r>
          </w:p>
        </w:tc>
        <w:tc>
          <w:tcPr>
            <w:tcW w:w="795" w:type="dxa"/>
            <w:tcBorders>
              <w:top w:val="nil"/>
              <w:left w:val="nil"/>
              <w:bottom w:val="nil"/>
              <w:right w:val="single" w:sz="8"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759.5</w:t>
            </w:r>
          </w:p>
        </w:tc>
        <w:tc>
          <w:tcPr>
            <w:tcW w:w="795" w:type="dxa"/>
            <w:tcBorders>
              <w:top w:val="nil"/>
              <w:left w:val="single" w:sz="8" w:space="0" w:color="auto"/>
              <w:bottom w:val="nil"/>
              <w:right w:val="single" w:sz="8" w:space="0" w:color="auto"/>
            </w:tcBorders>
            <w:shd w:val="clear" w:color="auto" w:fill="auto"/>
            <w:noWrap/>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790.3</w:t>
            </w:r>
          </w:p>
        </w:tc>
        <w:tc>
          <w:tcPr>
            <w:tcW w:w="993" w:type="dxa"/>
            <w:tcBorders>
              <w:top w:val="nil"/>
              <w:left w:val="single" w:sz="8" w:space="0" w:color="auto"/>
              <w:bottom w:val="nil"/>
              <w:right w:val="single" w:sz="4"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817.6</w:t>
            </w:r>
          </w:p>
        </w:tc>
        <w:tc>
          <w:tcPr>
            <w:tcW w:w="1055" w:type="dxa"/>
            <w:tcBorders>
              <w:top w:val="nil"/>
              <w:left w:val="single" w:sz="4" w:space="0" w:color="auto"/>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30.8</w:t>
            </w:r>
          </w:p>
        </w:tc>
        <w:tc>
          <w:tcPr>
            <w:tcW w:w="1014" w:type="dxa"/>
            <w:tcBorders>
              <w:top w:val="nil"/>
              <w:left w:val="nil"/>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-27.3</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4.1%</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-3.3%</w:t>
            </w:r>
          </w:p>
        </w:tc>
      </w:tr>
      <w:tr w:rsidR="00421AD9" w:rsidRPr="007A47E6" w:rsidTr="00700AAA">
        <w:trPr>
          <w:trHeight w:val="312"/>
          <w:jc w:val="center"/>
        </w:trPr>
        <w:tc>
          <w:tcPr>
            <w:tcW w:w="2870" w:type="dxa"/>
            <w:tcBorders>
              <w:top w:val="nil"/>
              <w:left w:val="single" w:sz="8" w:space="0" w:color="auto"/>
              <w:bottom w:val="nil"/>
              <w:right w:val="single" w:sz="8" w:space="0" w:color="auto"/>
            </w:tcBorders>
            <w:shd w:val="clear" w:color="FFFFCC" w:fill="FFFFCC"/>
            <w:noWrap/>
            <w:vAlign w:val="center"/>
            <w:hideMark/>
          </w:tcPr>
          <w:p w:rsidR="00421AD9" w:rsidRPr="007A47E6" w:rsidRDefault="00421AD9" w:rsidP="00421AD9">
            <w:pPr>
              <w:ind w:firstLineChars="100" w:firstLine="160"/>
              <w:rPr>
                <w:rFonts w:ascii="Times New Roman" w:eastAsia="Times New Roman" w:hAnsi="Times New Roman" w:cs="Times New Roman"/>
                <w:sz w:val="16"/>
                <w:szCs w:val="28"/>
                <w:lang w:eastAsia="es-GT"/>
              </w:rPr>
            </w:pPr>
            <w:r w:rsidRPr="007A47E6">
              <w:rPr>
                <w:rFonts w:ascii="Times New Roman" w:eastAsia="Times New Roman" w:hAnsi="Times New Roman" w:cs="Times New Roman"/>
                <w:sz w:val="16"/>
                <w:szCs w:val="28"/>
                <w:lang w:eastAsia="es-GT"/>
              </w:rPr>
              <w:t>Tabacos</w:t>
            </w:r>
          </w:p>
        </w:tc>
        <w:tc>
          <w:tcPr>
            <w:tcW w:w="795" w:type="dxa"/>
            <w:tcBorders>
              <w:top w:val="nil"/>
              <w:left w:val="nil"/>
              <w:bottom w:val="nil"/>
              <w:right w:val="single" w:sz="8"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347.9</w:t>
            </w:r>
          </w:p>
        </w:tc>
        <w:tc>
          <w:tcPr>
            <w:tcW w:w="795" w:type="dxa"/>
            <w:tcBorders>
              <w:top w:val="nil"/>
              <w:left w:val="single" w:sz="8" w:space="0" w:color="auto"/>
              <w:bottom w:val="nil"/>
              <w:right w:val="single" w:sz="8" w:space="0" w:color="auto"/>
            </w:tcBorders>
            <w:shd w:val="clear" w:color="auto" w:fill="auto"/>
            <w:noWrap/>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337.1</w:t>
            </w:r>
          </w:p>
        </w:tc>
        <w:tc>
          <w:tcPr>
            <w:tcW w:w="993" w:type="dxa"/>
            <w:tcBorders>
              <w:top w:val="nil"/>
              <w:left w:val="single" w:sz="8" w:space="0" w:color="auto"/>
              <w:bottom w:val="nil"/>
              <w:right w:val="single" w:sz="4"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398.5</w:t>
            </w:r>
          </w:p>
        </w:tc>
        <w:tc>
          <w:tcPr>
            <w:tcW w:w="1055" w:type="dxa"/>
            <w:tcBorders>
              <w:top w:val="nil"/>
              <w:left w:val="single" w:sz="4" w:space="0" w:color="auto"/>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-10.8</w:t>
            </w:r>
          </w:p>
        </w:tc>
        <w:tc>
          <w:tcPr>
            <w:tcW w:w="1014" w:type="dxa"/>
            <w:tcBorders>
              <w:top w:val="nil"/>
              <w:left w:val="nil"/>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-61.4</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-3.1%</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-15.4%</w:t>
            </w:r>
          </w:p>
        </w:tc>
      </w:tr>
      <w:tr w:rsidR="00421AD9" w:rsidRPr="007A47E6" w:rsidTr="00700AAA">
        <w:trPr>
          <w:trHeight w:val="312"/>
          <w:jc w:val="center"/>
        </w:trPr>
        <w:tc>
          <w:tcPr>
            <w:tcW w:w="2870" w:type="dxa"/>
            <w:tcBorders>
              <w:top w:val="nil"/>
              <w:left w:val="single" w:sz="8" w:space="0" w:color="auto"/>
              <w:bottom w:val="nil"/>
              <w:right w:val="single" w:sz="8" w:space="0" w:color="auto"/>
            </w:tcBorders>
            <w:shd w:val="clear" w:color="FFFFCC" w:fill="FFFFCC"/>
            <w:noWrap/>
            <w:vAlign w:val="center"/>
            <w:hideMark/>
          </w:tcPr>
          <w:p w:rsidR="00421AD9" w:rsidRPr="007A47E6" w:rsidRDefault="00421AD9" w:rsidP="00421AD9">
            <w:pPr>
              <w:ind w:firstLineChars="100" w:firstLine="160"/>
              <w:rPr>
                <w:rFonts w:ascii="Times New Roman" w:eastAsia="Times New Roman" w:hAnsi="Times New Roman" w:cs="Times New Roman"/>
                <w:sz w:val="16"/>
                <w:szCs w:val="28"/>
                <w:lang w:eastAsia="es-GT"/>
              </w:rPr>
            </w:pPr>
            <w:r w:rsidRPr="007A47E6">
              <w:rPr>
                <w:rFonts w:ascii="Times New Roman" w:eastAsia="Times New Roman" w:hAnsi="Times New Roman" w:cs="Times New Roman"/>
                <w:sz w:val="16"/>
                <w:szCs w:val="28"/>
                <w:lang w:eastAsia="es-GT"/>
              </w:rPr>
              <w:t>Distribución de Cemento</w:t>
            </w:r>
          </w:p>
        </w:tc>
        <w:tc>
          <w:tcPr>
            <w:tcW w:w="795" w:type="dxa"/>
            <w:tcBorders>
              <w:top w:val="nil"/>
              <w:left w:val="nil"/>
              <w:bottom w:val="nil"/>
              <w:right w:val="single" w:sz="8"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114.0</w:t>
            </w:r>
          </w:p>
        </w:tc>
        <w:tc>
          <w:tcPr>
            <w:tcW w:w="795" w:type="dxa"/>
            <w:tcBorders>
              <w:top w:val="nil"/>
              <w:left w:val="single" w:sz="8" w:space="0" w:color="auto"/>
              <w:bottom w:val="nil"/>
              <w:right w:val="single" w:sz="8" w:space="0" w:color="auto"/>
            </w:tcBorders>
            <w:shd w:val="clear" w:color="auto" w:fill="auto"/>
            <w:noWrap/>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123.3</w:t>
            </w:r>
          </w:p>
        </w:tc>
        <w:tc>
          <w:tcPr>
            <w:tcW w:w="993" w:type="dxa"/>
            <w:tcBorders>
              <w:top w:val="nil"/>
              <w:left w:val="single" w:sz="8" w:space="0" w:color="auto"/>
              <w:bottom w:val="nil"/>
              <w:right w:val="single" w:sz="4"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109.7</w:t>
            </w:r>
          </w:p>
        </w:tc>
        <w:tc>
          <w:tcPr>
            <w:tcW w:w="1055" w:type="dxa"/>
            <w:tcBorders>
              <w:top w:val="nil"/>
              <w:left w:val="single" w:sz="4" w:space="0" w:color="auto"/>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9.3</w:t>
            </w:r>
          </w:p>
        </w:tc>
        <w:tc>
          <w:tcPr>
            <w:tcW w:w="1014" w:type="dxa"/>
            <w:tcBorders>
              <w:top w:val="nil"/>
              <w:left w:val="nil"/>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13.6</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8.2%</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12.4%</w:t>
            </w:r>
          </w:p>
        </w:tc>
      </w:tr>
      <w:tr w:rsidR="00421AD9" w:rsidRPr="007A47E6" w:rsidTr="00700AAA">
        <w:trPr>
          <w:trHeight w:val="312"/>
          <w:jc w:val="center"/>
        </w:trPr>
        <w:tc>
          <w:tcPr>
            <w:tcW w:w="2870" w:type="dxa"/>
            <w:tcBorders>
              <w:top w:val="nil"/>
              <w:left w:val="single" w:sz="8" w:space="0" w:color="auto"/>
              <w:bottom w:val="nil"/>
              <w:right w:val="single" w:sz="8" w:space="0" w:color="auto"/>
            </w:tcBorders>
            <w:shd w:val="clear" w:color="FFFFCC" w:fill="FFFFCC"/>
            <w:noWrap/>
            <w:vAlign w:val="center"/>
            <w:hideMark/>
          </w:tcPr>
          <w:p w:rsidR="00421AD9" w:rsidRPr="007A47E6" w:rsidRDefault="00421AD9" w:rsidP="00421AD9">
            <w:pPr>
              <w:ind w:firstLineChars="100" w:firstLine="160"/>
              <w:rPr>
                <w:rFonts w:ascii="Times New Roman" w:eastAsia="Times New Roman" w:hAnsi="Times New Roman" w:cs="Times New Roman"/>
                <w:sz w:val="16"/>
                <w:szCs w:val="28"/>
                <w:lang w:eastAsia="es-GT"/>
              </w:rPr>
            </w:pPr>
            <w:r w:rsidRPr="007A47E6">
              <w:rPr>
                <w:rFonts w:ascii="Times New Roman" w:eastAsia="Times New Roman" w:hAnsi="Times New Roman" w:cs="Times New Roman"/>
                <w:sz w:val="16"/>
                <w:szCs w:val="28"/>
                <w:lang w:eastAsia="es-GT"/>
              </w:rPr>
              <w:t>Otros</w:t>
            </w:r>
          </w:p>
        </w:tc>
        <w:tc>
          <w:tcPr>
            <w:tcW w:w="795" w:type="dxa"/>
            <w:tcBorders>
              <w:top w:val="nil"/>
              <w:left w:val="nil"/>
              <w:bottom w:val="nil"/>
              <w:right w:val="single" w:sz="8"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7.5</w:t>
            </w:r>
          </w:p>
        </w:tc>
        <w:tc>
          <w:tcPr>
            <w:tcW w:w="795" w:type="dxa"/>
            <w:tcBorders>
              <w:top w:val="nil"/>
              <w:left w:val="single" w:sz="8" w:space="0" w:color="auto"/>
              <w:bottom w:val="single" w:sz="8" w:space="0" w:color="auto"/>
              <w:right w:val="single" w:sz="8" w:space="0" w:color="auto"/>
            </w:tcBorders>
            <w:shd w:val="clear" w:color="auto" w:fill="auto"/>
            <w:noWrap/>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6.7</w:t>
            </w:r>
          </w:p>
        </w:tc>
        <w:tc>
          <w:tcPr>
            <w:tcW w:w="993" w:type="dxa"/>
            <w:tcBorders>
              <w:top w:val="nil"/>
              <w:left w:val="single" w:sz="8" w:space="0" w:color="auto"/>
              <w:bottom w:val="single" w:sz="8" w:space="0" w:color="auto"/>
              <w:right w:val="single" w:sz="4"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5.5</w:t>
            </w:r>
          </w:p>
        </w:tc>
        <w:tc>
          <w:tcPr>
            <w:tcW w:w="1055" w:type="dxa"/>
            <w:tcBorders>
              <w:top w:val="nil"/>
              <w:left w:val="single" w:sz="4" w:space="0" w:color="auto"/>
              <w:bottom w:val="single" w:sz="8" w:space="0" w:color="auto"/>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-0.7</w:t>
            </w:r>
          </w:p>
        </w:tc>
        <w:tc>
          <w:tcPr>
            <w:tcW w:w="1014" w:type="dxa"/>
            <w:tcBorders>
              <w:top w:val="nil"/>
              <w:left w:val="nil"/>
              <w:bottom w:val="single" w:sz="8" w:space="0" w:color="auto"/>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1.2</w:t>
            </w:r>
          </w:p>
        </w:tc>
        <w:tc>
          <w:tcPr>
            <w:tcW w:w="1022" w:type="dxa"/>
            <w:tcBorders>
              <w:top w:val="nil"/>
              <w:left w:val="nil"/>
              <w:bottom w:val="single" w:sz="8" w:space="0" w:color="auto"/>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-9.9%</w:t>
            </w:r>
          </w:p>
        </w:tc>
        <w:tc>
          <w:tcPr>
            <w:tcW w:w="1022" w:type="dxa"/>
            <w:tcBorders>
              <w:top w:val="nil"/>
              <w:left w:val="nil"/>
              <w:bottom w:val="single" w:sz="8" w:space="0" w:color="auto"/>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22.4%</w:t>
            </w:r>
          </w:p>
        </w:tc>
      </w:tr>
      <w:tr w:rsidR="00421AD9" w:rsidRPr="007A47E6" w:rsidTr="00700AAA">
        <w:trPr>
          <w:trHeight w:val="220"/>
          <w:jc w:val="center"/>
        </w:trPr>
        <w:tc>
          <w:tcPr>
            <w:tcW w:w="2870" w:type="dxa"/>
            <w:tcBorders>
              <w:top w:val="single" w:sz="8" w:space="0" w:color="auto"/>
              <w:left w:val="single" w:sz="8" w:space="0" w:color="auto"/>
              <w:bottom w:val="single" w:sz="8" w:space="0" w:color="auto"/>
              <w:right w:val="single" w:sz="8" w:space="0" w:color="auto"/>
            </w:tcBorders>
            <w:shd w:val="clear" w:color="FFFFCC" w:fill="FFFFCC"/>
            <w:noWrap/>
            <w:vAlign w:val="center"/>
            <w:hideMark/>
          </w:tcPr>
          <w:p w:rsidR="00421AD9" w:rsidRPr="007A47E6" w:rsidRDefault="00421AD9" w:rsidP="00421AD9">
            <w:pPr>
              <w:jc w:val="center"/>
              <w:rPr>
                <w:rFonts w:ascii="Times New Roman" w:eastAsia="Times New Roman" w:hAnsi="Times New Roman" w:cs="Times New Roman"/>
                <w:b/>
                <w:bCs/>
                <w:sz w:val="16"/>
                <w:szCs w:val="28"/>
                <w:lang w:eastAsia="es-GT"/>
              </w:rPr>
            </w:pPr>
            <w:r w:rsidRPr="007A47E6">
              <w:rPr>
                <w:rFonts w:ascii="Times New Roman" w:eastAsia="Times New Roman" w:hAnsi="Times New Roman" w:cs="Times New Roman"/>
                <w:b/>
                <w:bCs/>
                <w:sz w:val="16"/>
                <w:szCs w:val="28"/>
                <w:lang w:eastAsia="es-GT"/>
              </w:rPr>
              <w:t>Otras Instituciones</w:t>
            </w:r>
          </w:p>
        </w:tc>
        <w:tc>
          <w:tcPr>
            <w:tcW w:w="795" w:type="dxa"/>
            <w:tcBorders>
              <w:top w:val="single" w:sz="8" w:space="0" w:color="auto"/>
              <w:left w:val="nil"/>
              <w:bottom w:val="single" w:sz="8" w:space="0" w:color="auto"/>
              <w:right w:val="single" w:sz="8" w:space="0" w:color="auto"/>
            </w:tcBorders>
            <w:shd w:val="clear" w:color="auto" w:fill="auto"/>
            <w:noWrap/>
            <w:vAlign w:val="center"/>
            <w:hideMark/>
          </w:tcPr>
          <w:p w:rsidR="00421AD9" w:rsidRPr="007A47E6" w:rsidRDefault="00421AD9" w:rsidP="00421AD9">
            <w:pPr>
              <w:jc w:val="center"/>
              <w:rPr>
                <w:rFonts w:ascii="Times New Roman" w:eastAsia="Times New Roman" w:hAnsi="Times New Roman" w:cs="Times New Roman"/>
                <w:b/>
                <w:bCs/>
                <w:i/>
                <w:iCs/>
                <w:sz w:val="16"/>
                <w:szCs w:val="28"/>
                <w:lang w:eastAsia="es-GT"/>
              </w:rPr>
            </w:pPr>
            <w:r w:rsidRPr="007A47E6">
              <w:rPr>
                <w:rFonts w:ascii="Times New Roman" w:eastAsia="Times New Roman" w:hAnsi="Times New Roman" w:cs="Times New Roman"/>
                <w:b/>
                <w:bCs/>
                <w:i/>
                <w:iCs/>
                <w:sz w:val="16"/>
                <w:szCs w:val="28"/>
                <w:lang w:eastAsia="es-GT"/>
              </w:rPr>
              <w:t>507.1</w:t>
            </w:r>
          </w:p>
        </w:tc>
        <w:tc>
          <w:tcPr>
            <w:tcW w:w="795" w:type="dxa"/>
            <w:tcBorders>
              <w:top w:val="nil"/>
              <w:left w:val="single" w:sz="8" w:space="0" w:color="auto"/>
              <w:bottom w:val="single" w:sz="8" w:space="0" w:color="auto"/>
              <w:right w:val="single" w:sz="8" w:space="0" w:color="auto"/>
            </w:tcBorders>
            <w:shd w:val="clear" w:color="auto" w:fill="auto"/>
            <w:noWrap/>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634.8</w:t>
            </w:r>
          </w:p>
        </w:tc>
        <w:tc>
          <w:tcPr>
            <w:tcW w:w="993" w:type="dxa"/>
            <w:tcBorders>
              <w:top w:val="nil"/>
              <w:left w:val="single" w:sz="8" w:space="0" w:color="auto"/>
              <w:bottom w:val="single" w:sz="8" w:space="0" w:color="auto"/>
              <w:right w:val="single" w:sz="4" w:space="0" w:color="auto"/>
            </w:tcBorders>
            <w:shd w:val="clear" w:color="auto" w:fill="auto"/>
            <w:noWrap/>
            <w:vAlign w:val="center"/>
            <w:hideMark/>
          </w:tcPr>
          <w:p w:rsidR="00421AD9" w:rsidRPr="007A47E6" w:rsidRDefault="00421AD9" w:rsidP="00421AD9">
            <w:pPr>
              <w:jc w:val="center"/>
              <w:rPr>
                <w:rFonts w:ascii="Times New Roman" w:eastAsia="Times New Roman" w:hAnsi="Times New Roman" w:cs="Times New Roman"/>
                <w:b/>
                <w:bCs/>
                <w:i/>
                <w:iCs/>
                <w:sz w:val="16"/>
                <w:szCs w:val="28"/>
                <w:lang w:eastAsia="es-GT"/>
              </w:rPr>
            </w:pPr>
            <w:r w:rsidRPr="007A47E6">
              <w:rPr>
                <w:rFonts w:ascii="Times New Roman" w:eastAsia="Times New Roman" w:hAnsi="Times New Roman" w:cs="Times New Roman"/>
                <w:b/>
                <w:bCs/>
                <w:i/>
                <w:iCs/>
                <w:sz w:val="16"/>
                <w:szCs w:val="28"/>
                <w:lang w:eastAsia="es-GT"/>
              </w:rPr>
              <w:t>531.8</w:t>
            </w:r>
          </w:p>
        </w:tc>
        <w:tc>
          <w:tcPr>
            <w:tcW w:w="1055" w:type="dxa"/>
            <w:tcBorders>
              <w:top w:val="nil"/>
              <w:left w:val="single" w:sz="4" w:space="0" w:color="auto"/>
              <w:bottom w:val="single" w:sz="8" w:space="0" w:color="auto"/>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127.8</w:t>
            </w:r>
          </w:p>
        </w:tc>
        <w:tc>
          <w:tcPr>
            <w:tcW w:w="1014" w:type="dxa"/>
            <w:tcBorders>
              <w:top w:val="nil"/>
              <w:left w:val="nil"/>
              <w:bottom w:val="single" w:sz="8" w:space="0" w:color="auto"/>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103.0</w:t>
            </w:r>
          </w:p>
        </w:tc>
        <w:tc>
          <w:tcPr>
            <w:tcW w:w="1022" w:type="dxa"/>
            <w:tcBorders>
              <w:top w:val="nil"/>
              <w:left w:val="nil"/>
              <w:bottom w:val="single" w:sz="8" w:space="0" w:color="auto"/>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b/>
                <w:bCs/>
                <w:sz w:val="16"/>
                <w:szCs w:val="16"/>
              </w:rPr>
            </w:pPr>
            <w:r w:rsidRPr="007A47E6">
              <w:rPr>
                <w:rFonts w:ascii="Times New Roman" w:hAnsi="Times New Roman" w:cs="Times New Roman"/>
                <w:b/>
                <w:bCs/>
                <w:sz w:val="16"/>
                <w:szCs w:val="16"/>
              </w:rPr>
              <w:t>25.2%</w:t>
            </w:r>
          </w:p>
        </w:tc>
        <w:tc>
          <w:tcPr>
            <w:tcW w:w="1022" w:type="dxa"/>
            <w:tcBorders>
              <w:top w:val="nil"/>
              <w:left w:val="nil"/>
              <w:bottom w:val="single" w:sz="8" w:space="0" w:color="auto"/>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b/>
                <w:bCs/>
                <w:sz w:val="16"/>
                <w:szCs w:val="16"/>
              </w:rPr>
            </w:pPr>
            <w:r w:rsidRPr="007A47E6">
              <w:rPr>
                <w:rFonts w:ascii="Times New Roman" w:hAnsi="Times New Roman" w:cs="Times New Roman"/>
                <w:b/>
                <w:bCs/>
                <w:sz w:val="16"/>
                <w:szCs w:val="16"/>
              </w:rPr>
              <w:t>19.4%</w:t>
            </w:r>
          </w:p>
        </w:tc>
      </w:tr>
      <w:tr w:rsidR="00421AD9" w:rsidRPr="007A47E6" w:rsidTr="00700AAA">
        <w:trPr>
          <w:trHeight w:val="312"/>
          <w:jc w:val="center"/>
        </w:trPr>
        <w:tc>
          <w:tcPr>
            <w:tcW w:w="2870" w:type="dxa"/>
            <w:tcBorders>
              <w:top w:val="nil"/>
              <w:left w:val="single" w:sz="8" w:space="0" w:color="auto"/>
              <w:bottom w:val="nil"/>
              <w:right w:val="single" w:sz="8" w:space="0" w:color="auto"/>
            </w:tcBorders>
            <w:shd w:val="clear" w:color="FFFFCC" w:fill="FFFFCC"/>
            <w:noWrap/>
            <w:vAlign w:val="center"/>
            <w:hideMark/>
          </w:tcPr>
          <w:p w:rsidR="00421AD9" w:rsidRPr="007A47E6" w:rsidRDefault="00421AD9" w:rsidP="00421AD9">
            <w:pPr>
              <w:ind w:firstLineChars="100" w:firstLine="160"/>
              <w:rPr>
                <w:rFonts w:ascii="Times New Roman" w:eastAsia="Times New Roman" w:hAnsi="Times New Roman" w:cs="Times New Roman"/>
                <w:sz w:val="16"/>
                <w:szCs w:val="28"/>
                <w:lang w:eastAsia="es-GT"/>
              </w:rPr>
            </w:pPr>
            <w:r w:rsidRPr="007A47E6">
              <w:rPr>
                <w:rFonts w:ascii="Times New Roman" w:eastAsia="Times New Roman" w:hAnsi="Times New Roman" w:cs="Times New Roman"/>
                <w:sz w:val="16"/>
                <w:szCs w:val="28"/>
                <w:lang w:eastAsia="es-GT"/>
              </w:rPr>
              <w:t>Regalías</w:t>
            </w:r>
          </w:p>
        </w:tc>
        <w:tc>
          <w:tcPr>
            <w:tcW w:w="795" w:type="dxa"/>
            <w:tcBorders>
              <w:top w:val="nil"/>
              <w:left w:val="nil"/>
              <w:bottom w:val="nil"/>
              <w:right w:val="single" w:sz="8"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206.8</w:t>
            </w:r>
          </w:p>
        </w:tc>
        <w:tc>
          <w:tcPr>
            <w:tcW w:w="795" w:type="dxa"/>
            <w:tcBorders>
              <w:top w:val="nil"/>
              <w:left w:val="single" w:sz="8" w:space="0" w:color="auto"/>
              <w:bottom w:val="nil"/>
              <w:right w:val="single" w:sz="8" w:space="0" w:color="auto"/>
            </w:tcBorders>
            <w:shd w:val="clear" w:color="auto" w:fill="auto"/>
            <w:noWrap/>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322.8</w:t>
            </w:r>
          </w:p>
        </w:tc>
        <w:tc>
          <w:tcPr>
            <w:tcW w:w="993" w:type="dxa"/>
            <w:tcBorders>
              <w:top w:val="nil"/>
              <w:left w:val="single" w:sz="8" w:space="0" w:color="auto"/>
              <w:bottom w:val="nil"/>
              <w:right w:val="single" w:sz="4"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188.6</w:t>
            </w:r>
          </w:p>
        </w:tc>
        <w:tc>
          <w:tcPr>
            <w:tcW w:w="1055" w:type="dxa"/>
            <w:tcBorders>
              <w:top w:val="nil"/>
              <w:left w:val="single" w:sz="4" w:space="0" w:color="auto"/>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116.0</w:t>
            </w:r>
          </w:p>
        </w:tc>
        <w:tc>
          <w:tcPr>
            <w:tcW w:w="1014" w:type="dxa"/>
            <w:tcBorders>
              <w:top w:val="nil"/>
              <w:left w:val="nil"/>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134.2</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56.1%</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71.2%</w:t>
            </w:r>
          </w:p>
        </w:tc>
      </w:tr>
      <w:tr w:rsidR="00421AD9" w:rsidRPr="007A47E6" w:rsidTr="00700AAA">
        <w:trPr>
          <w:trHeight w:val="312"/>
          <w:jc w:val="center"/>
        </w:trPr>
        <w:tc>
          <w:tcPr>
            <w:tcW w:w="2870" w:type="dxa"/>
            <w:tcBorders>
              <w:top w:val="nil"/>
              <w:left w:val="single" w:sz="8" w:space="0" w:color="auto"/>
              <w:bottom w:val="nil"/>
              <w:right w:val="single" w:sz="8" w:space="0" w:color="auto"/>
            </w:tcBorders>
            <w:shd w:val="clear" w:color="FFFFCC" w:fill="FFFFCC"/>
            <w:noWrap/>
            <w:vAlign w:val="center"/>
            <w:hideMark/>
          </w:tcPr>
          <w:p w:rsidR="00421AD9" w:rsidRPr="007A47E6" w:rsidRDefault="00421AD9" w:rsidP="00421AD9">
            <w:pPr>
              <w:ind w:firstLineChars="100" w:firstLine="160"/>
              <w:rPr>
                <w:rFonts w:ascii="Times New Roman" w:eastAsia="Times New Roman" w:hAnsi="Times New Roman" w:cs="Times New Roman"/>
                <w:sz w:val="16"/>
                <w:szCs w:val="28"/>
                <w:lang w:eastAsia="es-GT"/>
              </w:rPr>
            </w:pPr>
            <w:r w:rsidRPr="007A47E6">
              <w:rPr>
                <w:rFonts w:ascii="Times New Roman" w:eastAsia="Times New Roman" w:hAnsi="Times New Roman" w:cs="Times New Roman"/>
                <w:sz w:val="16"/>
                <w:szCs w:val="28"/>
                <w:lang w:eastAsia="es-GT"/>
              </w:rPr>
              <w:t>Salida del País</w:t>
            </w:r>
          </w:p>
        </w:tc>
        <w:tc>
          <w:tcPr>
            <w:tcW w:w="795" w:type="dxa"/>
            <w:tcBorders>
              <w:top w:val="nil"/>
              <w:left w:val="nil"/>
              <w:bottom w:val="nil"/>
              <w:right w:val="single" w:sz="8"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300.3</w:t>
            </w:r>
          </w:p>
        </w:tc>
        <w:tc>
          <w:tcPr>
            <w:tcW w:w="795" w:type="dxa"/>
            <w:tcBorders>
              <w:top w:val="nil"/>
              <w:left w:val="single" w:sz="8" w:space="0" w:color="auto"/>
              <w:bottom w:val="nil"/>
              <w:right w:val="single" w:sz="8" w:space="0" w:color="auto"/>
            </w:tcBorders>
            <w:shd w:val="clear" w:color="auto" w:fill="auto"/>
            <w:noWrap/>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312.0</w:t>
            </w:r>
          </w:p>
        </w:tc>
        <w:tc>
          <w:tcPr>
            <w:tcW w:w="993" w:type="dxa"/>
            <w:tcBorders>
              <w:top w:val="nil"/>
              <w:left w:val="single" w:sz="8" w:space="0" w:color="auto"/>
              <w:bottom w:val="nil"/>
              <w:right w:val="single" w:sz="4" w:space="0" w:color="auto"/>
            </w:tcBorders>
            <w:shd w:val="clear" w:color="auto" w:fill="auto"/>
            <w:noWrap/>
            <w:vAlign w:val="center"/>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343.2</w:t>
            </w:r>
          </w:p>
        </w:tc>
        <w:tc>
          <w:tcPr>
            <w:tcW w:w="1055" w:type="dxa"/>
            <w:tcBorders>
              <w:top w:val="nil"/>
              <w:left w:val="single" w:sz="4" w:space="0" w:color="auto"/>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11.7</w:t>
            </w:r>
          </w:p>
        </w:tc>
        <w:tc>
          <w:tcPr>
            <w:tcW w:w="1014" w:type="dxa"/>
            <w:tcBorders>
              <w:top w:val="nil"/>
              <w:left w:val="nil"/>
              <w:bottom w:val="nil"/>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-31.2</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3.9%</w:t>
            </w:r>
          </w:p>
        </w:tc>
        <w:tc>
          <w:tcPr>
            <w:tcW w:w="1022" w:type="dxa"/>
            <w:tcBorders>
              <w:top w:val="nil"/>
              <w:left w:val="nil"/>
              <w:bottom w:val="nil"/>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sz w:val="16"/>
                <w:szCs w:val="16"/>
              </w:rPr>
            </w:pPr>
            <w:r w:rsidRPr="007A47E6">
              <w:rPr>
                <w:rFonts w:ascii="Times New Roman" w:hAnsi="Times New Roman" w:cs="Times New Roman"/>
                <w:sz w:val="16"/>
                <w:szCs w:val="16"/>
              </w:rPr>
              <w:t>-9.1%</w:t>
            </w:r>
          </w:p>
        </w:tc>
      </w:tr>
      <w:tr w:rsidR="00421AD9" w:rsidRPr="007A47E6" w:rsidTr="00700AAA">
        <w:trPr>
          <w:trHeight w:val="312"/>
          <w:jc w:val="center"/>
        </w:trPr>
        <w:tc>
          <w:tcPr>
            <w:tcW w:w="2870" w:type="dxa"/>
            <w:tcBorders>
              <w:top w:val="single" w:sz="8" w:space="0" w:color="auto"/>
              <w:left w:val="single" w:sz="8" w:space="0" w:color="auto"/>
              <w:bottom w:val="single" w:sz="8" w:space="0" w:color="auto"/>
              <w:right w:val="single" w:sz="8" w:space="0" w:color="auto"/>
            </w:tcBorders>
            <w:shd w:val="clear" w:color="FFFFCC" w:fill="FFFFCC"/>
            <w:noWrap/>
            <w:vAlign w:val="center"/>
            <w:hideMark/>
          </w:tcPr>
          <w:p w:rsidR="00421AD9" w:rsidRPr="007A47E6" w:rsidRDefault="00421AD9" w:rsidP="00421AD9">
            <w:pPr>
              <w:jc w:val="center"/>
              <w:rPr>
                <w:rFonts w:ascii="Times New Roman" w:eastAsia="Times New Roman" w:hAnsi="Times New Roman" w:cs="Times New Roman"/>
                <w:b/>
                <w:bCs/>
                <w:sz w:val="16"/>
                <w:szCs w:val="28"/>
                <w:lang w:eastAsia="es-GT"/>
              </w:rPr>
            </w:pPr>
            <w:r w:rsidRPr="007A47E6">
              <w:rPr>
                <w:rFonts w:ascii="Times New Roman" w:eastAsia="Times New Roman" w:hAnsi="Times New Roman" w:cs="Times New Roman"/>
                <w:b/>
                <w:bCs/>
                <w:sz w:val="16"/>
                <w:szCs w:val="28"/>
                <w:lang w:eastAsia="es-GT"/>
              </w:rPr>
              <w:t>Totales Tributarios (Netos)</w:t>
            </w:r>
          </w:p>
        </w:tc>
        <w:tc>
          <w:tcPr>
            <w:tcW w:w="795" w:type="dxa"/>
            <w:tcBorders>
              <w:top w:val="single" w:sz="8" w:space="0" w:color="auto"/>
              <w:left w:val="nil"/>
              <w:bottom w:val="single" w:sz="8" w:space="0" w:color="auto"/>
              <w:right w:val="single" w:sz="8" w:space="0" w:color="auto"/>
            </w:tcBorders>
            <w:shd w:val="clear" w:color="auto" w:fill="auto"/>
            <w:noWrap/>
            <w:vAlign w:val="center"/>
            <w:hideMark/>
          </w:tcPr>
          <w:p w:rsidR="00421AD9" w:rsidRPr="007A47E6" w:rsidRDefault="00421AD9" w:rsidP="00421AD9">
            <w:pPr>
              <w:jc w:val="center"/>
              <w:rPr>
                <w:rFonts w:ascii="Times New Roman" w:eastAsia="Times New Roman" w:hAnsi="Times New Roman" w:cs="Times New Roman"/>
                <w:b/>
                <w:bCs/>
                <w:i/>
                <w:iCs/>
                <w:sz w:val="16"/>
                <w:szCs w:val="28"/>
                <w:lang w:eastAsia="es-GT"/>
              </w:rPr>
            </w:pPr>
            <w:r w:rsidRPr="007A47E6">
              <w:rPr>
                <w:rFonts w:ascii="Times New Roman" w:eastAsia="Times New Roman" w:hAnsi="Times New Roman" w:cs="Times New Roman"/>
                <w:b/>
                <w:bCs/>
                <w:i/>
                <w:iCs/>
                <w:sz w:val="16"/>
                <w:szCs w:val="28"/>
                <w:lang w:eastAsia="es-GT"/>
              </w:rPr>
              <w:t>56,684.1</w:t>
            </w:r>
          </w:p>
        </w:tc>
        <w:tc>
          <w:tcPr>
            <w:tcW w:w="795" w:type="dxa"/>
            <w:tcBorders>
              <w:top w:val="single" w:sz="8" w:space="0" w:color="auto"/>
              <w:left w:val="single" w:sz="8" w:space="0" w:color="auto"/>
              <w:bottom w:val="single" w:sz="8" w:space="0" w:color="auto"/>
              <w:right w:val="single" w:sz="8" w:space="0" w:color="auto"/>
            </w:tcBorders>
            <w:shd w:val="clear" w:color="auto" w:fill="auto"/>
            <w:noWrap/>
            <w:hideMark/>
          </w:tcPr>
          <w:p w:rsidR="00421AD9" w:rsidRPr="00522E54" w:rsidRDefault="00421AD9" w:rsidP="00421AD9">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58,835.6</w:t>
            </w:r>
          </w:p>
        </w:tc>
        <w:tc>
          <w:tcPr>
            <w:tcW w:w="9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21AD9" w:rsidRPr="007A47E6" w:rsidRDefault="00421AD9" w:rsidP="00421AD9">
            <w:pPr>
              <w:jc w:val="center"/>
              <w:rPr>
                <w:rFonts w:ascii="Times New Roman" w:eastAsia="Times New Roman" w:hAnsi="Times New Roman" w:cs="Times New Roman"/>
                <w:b/>
                <w:bCs/>
                <w:i/>
                <w:iCs/>
                <w:sz w:val="16"/>
                <w:szCs w:val="28"/>
                <w:lang w:eastAsia="es-GT"/>
              </w:rPr>
            </w:pPr>
            <w:r w:rsidRPr="007A47E6">
              <w:rPr>
                <w:rFonts w:ascii="Times New Roman" w:eastAsia="Times New Roman" w:hAnsi="Times New Roman" w:cs="Times New Roman"/>
                <w:b/>
                <w:bCs/>
                <w:i/>
                <w:iCs/>
                <w:sz w:val="16"/>
                <w:szCs w:val="28"/>
                <w:lang w:eastAsia="es-GT"/>
              </w:rPr>
              <w:t>57,994.8</w:t>
            </w:r>
          </w:p>
        </w:tc>
        <w:tc>
          <w:tcPr>
            <w:tcW w:w="1055" w:type="dxa"/>
            <w:tcBorders>
              <w:top w:val="single" w:sz="8" w:space="0" w:color="auto"/>
              <w:left w:val="single" w:sz="4" w:space="0" w:color="auto"/>
              <w:bottom w:val="single" w:sz="8" w:space="0" w:color="auto"/>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2,151.5</w:t>
            </w:r>
          </w:p>
        </w:tc>
        <w:tc>
          <w:tcPr>
            <w:tcW w:w="1014" w:type="dxa"/>
            <w:tcBorders>
              <w:top w:val="single" w:sz="8" w:space="0" w:color="auto"/>
              <w:left w:val="nil"/>
              <w:bottom w:val="single" w:sz="8" w:space="0" w:color="auto"/>
              <w:right w:val="single" w:sz="4" w:space="0" w:color="auto"/>
            </w:tcBorders>
            <w:shd w:val="clear" w:color="auto" w:fill="auto"/>
            <w:noWrap/>
            <w:hideMark/>
          </w:tcPr>
          <w:p w:rsidR="00421AD9" w:rsidRPr="00522E54" w:rsidRDefault="00421AD9" w:rsidP="00522E54">
            <w:pPr>
              <w:jc w:val="center"/>
              <w:rPr>
                <w:rFonts w:ascii="Times New Roman" w:eastAsia="Times New Roman" w:hAnsi="Times New Roman" w:cs="Times New Roman"/>
                <w:b/>
                <w:bCs/>
                <w:i/>
                <w:iCs/>
                <w:sz w:val="16"/>
                <w:szCs w:val="28"/>
                <w:lang w:eastAsia="es-GT"/>
              </w:rPr>
            </w:pPr>
            <w:r w:rsidRPr="00522E54">
              <w:rPr>
                <w:rFonts w:ascii="Times New Roman" w:eastAsia="Times New Roman" w:hAnsi="Times New Roman" w:cs="Times New Roman"/>
                <w:b/>
                <w:bCs/>
                <w:i/>
                <w:iCs/>
                <w:sz w:val="16"/>
                <w:szCs w:val="28"/>
                <w:lang w:eastAsia="es-GT"/>
              </w:rPr>
              <w:t>840.8</w:t>
            </w:r>
          </w:p>
        </w:tc>
        <w:tc>
          <w:tcPr>
            <w:tcW w:w="1022" w:type="dxa"/>
            <w:tcBorders>
              <w:top w:val="single" w:sz="8" w:space="0" w:color="auto"/>
              <w:left w:val="nil"/>
              <w:bottom w:val="single" w:sz="8" w:space="0" w:color="auto"/>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b/>
                <w:bCs/>
                <w:sz w:val="16"/>
                <w:szCs w:val="16"/>
              </w:rPr>
            </w:pPr>
            <w:r w:rsidRPr="007A47E6">
              <w:rPr>
                <w:rFonts w:ascii="Times New Roman" w:hAnsi="Times New Roman" w:cs="Times New Roman"/>
                <w:b/>
                <w:bCs/>
                <w:sz w:val="16"/>
                <w:szCs w:val="16"/>
              </w:rPr>
              <w:t>3.8%</w:t>
            </w:r>
          </w:p>
        </w:tc>
        <w:tc>
          <w:tcPr>
            <w:tcW w:w="1022" w:type="dxa"/>
            <w:tcBorders>
              <w:top w:val="single" w:sz="8" w:space="0" w:color="auto"/>
              <w:left w:val="nil"/>
              <w:bottom w:val="single" w:sz="8" w:space="0" w:color="auto"/>
              <w:right w:val="single" w:sz="4" w:space="0" w:color="auto"/>
            </w:tcBorders>
            <w:shd w:val="clear" w:color="auto" w:fill="auto"/>
            <w:noWrap/>
            <w:vAlign w:val="center"/>
            <w:hideMark/>
          </w:tcPr>
          <w:p w:rsidR="00421AD9" w:rsidRPr="007A47E6" w:rsidRDefault="00421AD9" w:rsidP="00421AD9">
            <w:pPr>
              <w:jc w:val="center"/>
              <w:rPr>
                <w:rFonts w:ascii="Times New Roman" w:hAnsi="Times New Roman" w:cs="Times New Roman"/>
                <w:b/>
                <w:bCs/>
                <w:sz w:val="16"/>
                <w:szCs w:val="16"/>
              </w:rPr>
            </w:pPr>
            <w:r w:rsidRPr="007A47E6">
              <w:rPr>
                <w:rFonts w:ascii="Times New Roman" w:hAnsi="Times New Roman" w:cs="Times New Roman"/>
                <w:b/>
                <w:bCs/>
                <w:sz w:val="16"/>
                <w:szCs w:val="16"/>
              </w:rPr>
              <w:t>1.4%</w:t>
            </w:r>
          </w:p>
        </w:tc>
      </w:tr>
    </w:tbl>
    <w:p w:rsidR="003F6C74" w:rsidRPr="007A47E6" w:rsidRDefault="003F6C74" w:rsidP="00917901">
      <w:pPr>
        <w:rPr>
          <w:rFonts w:ascii="Times New Roman" w:hAnsi="Times New Roman" w:cs="Times New Roman"/>
          <w:highlight w:val="yellow"/>
        </w:rPr>
      </w:pPr>
      <w:r w:rsidRPr="007A47E6">
        <w:rPr>
          <w:rFonts w:ascii="Times New Roman" w:hAnsi="Times New Roman" w:cs="Times New Roman"/>
          <w:noProof/>
          <w:sz w:val="16"/>
          <w:lang w:eastAsia="es-GT"/>
        </w:rPr>
        <w:t>Fuente: Dirección de Análisis y Política Fiscal</w:t>
      </w:r>
    </w:p>
    <w:p w:rsidR="000C0470" w:rsidRDefault="000C0470" w:rsidP="003F6C74">
      <w:pPr>
        <w:jc w:val="both"/>
        <w:rPr>
          <w:rFonts w:ascii="Times New Roman" w:hAnsi="Times New Roman" w:cs="Times New Roman"/>
          <w:b/>
          <w:color w:val="FF0000"/>
          <w:lang w:val="es-MX"/>
        </w:rPr>
      </w:pPr>
    </w:p>
    <w:p w:rsidR="00522E54" w:rsidRDefault="00522E54" w:rsidP="003F6C74">
      <w:pPr>
        <w:jc w:val="both"/>
        <w:rPr>
          <w:rFonts w:ascii="Times New Roman" w:hAnsi="Times New Roman" w:cs="Times New Roman"/>
          <w:b/>
          <w:color w:val="FF0000"/>
          <w:lang w:val="es-MX"/>
        </w:rPr>
      </w:pPr>
    </w:p>
    <w:p w:rsidR="00C84639" w:rsidRDefault="00C84639" w:rsidP="003F6C74">
      <w:pPr>
        <w:jc w:val="both"/>
        <w:rPr>
          <w:rFonts w:ascii="Times New Roman" w:hAnsi="Times New Roman" w:cs="Times New Roman"/>
          <w:b/>
          <w:color w:val="FF0000"/>
          <w:lang w:val="es-MX"/>
        </w:rPr>
      </w:pPr>
      <w:bookmarkStart w:id="21" w:name="_GoBack"/>
      <w:bookmarkEnd w:id="21"/>
    </w:p>
    <w:p w:rsidR="00522E54" w:rsidRPr="0008775B" w:rsidRDefault="00522E54" w:rsidP="003F6C74">
      <w:pPr>
        <w:jc w:val="both"/>
        <w:rPr>
          <w:rFonts w:ascii="Times New Roman" w:hAnsi="Times New Roman" w:cs="Times New Roman"/>
          <w:b/>
          <w:color w:val="FF0000"/>
          <w:lang w:val="es-MX"/>
        </w:rPr>
      </w:pPr>
    </w:p>
    <w:p w:rsidR="000C0470" w:rsidRPr="0008775B" w:rsidRDefault="000C0470" w:rsidP="000C0470">
      <w:pPr>
        <w:pStyle w:val="Prrafodelista"/>
        <w:numPr>
          <w:ilvl w:val="0"/>
          <w:numId w:val="23"/>
        </w:numPr>
        <w:contextualSpacing w:val="0"/>
        <w:rPr>
          <w:rFonts w:eastAsiaTheme="minorEastAsia"/>
          <w:vanish/>
          <w:color w:val="FF0000"/>
          <w:sz w:val="24"/>
          <w:szCs w:val="24"/>
          <w:lang w:val="es-MX" w:eastAsia="es-ES"/>
        </w:rPr>
      </w:pPr>
    </w:p>
    <w:p w:rsidR="000C0470" w:rsidRPr="0008775B" w:rsidRDefault="000C0470" w:rsidP="000C0470">
      <w:pPr>
        <w:pStyle w:val="Prrafodelista"/>
        <w:numPr>
          <w:ilvl w:val="1"/>
          <w:numId w:val="23"/>
        </w:numPr>
        <w:contextualSpacing w:val="0"/>
        <w:rPr>
          <w:rFonts w:eastAsiaTheme="minorEastAsia"/>
          <w:vanish/>
          <w:color w:val="FF0000"/>
          <w:sz w:val="24"/>
          <w:szCs w:val="24"/>
          <w:lang w:val="es-MX" w:eastAsia="es-ES"/>
        </w:rPr>
      </w:pPr>
    </w:p>
    <w:p w:rsidR="000C0470" w:rsidRPr="0008775B" w:rsidRDefault="000C0470" w:rsidP="000C0470">
      <w:pPr>
        <w:pStyle w:val="Prrafodelista"/>
        <w:numPr>
          <w:ilvl w:val="1"/>
          <w:numId w:val="23"/>
        </w:numPr>
        <w:contextualSpacing w:val="0"/>
        <w:rPr>
          <w:rFonts w:eastAsiaTheme="minorEastAsia"/>
          <w:vanish/>
          <w:color w:val="FF0000"/>
          <w:sz w:val="24"/>
          <w:szCs w:val="24"/>
          <w:lang w:val="es-MX" w:eastAsia="es-ES"/>
        </w:rPr>
      </w:pPr>
    </w:p>
    <w:p w:rsidR="000C0470" w:rsidRPr="0008775B" w:rsidRDefault="000C0470" w:rsidP="000C0470">
      <w:pPr>
        <w:pStyle w:val="Prrafodelista"/>
        <w:numPr>
          <w:ilvl w:val="1"/>
          <w:numId w:val="23"/>
        </w:numPr>
        <w:contextualSpacing w:val="0"/>
        <w:rPr>
          <w:rFonts w:eastAsiaTheme="minorEastAsia"/>
          <w:vanish/>
          <w:color w:val="FF0000"/>
          <w:sz w:val="24"/>
          <w:szCs w:val="24"/>
          <w:lang w:val="es-MX" w:eastAsia="es-ES"/>
        </w:rPr>
      </w:pPr>
    </w:p>
    <w:p w:rsidR="003F6C74" w:rsidRPr="0063193D" w:rsidRDefault="003F6C74" w:rsidP="000C0470">
      <w:pPr>
        <w:pStyle w:val="Ttulo31"/>
        <w:outlineLvl w:val="2"/>
        <w:rPr>
          <w:rFonts w:ascii="Times New Roman" w:hAnsi="Times New Roman" w:cs="Times New Roman"/>
          <w:b/>
          <w:lang w:val="es-MX"/>
        </w:rPr>
      </w:pPr>
      <w:bookmarkStart w:id="22" w:name="_Toc534988224"/>
      <w:r w:rsidRPr="0063193D">
        <w:rPr>
          <w:rFonts w:ascii="Times New Roman" w:hAnsi="Times New Roman" w:cs="Times New Roman"/>
          <w:b/>
          <w:lang w:val="es-MX"/>
        </w:rPr>
        <w:t>Impuesto sobre la renta</w:t>
      </w:r>
      <w:bookmarkEnd w:id="22"/>
    </w:p>
    <w:p w:rsidR="003F6C74" w:rsidRPr="0008775B" w:rsidRDefault="003F6C74" w:rsidP="003F6C74">
      <w:pPr>
        <w:jc w:val="both"/>
        <w:rPr>
          <w:rFonts w:ascii="Times New Roman" w:hAnsi="Times New Roman" w:cs="Times New Roman"/>
          <w:b/>
          <w:color w:val="FF0000"/>
          <w:lang w:val="es-MX"/>
        </w:rPr>
      </w:pPr>
    </w:p>
    <w:p w:rsidR="0063193D" w:rsidRPr="00597002" w:rsidRDefault="0063193D" w:rsidP="0063193D">
      <w:pPr>
        <w:jc w:val="both"/>
        <w:rPr>
          <w:rFonts w:ascii="Times New Roman" w:hAnsi="Times New Roman" w:cs="Times New Roman"/>
          <w:lang w:val="es-MX"/>
        </w:rPr>
      </w:pPr>
      <w:r w:rsidRPr="00597002">
        <w:rPr>
          <w:rFonts w:ascii="Times New Roman" w:hAnsi="Times New Roman" w:cs="Times New Roman"/>
          <w:lang w:val="es-MX"/>
        </w:rPr>
        <w:t xml:space="preserve">El ISR luego de vencimientos importantes como la liquidación anual en marzo y el pago trimestral de abril mostró fluctuaciones importantes, a finales de abril se observaba una brecha positiva acumulada de Q236.7 millones </w:t>
      </w:r>
      <w:r w:rsidRPr="00597002">
        <w:rPr>
          <w:rFonts w:ascii="Times New Roman" w:hAnsi="Times New Roman" w:cs="Times New Roman"/>
          <w:i/>
          <w:lang w:val="es-MX"/>
        </w:rPr>
        <w:t>(a esta fecha la meta de presupuesto incluye Q1,127.2 millones por concepto medidas administrativas)</w:t>
      </w:r>
      <w:r w:rsidRPr="00597002">
        <w:rPr>
          <w:rFonts w:ascii="Times New Roman" w:hAnsi="Times New Roman" w:cs="Times New Roman"/>
          <w:lang w:val="es-MX"/>
        </w:rPr>
        <w:t xml:space="preserve"> respecto a la meta de presupuesto y un crecimiento interanual de 4.5%, para julio mes en el cual se realiza el segundo pago trimestral del año se observó una brecha positiva de Q549.9 millones y un crecimiento interanual menor al del primer trimestre este comportamiento del ISR denotaba que de continuar con ese ritmo la meta de presupuesto no se alcanzaría al final del año según cifras preliminares no se recaudaron Q5.7 millones respecto </w:t>
      </w:r>
      <w:r w:rsidR="00522E54">
        <w:rPr>
          <w:rFonts w:ascii="Times New Roman" w:hAnsi="Times New Roman" w:cs="Times New Roman"/>
          <w:lang w:val="es-MX"/>
        </w:rPr>
        <w:t>a la meta de presupuesto y Q70.6</w:t>
      </w:r>
      <w:r w:rsidRPr="00597002">
        <w:rPr>
          <w:rFonts w:ascii="Times New Roman" w:hAnsi="Times New Roman" w:cs="Times New Roman"/>
          <w:lang w:val="es-MX"/>
        </w:rPr>
        <w:t xml:space="preserve"> millones respecto a lo observado en el año anterior.</w:t>
      </w:r>
    </w:p>
    <w:p w:rsidR="000C0470" w:rsidRPr="0008775B" w:rsidRDefault="000C0470" w:rsidP="003F6C74">
      <w:pPr>
        <w:jc w:val="both"/>
        <w:rPr>
          <w:rFonts w:ascii="Times New Roman" w:hAnsi="Times New Roman" w:cs="Times New Roman"/>
          <w:color w:val="FF0000"/>
          <w:lang w:val="es-MX"/>
        </w:rPr>
      </w:pPr>
    </w:p>
    <w:p w:rsidR="003F6C74" w:rsidRPr="00694C5F" w:rsidRDefault="003F6C74" w:rsidP="000C0470">
      <w:pPr>
        <w:pStyle w:val="Ttulo31"/>
        <w:outlineLvl w:val="2"/>
        <w:rPr>
          <w:rFonts w:ascii="Times New Roman" w:hAnsi="Times New Roman" w:cs="Times New Roman"/>
          <w:b/>
          <w:lang w:val="es-MX"/>
        </w:rPr>
      </w:pPr>
      <w:bookmarkStart w:id="23" w:name="_Toc534988225"/>
      <w:r w:rsidRPr="00694C5F">
        <w:rPr>
          <w:rFonts w:ascii="Times New Roman" w:hAnsi="Times New Roman" w:cs="Times New Roman"/>
          <w:b/>
          <w:lang w:val="es-MX"/>
        </w:rPr>
        <w:t>Impuesto al valor agregado</w:t>
      </w:r>
      <w:bookmarkEnd w:id="23"/>
    </w:p>
    <w:p w:rsidR="003F6C74" w:rsidRPr="00694C5F" w:rsidRDefault="003F6C74" w:rsidP="003F6C74">
      <w:pPr>
        <w:jc w:val="both"/>
        <w:rPr>
          <w:rFonts w:ascii="Times New Roman" w:hAnsi="Times New Roman" w:cs="Times New Roman"/>
          <w:lang w:val="es-MX"/>
        </w:rPr>
      </w:pPr>
    </w:p>
    <w:p w:rsidR="003F6C74" w:rsidRPr="00694C5F" w:rsidRDefault="003F6C74" w:rsidP="003F6C74">
      <w:pPr>
        <w:jc w:val="both"/>
        <w:rPr>
          <w:rFonts w:ascii="Times New Roman" w:hAnsi="Times New Roman" w:cs="Times New Roman"/>
          <w:b/>
        </w:rPr>
      </w:pPr>
      <w:r w:rsidRPr="00694C5F">
        <w:rPr>
          <w:rFonts w:ascii="Times New Roman" w:hAnsi="Times New Roman" w:cs="Times New Roman"/>
          <w:b/>
        </w:rPr>
        <w:t>IVA doméstico</w:t>
      </w:r>
    </w:p>
    <w:p w:rsidR="003F6C74" w:rsidRPr="0008775B" w:rsidRDefault="003F6C74" w:rsidP="003F6C74">
      <w:pPr>
        <w:jc w:val="both"/>
        <w:rPr>
          <w:rFonts w:ascii="Times New Roman" w:hAnsi="Times New Roman" w:cs="Times New Roman"/>
          <w:color w:val="FF0000"/>
        </w:rPr>
      </w:pPr>
    </w:p>
    <w:p w:rsidR="00694C5F" w:rsidRPr="00593A02" w:rsidRDefault="00522E54" w:rsidP="00694C5F">
      <w:pPr>
        <w:jc w:val="both"/>
        <w:rPr>
          <w:rFonts w:ascii="Times New Roman" w:hAnsi="Times New Roman" w:cs="Times New Roman"/>
        </w:rPr>
      </w:pPr>
      <w:r>
        <w:rPr>
          <w:rFonts w:ascii="Times New Roman" w:hAnsi="Times New Roman" w:cs="Times New Roman"/>
        </w:rPr>
        <w:t>C</w:t>
      </w:r>
      <w:r w:rsidR="00694C5F" w:rsidRPr="00593A02">
        <w:rPr>
          <w:rFonts w:ascii="Times New Roman" w:hAnsi="Times New Roman" w:cs="Times New Roman"/>
        </w:rPr>
        <w:t>omo se indicó con anterioridad el impuesto al valor agregado total genero una brecha positiva respecto a la recaudación observada en 2017 por Q1,54</w:t>
      </w:r>
      <w:r>
        <w:rPr>
          <w:rFonts w:ascii="Times New Roman" w:hAnsi="Times New Roman" w:cs="Times New Roman"/>
        </w:rPr>
        <w:t>5.8</w:t>
      </w:r>
      <w:r w:rsidR="00694C5F" w:rsidRPr="00593A02">
        <w:rPr>
          <w:rFonts w:ascii="Times New Roman" w:hAnsi="Times New Roman" w:cs="Times New Roman"/>
        </w:rPr>
        <w:t xml:space="preserve"> millones, para el caso del IVA doméstico se observa un crecimiento interanual de 2.3% esto en gran medida al impulso positivo en el crecimiento de las remesas familiares que acumuladas a diciembre reflejan una variación interanual de 13.4%, es importante anotar que si bien se observó una pequeña recuperación en la  dinámica en la economía nacional que medida a través del Producto Interno Bruto el cual en cifras preliminares (3.0%) refleja un aumento respecto a lo observado en 2017 cuando se crecía  en 2.8%.</w:t>
      </w:r>
    </w:p>
    <w:p w:rsidR="003F6C74" w:rsidRPr="0008775B" w:rsidRDefault="003F6C74" w:rsidP="003F6C74">
      <w:pPr>
        <w:jc w:val="both"/>
        <w:rPr>
          <w:rFonts w:ascii="Times New Roman" w:hAnsi="Times New Roman" w:cs="Times New Roman"/>
          <w:color w:val="FF0000"/>
        </w:rPr>
      </w:pPr>
    </w:p>
    <w:p w:rsidR="003F6C74" w:rsidRPr="00BA51FA" w:rsidRDefault="003F6C74" w:rsidP="003F6C74">
      <w:pPr>
        <w:jc w:val="both"/>
        <w:rPr>
          <w:rFonts w:ascii="Times New Roman" w:hAnsi="Times New Roman" w:cs="Times New Roman"/>
          <w:b/>
        </w:rPr>
      </w:pPr>
      <w:r w:rsidRPr="00BA51FA">
        <w:rPr>
          <w:rFonts w:ascii="Times New Roman" w:hAnsi="Times New Roman" w:cs="Times New Roman"/>
          <w:b/>
        </w:rPr>
        <w:t>IVA de importaciones</w:t>
      </w:r>
    </w:p>
    <w:p w:rsidR="003F6C74" w:rsidRPr="0008775B" w:rsidRDefault="003F6C74" w:rsidP="003F6C74">
      <w:pPr>
        <w:jc w:val="both"/>
        <w:rPr>
          <w:rFonts w:ascii="Times New Roman" w:hAnsi="Times New Roman" w:cs="Times New Roman"/>
          <w:b/>
          <w:color w:val="FF0000"/>
        </w:rPr>
      </w:pPr>
    </w:p>
    <w:p w:rsidR="00694C5F" w:rsidRPr="004F3B22" w:rsidRDefault="00694C5F" w:rsidP="00694C5F">
      <w:pPr>
        <w:jc w:val="both"/>
        <w:rPr>
          <w:rFonts w:ascii="Times New Roman" w:hAnsi="Times New Roman" w:cs="Times New Roman"/>
        </w:rPr>
      </w:pPr>
      <w:r w:rsidRPr="004F3B22">
        <w:rPr>
          <w:rFonts w:ascii="Times New Roman" w:hAnsi="Times New Roman" w:cs="Times New Roman"/>
        </w:rPr>
        <w:t>El IVA de importaciones mostró un crecimiento de 9.5% respecto a lo observado en 2017 influenciado principalmente por una mejora en comercio externo que medido a través de las importaciones gravadas registran un incremento en el volumen importando de 8% al mes de noviembre, otro factor importante a analizar son las oscilaciones de precios internacionales del petróleo WTI que presentaron una ligera recuperación en el precio por barril  respecto a lo observado en 2017 ubicándolo en US$66.19 por barril mientras que en 2017 se encontraba en un p</w:t>
      </w:r>
      <w:r w:rsidR="00522E54">
        <w:rPr>
          <w:rFonts w:ascii="Times New Roman" w:hAnsi="Times New Roman" w:cs="Times New Roman"/>
        </w:rPr>
        <w:t>recio medio de US$50.95 dólares.</w:t>
      </w:r>
    </w:p>
    <w:p w:rsidR="00694C5F" w:rsidRPr="009060B1" w:rsidRDefault="00694C5F" w:rsidP="00694C5F">
      <w:pPr>
        <w:jc w:val="both"/>
        <w:rPr>
          <w:rFonts w:ascii="Times New Roman" w:hAnsi="Times New Roman" w:cs="Times New Roman"/>
          <w:highlight w:val="yellow"/>
          <w:lang w:val="es-MX"/>
        </w:rPr>
      </w:pPr>
    </w:p>
    <w:p w:rsidR="003F6C74" w:rsidRDefault="00694C5F" w:rsidP="00694C5F">
      <w:pPr>
        <w:jc w:val="both"/>
        <w:rPr>
          <w:rFonts w:ascii="Times New Roman" w:hAnsi="Times New Roman" w:cs="Times New Roman"/>
          <w:lang w:val="es-MX"/>
        </w:rPr>
      </w:pPr>
      <w:r w:rsidRPr="009E1FFB">
        <w:rPr>
          <w:rFonts w:ascii="Times New Roman" w:hAnsi="Times New Roman" w:cs="Times New Roman"/>
          <w:lang w:val="es-MX"/>
        </w:rPr>
        <w:t xml:space="preserve">En términos de productividad del Impuesto al Valor Agregado total presenta un cambio </w:t>
      </w:r>
      <w:r w:rsidR="00522E54">
        <w:rPr>
          <w:rFonts w:ascii="Times New Roman" w:hAnsi="Times New Roman" w:cs="Times New Roman"/>
          <w:lang w:val="es-MX"/>
        </w:rPr>
        <w:t>en la</w:t>
      </w:r>
      <w:r w:rsidRPr="009E1FFB">
        <w:rPr>
          <w:rFonts w:ascii="Times New Roman" w:hAnsi="Times New Roman" w:cs="Times New Roman"/>
          <w:lang w:val="es-MX"/>
        </w:rPr>
        <w:t xml:space="preserve"> tendencia luego de un marcado descenso de los últimos tres años, dicho cambio está influenciado principalmente por el IVA asociado al comercio exterior el cual paso de una productividad del 19.8% a 21.7%</w:t>
      </w:r>
      <w:r w:rsidR="00522E54">
        <w:rPr>
          <w:rFonts w:ascii="Times New Roman" w:hAnsi="Times New Roman" w:cs="Times New Roman"/>
          <w:lang w:val="es-MX"/>
        </w:rPr>
        <w:t>.</w:t>
      </w:r>
    </w:p>
    <w:p w:rsidR="00522E54" w:rsidRDefault="00522E54" w:rsidP="00694C5F">
      <w:pPr>
        <w:jc w:val="both"/>
        <w:rPr>
          <w:rFonts w:ascii="Times New Roman" w:hAnsi="Times New Roman" w:cs="Times New Roman"/>
          <w:lang w:val="es-MX"/>
        </w:rPr>
      </w:pPr>
    </w:p>
    <w:p w:rsidR="00522E54" w:rsidRDefault="00522E54" w:rsidP="00694C5F">
      <w:pPr>
        <w:jc w:val="both"/>
        <w:rPr>
          <w:rFonts w:ascii="Times New Roman" w:hAnsi="Times New Roman" w:cs="Times New Roman"/>
          <w:lang w:val="es-MX"/>
        </w:rPr>
      </w:pPr>
    </w:p>
    <w:p w:rsidR="00522E54" w:rsidRDefault="00522E54" w:rsidP="00694C5F">
      <w:pPr>
        <w:jc w:val="both"/>
        <w:rPr>
          <w:rFonts w:ascii="Times New Roman" w:hAnsi="Times New Roman" w:cs="Times New Roman"/>
          <w:lang w:val="es-MX"/>
        </w:rPr>
      </w:pPr>
    </w:p>
    <w:p w:rsidR="00522E54" w:rsidRDefault="00522E54" w:rsidP="00694C5F">
      <w:pPr>
        <w:jc w:val="both"/>
        <w:rPr>
          <w:rFonts w:ascii="Times New Roman" w:hAnsi="Times New Roman" w:cs="Times New Roman"/>
          <w:lang w:val="es-MX"/>
        </w:rPr>
      </w:pPr>
    </w:p>
    <w:p w:rsidR="00522E54" w:rsidRDefault="00522E54" w:rsidP="00694C5F">
      <w:pPr>
        <w:jc w:val="both"/>
        <w:rPr>
          <w:rFonts w:ascii="Times New Roman" w:hAnsi="Times New Roman" w:cs="Times New Roman"/>
          <w:lang w:val="es-MX"/>
        </w:rPr>
      </w:pPr>
    </w:p>
    <w:p w:rsidR="00522E54" w:rsidRDefault="00522E54" w:rsidP="00694C5F">
      <w:pPr>
        <w:jc w:val="both"/>
        <w:rPr>
          <w:rFonts w:ascii="Times New Roman" w:hAnsi="Times New Roman" w:cs="Times New Roman"/>
          <w:lang w:val="es-MX"/>
        </w:rPr>
      </w:pPr>
    </w:p>
    <w:p w:rsidR="00522E54" w:rsidRDefault="00522E54" w:rsidP="00694C5F">
      <w:pPr>
        <w:jc w:val="both"/>
        <w:rPr>
          <w:rFonts w:ascii="Times New Roman" w:hAnsi="Times New Roman" w:cs="Times New Roman"/>
          <w:lang w:val="es-MX"/>
        </w:rPr>
      </w:pPr>
    </w:p>
    <w:p w:rsidR="00522E54" w:rsidRPr="0008775B" w:rsidRDefault="00522E54" w:rsidP="00694C5F">
      <w:pPr>
        <w:jc w:val="both"/>
        <w:rPr>
          <w:rFonts w:ascii="Times New Roman" w:hAnsi="Times New Roman" w:cs="Times New Roman"/>
          <w:color w:val="FF0000"/>
        </w:rPr>
      </w:pPr>
    </w:p>
    <w:p w:rsidR="003F6C74" w:rsidRPr="0008775B" w:rsidRDefault="003F6C74" w:rsidP="003F6C74">
      <w:pPr>
        <w:jc w:val="both"/>
        <w:rPr>
          <w:rFonts w:ascii="Times New Roman" w:hAnsi="Times New Roman" w:cs="Times New Roman"/>
          <w:color w:val="FF000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7"/>
        <w:gridCol w:w="4370"/>
      </w:tblGrid>
      <w:tr w:rsidR="0008775B" w:rsidRPr="00694C5F" w:rsidTr="00364844">
        <w:tc>
          <w:tcPr>
            <w:tcW w:w="4527" w:type="dxa"/>
          </w:tcPr>
          <w:p w:rsidR="003F6C74" w:rsidRPr="00694C5F" w:rsidRDefault="003F6C74" w:rsidP="00364844">
            <w:pPr>
              <w:jc w:val="center"/>
              <w:rPr>
                <w:rFonts w:ascii="Times New Roman" w:hAnsi="Times New Roman" w:cs="Times New Roman"/>
                <w:b/>
                <w:lang w:val="es-MX"/>
              </w:rPr>
            </w:pPr>
            <w:r w:rsidRPr="00694C5F">
              <w:rPr>
                <w:rFonts w:ascii="Times New Roman" w:hAnsi="Times New Roman" w:cs="Times New Roman"/>
                <w:b/>
                <w:lang w:val="es-MX"/>
              </w:rPr>
              <w:lastRenderedPageBreak/>
              <w:t>Productividad de cada año</w:t>
            </w:r>
          </w:p>
          <w:p w:rsidR="003F6C74" w:rsidRPr="00694C5F" w:rsidRDefault="003F6C74" w:rsidP="00364844">
            <w:pPr>
              <w:jc w:val="center"/>
              <w:rPr>
                <w:rFonts w:ascii="Times New Roman" w:hAnsi="Times New Roman" w:cs="Times New Roman"/>
                <w:b/>
                <w:lang w:val="es-MX"/>
              </w:rPr>
            </w:pPr>
            <w:r w:rsidRPr="00694C5F">
              <w:rPr>
                <w:rFonts w:ascii="Times New Roman" w:hAnsi="Times New Roman" w:cs="Times New Roman"/>
                <w:b/>
                <w:lang w:val="es-MX"/>
              </w:rPr>
              <w:t xml:space="preserve">IVA total </w:t>
            </w:r>
          </w:p>
          <w:p w:rsidR="003F6C74" w:rsidRPr="00694C5F" w:rsidRDefault="003F6C74" w:rsidP="00364844">
            <w:pPr>
              <w:jc w:val="center"/>
              <w:rPr>
                <w:rFonts w:ascii="Times New Roman" w:hAnsi="Times New Roman" w:cs="Times New Roman"/>
                <w:lang w:val="es-MX"/>
              </w:rPr>
            </w:pPr>
            <w:r w:rsidRPr="00694C5F">
              <w:rPr>
                <w:rFonts w:ascii="Times New Roman" w:hAnsi="Times New Roman" w:cs="Times New Roman"/>
                <w:sz w:val="18"/>
                <w:lang w:val="es-MX"/>
              </w:rPr>
              <w:t>Porcentajes</w:t>
            </w:r>
          </w:p>
        </w:tc>
        <w:tc>
          <w:tcPr>
            <w:tcW w:w="4370" w:type="dxa"/>
          </w:tcPr>
          <w:p w:rsidR="003F6C74" w:rsidRPr="00694C5F" w:rsidRDefault="003F6C74" w:rsidP="00364844">
            <w:pPr>
              <w:jc w:val="center"/>
              <w:rPr>
                <w:rFonts w:ascii="Times New Roman" w:hAnsi="Times New Roman" w:cs="Times New Roman"/>
                <w:b/>
                <w:lang w:val="es-MX"/>
              </w:rPr>
            </w:pPr>
            <w:r w:rsidRPr="00694C5F">
              <w:rPr>
                <w:rFonts w:ascii="Times New Roman" w:hAnsi="Times New Roman" w:cs="Times New Roman"/>
                <w:b/>
                <w:lang w:val="es-MX"/>
              </w:rPr>
              <w:t>Productividad de cada año</w:t>
            </w:r>
          </w:p>
          <w:p w:rsidR="003F6C74" w:rsidRPr="00694C5F" w:rsidRDefault="003F6C74" w:rsidP="00364844">
            <w:pPr>
              <w:jc w:val="center"/>
              <w:rPr>
                <w:rFonts w:ascii="Times New Roman" w:hAnsi="Times New Roman" w:cs="Times New Roman"/>
                <w:b/>
                <w:lang w:val="es-MX"/>
              </w:rPr>
            </w:pPr>
            <w:r w:rsidRPr="00694C5F">
              <w:rPr>
                <w:rFonts w:ascii="Times New Roman" w:hAnsi="Times New Roman" w:cs="Times New Roman"/>
                <w:b/>
                <w:lang w:val="es-MX"/>
              </w:rPr>
              <w:t>IVA importaciones e IVA doméstico</w:t>
            </w:r>
          </w:p>
          <w:p w:rsidR="003F6C74" w:rsidRPr="00694C5F" w:rsidRDefault="003F6C74" w:rsidP="00364844">
            <w:pPr>
              <w:jc w:val="center"/>
              <w:rPr>
                <w:rFonts w:ascii="Times New Roman" w:hAnsi="Times New Roman" w:cs="Times New Roman"/>
                <w:lang w:val="es-MX"/>
              </w:rPr>
            </w:pPr>
            <w:r w:rsidRPr="00694C5F">
              <w:rPr>
                <w:rFonts w:ascii="Times New Roman" w:hAnsi="Times New Roman" w:cs="Times New Roman"/>
                <w:sz w:val="18"/>
                <w:lang w:val="es-MX"/>
              </w:rPr>
              <w:t>Porcentajes</w:t>
            </w:r>
          </w:p>
        </w:tc>
      </w:tr>
      <w:tr w:rsidR="0008775B" w:rsidRPr="00694C5F" w:rsidTr="00364844">
        <w:tc>
          <w:tcPr>
            <w:tcW w:w="4527" w:type="dxa"/>
          </w:tcPr>
          <w:p w:rsidR="003F6C74" w:rsidRPr="00694C5F" w:rsidRDefault="00694C5F" w:rsidP="00364844">
            <w:pPr>
              <w:jc w:val="both"/>
              <w:rPr>
                <w:rFonts w:ascii="Times New Roman" w:hAnsi="Times New Roman" w:cs="Times New Roman"/>
                <w:lang w:val="es-MX"/>
              </w:rPr>
            </w:pPr>
            <w:r w:rsidRPr="00694C5F">
              <w:rPr>
                <w:rFonts w:ascii="Times New Roman" w:hAnsi="Times New Roman" w:cs="Times New Roman"/>
                <w:noProof/>
                <w:lang w:val="es-GT" w:eastAsia="es-GT"/>
              </w:rPr>
              <w:drawing>
                <wp:inline distT="0" distB="0" distL="0" distR="0" wp14:anchorId="012C9148" wp14:editId="25CE325A">
                  <wp:extent cx="2811439" cy="2695575"/>
                  <wp:effectExtent l="0" t="0" r="8255" b="9525"/>
                  <wp:docPr id="57" name="Grá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370" w:type="dxa"/>
          </w:tcPr>
          <w:p w:rsidR="003F6C74" w:rsidRPr="00694C5F" w:rsidRDefault="00694C5F" w:rsidP="00364844">
            <w:pPr>
              <w:jc w:val="both"/>
              <w:rPr>
                <w:rFonts w:ascii="Times New Roman" w:hAnsi="Times New Roman" w:cs="Times New Roman"/>
                <w:lang w:val="es-MX"/>
              </w:rPr>
            </w:pPr>
            <w:r w:rsidRPr="00694C5F">
              <w:rPr>
                <w:rFonts w:ascii="Times New Roman" w:hAnsi="Times New Roman" w:cs="Times New Roman"/>
                <w:noProof/>
                <w:lang w:val="es-GT" w:eastAsia="es-GT"/>
              </w:rPr>
              <w:drawing>
                <wp:inline distT="0" distB="0" distL="0" distR="0" wp14:anchorId="726E6D34" wp14:editId="11604650">
                  <wp:extent cx="2797791" cy="2676525"/>
                  <wp:effectExtent l="0" t="0" r="3175" b="9525"/>
                  <wp:docPr id="58" name="Grá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3F6C74" w:rsidRPr="00917901" w:rsidRDefault="003F6C74" w:rsidP="003F6C74">
      <w:pPr>
        <w:jc w:val="both"/>
        <w:rPr>
          <w:rFonts w:ascii="Times New Roman" w:hAnsi="Times New Roman" w:cs="Times New Roman"/>
          <w:sz w:val="16"/>
          <w:lang w:val="es-MX"/>
        </w:rPr>
      </w:pPr>
      <w:r w:rsidRPr="00917901">
        <w:rPr>
          <w:rFonts w:ascii="Times New Roman" w:hAnsi="Times New Roman" w:cs="Times New Roman"/>
          <w:sz w:val="16"/>
          <w:lang w:val="es-MX"/>
        </w:rPr>
        <w:t>Fuente: Dirección de Análisis y Política Fiscal</w:t>
      </w:r>
    </w:p>
    <w:p w:rsidR="003F6C74" w:rsidRPr="0008775B" w:rsidRDefault="003F6C74" w:rsidP="003F6C74">
      <w:pPr>
        <w:jc w:val="both"/>
        <w:rPr>
          <w:rFonts w:ascii="Times New Roman" w:hAnsi="Times New Roman" w:cs="Times New Roman"/>
          <w:color w:val="FF0000"/>
          <w:lang w:val="es-MX"/>
        </w:rPr>
      </w:pPr>
    </w:p>
    <w:p w:rsidR="00243DA8" w:rsidRPr="00BA51FA" w:rsidRDefault="00243DA8" w:rsidP="00243DA8">
      <w:pPr>
        <w:pStyle w:val="Ttulo2"/>
        <w:numPr>
          <w:ilvl w:val="1"/>
          <w:numId w:val="11"/>
        </w:numPr>
        <w:spacing w:before="0"/>
        <w:rPr>
          <w:rFonts w:ascii="Times New Roman" w:hAnsi="Times New Roman" w:cs="Times New Roman"/>
          <w:color w:val="auto"/>
          <w:sz w:val="24"/>
        </w:rPr>
      </w:pPr>
      <w:bookmarkStart w:id="24" w:name="_Toc471987134"/>
      <w:bookmarkStart w:id="25" w:name="_Toc534988226"/>
      <w:r w:rsidRPr="00BA51FA">
        <w:rPr>
          <w:rFonts w:ascii="Times New Roman" w:hAnsi="Times New Roman" w:cs="Times New Roman"/>
          <w:color w:val="auto"/>
          <w:sz w:val="24"/>
        </w:rPr>
        <w:t>Evaluación del Cumplimiento del Convenio de Metas 201</w:t>
      </w:r>
      <w:bookmarkEnd w:id="24"/>
      <w:r w:rsidR="009A2F32" w:rsidRPr="00BA51FA">
        <w:rPr>
          <w:rFonts w:ascii="Times New Roman" w:hAnsi="Times New Roman" w:cs="Times New Roman"/>
          <w:color w:val="auto"/>
          <w:sz w:val="24"/>
        </w:rPr>
        <w:t>8</w:t>
      </w:r>
      <w:bookmarkEnd w:id="25"/>
    </w:p>
    <w:p w:rsidR="00243DA8" w:rsidRPr="0008775B" w:rsidRDefault="00243DA8" w:rsidP="00243DA8">
      <w:pPr>
        <w:jc w:val="both"/>
        <w:rPr>
          <w:rFonts w:ascii="Times New Roman" w:hAnsi="Times New Roman" w:cs="Times New Roman"/>
          <w:color w:val="FF0000"/>
          <w:lang w:val="es-MX"/>
        </w:rPr>
      </w:pPr>
    </w:p>
    <w:p w:rsidR="009A2F32" w:rsidRPr="009E1FFB" w:rsidRDefault="009A2F32" w:rsidP="009A2F32">
      <w:pPr>
        <w:pStyle w:val="Prrafodelista"/>
        <w:ind w:left="0"/>
        <w:jc w:val="both"/>
        <w:rPr>
          <w:rFonts w:ascii="Times New Roman" w:eastAsiaTheme="minorEastAsia" w:hAnsi="Times New Roman" w:cs="Times New Roman"/>
          <w:sz w:val="24"/>
          <w:szCs w:val="24"/>
          <w:lang w:val="es-ES_tradnl" w:eastAsia="es-ES"/>
        </w:rPr>
      </w:pPr>
      <w:r w:rsidRPr="009E1FFB">
        <w:rPr>
          <w:rFonts w:ascii="Times New Roman" w:eastAsiaTheme="minorEastAsia" w:hAnsi="Times New Roman" w:cs="Times New Roman"/>
          <w:sz w:val="24"/>
          <w:szCs w:val="24"/>
          <w:lang w:val="es-ES_tradnl" w:eastAsia="es-ES"/>
        </w:rPr>
        <w:t>El Convenio de Cumplimiento de Metas de Recaudación Tributaria 2018, suscrito en diciembre 2017, entre el Ministro de Finanzas Públicas y el Superintendente de Administración Tributaria, al amparo de los artículos 23, literal t),  y 23 ter, del Decreto No. 1-98 del Congreso de la República, Ley Orgánica de la Superintendencia de Administración Tributaria -LOSAT-, ante la no aprobación del Presupuesto General de Ingresos y Egresos del Estado, para el Ejercicio Fiscal 2018, se consignaron los valores aprobados en el Presupuesto de Ingresos del año 2017.</w:t>
      </w:r>
    </w:p>
    <w:p w:rsidR="009A2F32" w:rsidRPr="009E1FFB" w:rsidRDefault="009A2F32" w:rsidP="009A2F32">
      <w:pPr>
        <w:pStyle w:val="Prrafodelista"/>
        <w:ind w:left="0"/>
        <w:jc w:val="both"/>
        <w:rPr>
          <w:rFonts w:ascii="Times New Roman" w:eastAsiaTheme="minorEastAsia" w:hAnsi="Times New Roman" w:cs="Times New Roman"/>
          <w:sz w:val="24"/>
          <w:szCs w:val="24"/>
          <w:lang w:val="es-ES_tradnl" w:eastAsia="es-ES"/>
        </w:rPr>
      </w:pPr>
    </w:p>
    <w:p w:rsidR="009A2F32" w:rsidRPr="009E1FFB" w:rsidRDefault="009A2F32" w:rsidP="009A2F32">
      <w:pPr>
        <w:pStyle w:val="Prrafodelista"/>
        <w:ind w:left="0"/>
        <w:jc w:val="both"/>
        <w:rPr>
          <w:rFonts w:ascii="Times New Roman" w:eastAsiaTheme="minorEastAsia" w:hAnsi="Times New Roman" w:cs="Times New Roman"/>
          <w:sz w:val="24"/>
          <w:szCs w:val="24"/>
          <w:lang w:val="es-ES_tradnl" w:eastAsia="es-ES"/>
        </w:rPr>
      </w:pPr>
      <w:r w:rsidRPr="009E1FFB">
        <w:rPr>
          <w:rFonts w:ascii="Times New Roman" w:eastAsiaTheme="minorEastAsia" w:hAnsi="Times New Roman" w:cs="Times New Roman"/>
          <w:sz w:val="24"/>
          <w:szCs w:val="24"/>
          <w:lang w:val="es-ES_tradnl" w:eastAsia="es-ES"/>
        </w:rPr>
        <w:t>La cláusula primera del Convenio, de forma general, hace referencia a que, a más tardar el 31 de diciembre de cada año, el Superintendente en representación de la SAT y el Ministro de Finanzas Públicas suscribirán un convenio para el cumplimiento de las Metas de recaudación tributaria.</w:t>
      </w:r>
    </w:p>
    <w:p w:rsidR="009A2F32" w:rsidRPr="009E1FFB" w:rsidRDefault="009A2F32" w:rsidP="009A2F32">
      <w:pPr>
        <w:pStyle w:val="Prrafodelista"/>
        <w:ind w:left="0"/>
        <w:jc w:val="both"/>
        <w:rPr>
          <w:rFonts w:ascii="Times New Roman" w:eastAsiaTheme="minorEastAsia" w:hAnsi="Times New Roman" w:cs="Times New Roman"/>
          <w:sz w:val="24"/>
          <w:szCs w:val="24"/>
          <w:lang w:val="es-ES_tradnl" w:eastAsia="es-ES"/>
        </w:rPr>
      </w:pPr>
    </w:p>
    <w:p w:rsidR="009A2F32" w:rsidRDefault="009A2F32" w:rsidP="009A2F32">
      <w:pPr>
        <w:jc w:val="both"/>
        <w:rPr>
          <w:rFonts w:ascii="Times New Roman" w:hAnsi="Times New Roman" w:cs="Times New Roman"/>
        </w:rPr>
      </w:pPr>
      <w:r w:rsidRPr="009E1FFB">
        <w:rPr>
          <w:rFonts w:ascii="Times New Roman" w:hAnsi="Times New Roman" w:cs="Times New Roman"/>
        </w:rPr>
        <w:t>En la cláusula segunda se incluye lo dispuesto en el Artículo 23 bis del Decreto 1-98, en el que se indica que para establecer la meta de recaudación tributaria de cada año se deben de considerar las siguientes condiciones e insumos:</w:t>
      </w:r>
    </w:p>
    <w:p w:rsidR="00917901" w:rsidRDefault="00917901" w:rsidP="009A2F32">
      <w:pPr>
        <w:jc w:val="both"/>
        <w:rPr>
          <w:rFonts w:ascii="Times New Roman" w:hAnsi="Times New Roman" w:cs="Times New Roman"/>
        </w:rPr>
      </w:pPr>
    </w:p>
    <w:p w:rsidR="009A2F32" w:rsidRDefault="009A2F32" w:rsidP="009A2F32">
      <w:pPr>
        <w:pStyle w:val="Prrafodelista"/>
        <w:ind w:left="0"/>
        <w:jc w:val="both"/>
        <w:rPr>
          <w:rFonts w:ascii="Times New Roman" w:eastAsiaTheme="minorEastAsia" w:hAnsi="Times New Roman" w:cs="Times New Roman"/>
          <w:sz w:val="24"/>
          <w:szCs w:val="24"/>
          <w:lang w:val="es-ES_tradnl" w:eastAsia="es-ES"/>
        </w:rPr>
      </w:pPr>
      <w:r w:rsidRPr="009E1FFB">
        <w:rPr>
          <w:rFonts w:ascii="Times New Roman" w:eastAsiaTheme="minorEastAsia" w:hAnsi="Times New Roman" w:cs="Times New Roman"/>
          <w:sz w:val="24"/>
          <w:szCs w:val="24"/>
          <w:lang w:val="es-ES_tradnl" w:eastAsia="es-ES"/>
        </w:rPr>
        <w:t xml:space="preserve">Pronóstico técnico de recaudación tributaria esperada, acordado por la Comisión Técnica de Finanzas Públicas, este pronóstico podrá considerar aspectos económicos, financieros y la legislación vigente. </w:t>
      </w:r>
    </w:p>
    <w:p w:rsidR="00917901" w:rsidRPr="009E1FFB" w:rsidRDefault="00917901" w:rsidP="009A2F32">
      <w:pPr>
        <w:pStyle w:val="Prrafodelista"/>
        <w:ind w:left="0"/>
        <w:jc w:val="both"/>
        <w:rPr>
          <w:rFonts w:ascii="Times New Roman" w:eastAsiaTheme="minorEastAsia" w:hAnsi="Times New Roman" w:cs="Times New Roman"/>
          <w:sz w:val="24"/>
          <w:szCs w:val="24"/>
          <w:lang w:val="es-ES_tradnl" w:eastAsia="es-ES"/>
        </w:rPr>
      </w:pPr>
    </w:p>
    <w:p w:rsidR="009A2F32" w:rsidRPr="009E1FFB" w:rsidRDefault="009A2F32" w:rsidP="009A2F32">
      <w:pPr>
        <w:pStyle w:val="Prrafodelista"/>
        <w:ind w:left="0"/>
        <w:jc w:val="both"/>
        <w:rPr>
          <w:rFonts w:ascii="Times New Roman" w:eastAsiaTheme="minorEastAsia" w:hAnsi="Times New Roman" w:cs="Times New Roman"/>
          <w:sz w:val="24"/>
          <w:szCs w:val="24"/>
          <w:lang w:val="es-ES_tradnl" w:eastAsia="es-ES"/>
        </w:rPr>
      </w:pPr>
      <w:r w:rsidRPr="009E1FFB">
        <w:rPr>
          <w:rFonts w:ascii="Times New Roman" w:eastAsiaTheme="minorEastAsia" w:hAnsi="Times New Roman" w:cs="Times New Roman"/>
          <w:sz w:val="24"/>
          <w:szCs w:val="24"/>
          <w:lang w:val="es-ES_tradnl" w:eastAsia="es-ES"/>
        </w:rPr>
        <w:t>Metas de recaudación tributaria adicional por reducción del incumplimiento tributario, de la defraudación tributaria o aduanera, la meta de facilitación del cumplimiento de los contribuyentes y otras metas incluidas y asociadas a la aplicación del Plan de Recaudación, Control y Fiscalización, establecidas por la SAT.</w:t>
      </w:r>
    </w:p>
    <w:p w:rsidR="009A2F32" w:rsidRPr="009E1FFB" w:rsidRDefault="009A2F32" w:rsidP="009A2F32">
      <w:pPr>
        <w:pStyle w:val="Prrafodelista"/>
        <w:ind w:left="0"/>
        <w:jc w:val="both"/>
        <w:rPr>
          <w:rFonts w:ascii="Times New Roman" w:eastAsiaTheme="minorEastAsia" w:hAnsi="Times New Roman" w:cs="Times New Roman"/>
          <w:sz w:val="24"/>
          <w:szCs w:val="24"/>
          <w:lang w:val="es-ES_tradnl" w:eastAsia="es-ES"/>
        </w:rPr>
      </w:pPr>
    </w:p>
    <w:p w:rsidR="009A2F32" w:rsidRPr="009E1FFB" w:rsidRDefault="009A2F32" w:rsidP="009A2F32">
      <w:pPr>
        <w:pStyle w:val="Prrafodelista"/>
        <w:ind w:left="0"/>
        <w:jc w:val="both"/>
        <w:rPr>
          <w:rFonts w:ascii="Times New Roman" w:eastAsiaTheme="minorEastAsia" w:hAnsi="Times New Roman" w:cs="Times New Roman"/>
          <w:sz w:val="24"/>
          <w:szCs w:val="24"/>
          <w:lang w:val="es-ES_tradnl" w:eastAsia="es-ES"/>
        </w:rPr>
      </w:pPr>
      <w:r w:rsidRPr="009E1FFB">
        <w:rPr>
          <w:rFonts w:ascii="Times New Roman" w:eastAsiaTheme="minorEastAsia" w:hAnsi="Times New Roman" w:cs="Times New Roman"/>
          <w:sz w:val="24"/>
          <w:szCs w:val="24"/>
          <w:lang w:val="es-ES_tradnl" w:eastAsia="es-ES"/>
        </w:rPr>
        <w:lastRenderedPageBreak/>
        <w:t>En la cláusula tercera del Convenio, se establece que, de conformidad con la legislación vigente, si el Presupuesto General de Ingresos y Egresos del Estado no hubiere sido aprobado por el Congreso de la República, entonces regirá el Presupuesto en Vigencia del año anterior, de esa cuenta es que la meta de recaudación tributaria para 2018, consideró las siguientes condiciones e insumos:</w:t>
      </w:r>
    </w:p>
    <w:p w:rsidR="009A2F32" w:rsidRPr="009E1FFB" w:rsidRDefault="009A2F32" w:rsidP="009A2F32">
      <w:pPr>
        <w:pStyle w:val="Prrafodelista"/>
        <w:ind w:left="0"/>
        <w:jc w:val="both"/>
        <w:rPr>
          <w:rFonts w:ascii="Times New Roman" w:eastAsiaTheme="minorEastAsia" w:hAnsi="Times New Roman" w:cs="Times New Roman"/>
          <w:sz w:val="24"/>
          <w:szCs w:val="24"/>
          <w:lang w:val="es-ES_tradnl" w:eastAsia="es-ES"/>
        </w:rPr>
      </w:pPr>
    </w:p>
    <w:p w:rsidR="009A2F32" w:rsidRPr="009E1FFB" w:rsidRDefault="009A2F32" w:rsidP="009A2F32">
      <w:pPr>
        <w:pStyle w:val="Prrafodelista"/>
        <w:ind w:left="0"/>
        <w:jc w:val="both"/>
        <w:rPr>
          <w:rFonts w:ascii="Times New Roman" w:eastAsiaTheme="minorEastAsia" w:hAnsi="Times New Roman" w:cs="Times New Roman"/>
          <w:sz w:val="24"/>
          <w:szCs w:val="24"/>
          <w:lang w:val="es-ES_tradnl" w:eastAsia="es-ES"/>
        </w:rPr>
      </w:pPr>
      <w:r w:rsidRPr="009E1FFB">
        <w:rPr>
          <w:rFonts w:ascii="Times New Roman" w:eastAsiaTheme="minorEastAsia" w:hAnsi="Times New Roman" w:cs="Times New Roman"/>
          <w:sz w:val="24"/>
          <w:szCs w:val="24"/>
          <w:lang w:val="es-ES_tradnl" w:eastAsia="es-ES"/>
        </w:rPr>
        <w:t>Escenario macroeconómico 2017 presentando por el BANGUAT el 6 de abril de 2016, que estimaba:</w:t>
      </w:r>
    </w:p>
    <w:p w:rsidR="009A2F32" w:rsidRPr="009E1FFB" w:rsidRDefault="009A2F32" w:rsidP="009A2F32">
      <w:pPr>
        <w:pStyle w:val="Prrafodelista"/>
        <w:ind w:left="0"/>
        <w:jc w:val="both"/>
        <w:rPr>
          <w:rFonts w:ascii="Times New Roman" w:eastAsiaTheme="minorEastAsia" w:hAnsi="Times New Roman" w:cs="Times New Roman"/>
          <w:sz w:val="24"/>
          <w:szCs w:val="24"/>
          <w:lang w:val="es-ES_tradnl" w:eastAsia="es-ES"/>
        </w:rPr>
      </w:pPr>
    </w:p>
    <w:p w:rsidR="009A2F32" w:rsidRPr="009E1FFB" w:rsidRDefault="009A2F32" w:rsidP="009A2F32">
      <w:pPr>
        <w:pStyle w:val="Prrafodelista"/>
        <w:numPr>
          <w:ilvl w:val="0"/>
          <w:numId w:val="28"/>
        </w:numPr>
        <w:jc w:val="both"/>
        <w:rPr>
          <w:rFonts w:ascii="Times New Roman" w:eastAsiaTheme="minorEastAsia" w:hAnsi="Times New Roman" w:cs="Times New Roman"/>
          <w:sz w:val="24"/>
          <w:szCs w:val="24"/>
          <w:lang w:val="es-ES_tradnl" w:eastAsia="es-ES"/>
        </w:rPr>
      </w:pPr>
      <w:r w:rsidRPr="009E1FFB">
        <w:rPr>
          <w:rFonts w:ascii="Times New Roman" w:eastAsiaTheme="minorEastAsia" w:hAnsi="Times New Roman" w:cs="Times New Roman"/>
          <w:sz w:val="24"/>
          <w:szCs w:val="24"/>
          <w:lang w:val="es-ES_tradnl" w:eastAsia="es-ES"/>
        </w:rPr>
        <w:t>Variación interanual del PIB real de 3.6%</w:t>
      </w:r>
    </w:p>
    <w:p w:rsidR="009A2F32" w:rsidRPr="009E1FFB" w:rsidRDefault="009A2F32" w:rsidP="009A2F32">
      <w:pPr>
        <w:pStyle w:val="Prrafodelista"/>
        <w:numPr>
          <w:ilvl w:val="0"/>
          <w:numId w:val="28"/>
        </w:numPr>
        <w:jc w:val="both"/>
        <w:rPr>
          <w:rFonts w:ascii="Times New Roman" w:eastAsiaTheme="minorEastAsia" w:hAnsi="Times New Roman" w:cs="Times New Roman"/>
          <w:sz w:val="24"/>
          <w:szCs w:val="24"/>
          <w:lang w:val="es-ES_tradnl" w:eastAsia="es-ES"/>
        </w:rPr>
      </w:pPr>
      <w:r w:rsidRPr="009E1FFB">
        <w:rPr>
          <w:rFonts w:ascii="Times New Roman" w:eastAsiaTheme="minorEastAsia" w:hAnsi="Times New Roman" w:cs="Times New Roman"/>
          <w:sz w:val="24"/>
          <w:szCs w:val="24"/>
          <w:lang w:val="es-ES_tradnl" w:eastAsia="es-ES"/>
        </w:rPr>
        <w:t>Variación interanual del PIB nominal de 7.5%</w:t>
      </w:r>
    </w:p>
    <w:p w:rsidR="009A2F32" w:rsidRPr="009E1FFB" w:rsidRDefault="009A2F32" w:rsidP="009A2F32">
      <w:pPr>
        <w:pStyle w:val="Prrafodelista"/>
        <w:numPr>
          <w:ilvl w:val="0"/>
          <w:numId w:val="28"/>
        </w:numPr>
        <w:jc w:val="both"/>
        <w:rPr>
          <w:rFonts w:ascii="Times New Roman" w:eastAsiaTheme="minorEastAsia" w:hAnsi="Times New Roman" w:cs="Times New Roman"/>
          <w:sz w:val="24"/>
          <w:szCs w:val="24"/>
          <w:lang w:val="es-ES_tradnl" w:eastAsia="es-ES"/>
        </w:rPr>
      </w:pPr>
      <w:r w:rsidRPr="009E1FFB">
        <w:rPr>
          <w:rFonts w:ascii="Times New Roman" w:eastAsiaTheme="minorEastAsia" w:hAnsi="Times New Roman" w:cs="Times New Roman"/>
          <w:sz w:val="24"/>
          <w:szCs w:val="24"/>
          <w:lang w:val="es-ES_tradnl" w:eastAsia="es-ES"/>
        </w:rPr>
        <w:t>Variación interanual del valor, en dólares, de las importaciones de 6.0%;</w:t>
      </w:r>
    </w:p>
    <w:p w:rsidR="009A2F32" w:rsidRPr="009E1FFB" w:rsidRDefault="009A2F32" w:rsidP="009A2F32">
      <w:pPr>
        <w:pStyle w:val="Prrafodelista"/>
        <w:numPr>
          <w:ilvl w:val="0"/>
          <w:numId w:val="28"/>
        </w:numPr>
        <w:jc w:val="both"/>
        <w:rPr>
          <w:rFonts w:ascii="Times New Roman" w:eastAsiaTheme="minorEastAsia" w:hAnsi="Times New Roman" w:cs="Times New Roman"/>
          <w:sz w:val="24"/>
          <w:szCs w:val="24"/>
          <w:lang w:val="es-ES_tradnl" w:eastAsia="es-ES"/>
        </w:rPr>
      </w:pPr>
      <w:r w:rsidRPr="009E1FFB">
        <w:rPr>
          <w:rFonts w:ascii="Times New Roman" w:eastAsiaTheme="minorEastAsia" w:hAnsi="Times New Roman" w:cs="Times New Roman"/>
          <w:sz w:val="24"/>
          <w:szCs w:val="24"/>
          <w:lang w:val="es-ES_tradnl" w:eastAsia="es-ES"/>
        </w:rPr>
        <w:t>Variación interanual del valor, en dólares, de las exportaciones de 7.5%;</w:t>
      </w:r>
    </w:p>
    <w:p w:rsidR="009A2F32" w:rsidRPr="009E1FFB" w:rsidRDefault="009A2F32" w:rsidP="009A2F32">
      <w:pPr>
        <w:pStyle w:val="Prrafodelista"/>
        <w:numPr>
          <w:ilvl w:val="0"/>
          <w:numId w:val="28"/>
        </w:numPr>
        <w:jc w:val="both"/>
        <w:rPr>
          <w:rFonts w:ascii="Times New Roman" w:eastAsiaTheme="minorEastAsia" w:hAnsi="Times New Roman" w:cs="Times New Roman"/>
          <w:sz w:val="24"/>
          <w:szCs w:val="24"/>
          <w:lang w:val="es-ES_tradnl" w:eastAsia="es-ES"/>
        </w:rPr>
      </w:pPr>
      <w:r w:rsidRPr="009E1FFB">
        <w:rPr>
          <w:rFonts w:ascii="Times New Roman" w:eastAsiaTheme="minorEastAsia" w:hAnsi="Times New Roman" w:cs="Times New Roman"/>
          <w:sz w:val="24"/>
          <w:szCs w:val="24"/>
          <w:lang w:val="es-ES_tradnl" w:eastAsia="es-ES"/>
        </w:rPr>
        <w:t>Las acciones administrativas contenidas en el Plan Anual de Recaudación, Control y Fiscalización para el ejercicio fiscal 2017</w:t>
      </w:r>
    </w:p>
    <w:p w:rsidR="009A2F32" w:rsidRPr="009E1FFB" w:rsidRDefault="009A2F32" w:rsidP="009A2F32">
      <w:pPr>
        <w:pStyle w:val="Prrafodelista"/>
        <w:ind w:left="0"/>
        <w:jc w:val="both"/>
        <w:rPr>
          <w:rFonts w:ascii="Times New Roman" w:eastAsiaTheme="minorEastAsia" w:hAnsi="Times New Roman" w:cs="Times New Roman"/>
          <w:sz w:val="24"/>
          <w:szCs w:val="24"/>
          <w:lang w:val="es-ES_tradnl" w:eastAsia="es-ES"/>
        </w:rPr>
      </w:pPr>
    </w:p>
    <w:p w:rsidR="009A2F32" w:rsidRPr="009E1FFB" w:rsidRDefault="009A2F32" w:rsidP="009A2F32">
      <w:pPr>
        <w:pStyle w:val="Prrafodelista"/>
        <w:ind w:left="0"/>
        <w:jc w:val="both"/>
        <w:rPr>
          <w:rFonts w:ascii="Times New Roman" w:eastAsiaTheme="minorEastAsia" w:hAnsi="Times New Roman" w:cs="Times New Roman"/>
          <w:sz w:val="24"/>
          <w:szCs w:val="24"/>
          <w:lang w:val="es-ES_tradnl" w:eastAsia="es-ES"/>
        </w:rPr>
      </w:pPr>
      <w:r w:rsidRPr="009E1FFB">
        <w:rPr>
          <w:rFonts w:ascii="Times New Roman" w:eastAsiaTheme="minorEastAsia" w:hAnsi="Times New Roman" w:cs="Times New Roman"/>
          <w:sz w:val="24"/>
          <w:szCs w:val="24"/>
          <w:lang w:val="es-ES_tradnl" w:eastAsia="es-ES"/>
        </w:rPr>
        <w:t>De forma particular, en la cláusula cuarta del Convenio, se cita que las modificaciones o ampliaciones presupuestarias con afectación sobre los ingresos tributarios que sean promovidas por el Organismo Ejecutivo y el Organismo Legislativo no afectaran la meta anual de ingresos tributarios administrados por SAT de Q57,463.00 millones.</w:t>
      </w:r>
    </w:p>
    <w:p w:rsidR="009A2F32" w:rsidRPr="009E1FFB" w:rsidRDefault="009A2F32" w:rsidP="009A2F32">
      <w:pPr>
        <w:pStyle w:val="Prrafodelista"/>
        <w:ind w:left="0"/>
        <w:jc w:val="both"/>
        <w:rPr>
          <w:rFonts w:ascii="Times New Roman" w:eastAsiaTheme="minorEastAsia" w:hAnsi="Times New Roman" w:cs="Times New Roman"/>
          <w:sz w:val="24"/>
          <w:szCs w:val="24"/>
          <w:lang w:val="es-ES_tradnl" w:eastAsia="es-ES"/>
        </w:rPr>
      </w:pPr>
    </w:p>
    <w:p w:rsidR="009A2F32" w:rsidRPr="009E1FFB" w:rsidRDefault="009A2F32" w:rsidP="009A2F32">
      <w:pPr>
        <w:pStyle w:val="Prrafodelista"/>
        <w:ind w:left="0"/>
        <w:jc w:val="both"/>
        <w:rPr>
          <w:rFonts w:ascii="Times New Roman" w:eastAsiaTheme="minorEastAsia" w:hAnsi="Times New Roman" w:cs="Times New Roman"/>
          <w:sz w:val="24"/>
          <w:szCs w:val="24"/>
          <w:lang w:val="es-ES_tradnl" w:eastAsia="es-ES"/>
        </w:rPr>
      </w:pPr>
      <w:r w:rsidRPr="009E1FFB">
        <w:rPr>
          <w:rFonts w:ascii="Times New Roman" w:eastAsiaTheme="minorEastAsia" w:hAnsi="Times New Roman" w:cs="Times New Roman"/>
          <w:sz w:val="24"/>
          <w:szCs w:val="24"/>
          <w:lang w:val="es-ES_tradnl" w:eastAsia="es-ES"/>
        </w:rPr>
        <w:t xml:space="preserve">En la cláusula quinta del Convenio, se incluyen los elementos que permiten medir la medición cualitativa a que hace referencia el artículo 23 bis, literal b), de la Ley Orgánica de la Superintendencia de Administración Tributaria.  </w:t>
      </w:r>
    </w:p>
    <w:p w:rsidR="00522E54" w:rsidRDefault="00522E54" w:rsidP="009A2F32">
      <w:pPr>
        <w:pStyle w:val="Prrafodelista"/>
        <w:ind w:left="0"/>
        <w:jc w:val="both"/>
        <w:rPr>
          <w:rFonts w:ascii="Times New Roman" w:eastAsiaTheme="minorEastAsia" w:hAnsi="Times New Roman" w:cs="Times New Roman"/>
          <w:sz w:val="24"/>
          <w:szCs w:val="24"/>
          <w:lang w:val="es-ES_tradnl" w:eastAsia="es-ES"/>
        </w:rPr>
      </w:pPr>
    </w:p>
    <w:p w:rsidR="009A2F32" w:rsidRPr="009E1FFB" w:rsidRDefault="009A2F32" w:rsidP="009A2F32">
      <w:pPr>
        <w:pStyle w:val="Prrafodelista"/>
        <w:ind w:left="0"/>
        <w:jc w:val="both"/>
        <w:rPr>
          <w:rFonts w:ascii="Times New Roman" w:eastAsiaTheme="minorEastAsia" w:hAnsi="Times New Roman" w:cs="Times New Roman"/>
          <w:sz w:val="24"/>
          <w:szCs w:val="24"/>
          <w:lang w:val="es-ES_tradnl" w:eastAsia="es-ES"/>
        </w:rPr>
      </w:pPr>
      <w:r w:rsidRPr="009E1FFB">
        <w:rPr>
          <w:rFonts w:ascii="Times New Roman" w:eastAsiaTheme="minorEastAsia" w:hAnsi="Times New Roman" w:cs="Times New Roman"/>
          <w:sz w:val="24"/>
          <w:szCs w:val="24"/>
          <w:lang w:val="es-ES_tradnl" w:eastAsia="es-ES"/>
        </w:rPr>
        <w:t>Dentro de las metas que se establecen están: 1) el incremento en el registro de contribuyentes afiliados a impuestos; 2) Implementar la segunda fase del rediseño del Registro Tributario Unificado; 3) disminución en el tiempo de despacho de importaciones definitivas; 4) ampliar la cobertura de fiscalización para aumentar la percepción de riesgo de los contribuyentes; 5) reducir el tiempo en trámite de expedientes de devolución de crédito fiscal;6) establecer la carrera administrativa en la SAT; y, 7) avanzar con la implementación de la factura electrónica pura con validación en tiempo real.</w:t>
      </w:r>
    </w:p>
    <w:p w:rsidR="009A2F32" w:rsidRPr="009E1FFB" w:rsidRDefault="009A2F32" w:rsidP="009A2F32">
      <w:pPr>
        <w:pStyle w:val="Prrafodelista"/>
        <w:jc w:val="both"/>
        <w:rPr>
          <w:rFonts w:ascii="Times New Roman" w:eastAsiaTheme="minorEastAsia" w:hAnsi="Times New Roman" w:cs="Times New Roman"/>
          <w:sz w:val="24"/>
          <w:szCs w:val="24"/>
          <w:lang w:val="es-ES_tradnl" w:eastAsia="es-ES"/>
        </w:rPr>
      </w:pPr>
      <w:r w:rsidRPr="009E1FFB">
        <w:rPr>
          <w:rFonts w:ascii="Times New Roman" w:eastAsiaTheme="minorEastAsia" w:hAnsi="Times New Roman" w:cs="Times New Roman"/>
          <w:sz w:val="24"/>
          <w:szCs w:val="24"/>
          <w:lang w:val="es-ES_tradnl" w:eastAsia="es-ES"/>
        </w:rPr>
        <w:t xml:space="preserve"> </w:t>
      </w:r>
    </w:p>
    <w:p w:rsidR="009A2F32" w:rsidRDefault="009A2F32" w:rsidP="009A2F32">
      <w:pPr>
        <w:pStyle w:val="Prrafodelista"/>
        <w:ind w:left="0"/>
        <w:jc w:val="both"/>
        <w:rPr>
          <w:rFonts w:ascii="Times New Roman" w:hAnsi="Times New Roman"/>
          <w:sz w:val="24"/>
        </w:rPr>
      </w:pPr>
      <w:r w:rsidRPr="009E1FFB">
        <w:rPr>
          <w:rFonts w:ascii="Times New Roman" w:eastAsiaTheme="minorEastAsia" w:hAnsi="Times New Roman" w:cs="Times New Roman"/>
          <w:sz w:val="24"/>
          <w:szCs w:val="24"/>
          <w:lang w:val="es-ES_tradnl" w:eastAsia="es-ES"/>
        </w:rPr>
        <w:t>A través del Acuerdo No. 42 – 2018 del Directorio de la SAT, se reformó el Acuerdo que dio vida al Reglamento para la Evaluación del Convenio de Cumplimiento de Metas de Recaudación Tributaria.  Por medio de este instrumento se adecuaron los criterios de evaluación para incluir los elementos requeridos por la reforma a la Ley Orgánica de la Superintendencia de Administración Tributaria en cuanto a la evaluación cualitativa descrita en los artículos 7, literal g, 23 Bis, literales a y b, 23 literal t y 27 literal g.  En el artículo 6 del reglamento para la evaluación aprobado, se establece que El Directorio de la SAT realizará la evaluación del Convenio de cada período fiscal,</w:t>
      </w:r>
      <w:r>
        <w:rPr>
          <w:rFonts w:ascii="Times New Roman" w:hAnsi="Times New Roman" w:cs="Times New Roman"/>
        </w:rPr>
        <w:t xml:space="preserve"> </w:t>
      </w:r>
      <w:r w:rsidRPr="009E1FFB">
        <w:rPr>
          <w:rFonts w:ascii="Times New Roman" w:eastAsiaTheme="minorEastAsia" w:hAnsi="Times New Roman" w:cs="Times New Roman"/>
          <w:sz w:val="24"/>
          <w:szCs w:val="24"/>
          <w:lang w:val="es-ES_tradnl" w:eastAsia="es-ES"/>
        </w:rPr>
        <w:t>durante el período comprendido del 21 al 31 de enero del año inmediato siguiente al que se refiere el Convenio.</w:t>
      </w:r>
    </w:p>
    <w:p w:rsidR="009A2F32" w:rsidRDefault="009A2F32" w:rsidP="009A2F32">
      <w:pPr>
        <w:pStyle w:val="Prrafodelista"/>
        <w:ind w:left="0"/>
        <w:jc w:val="both"/>
        <w:rPr>
          <w:rFonts w:ascii="Times New Roman" w:hAnsi="Times New Roman"/>
          <w:sz w:val="24"/>
        </w:rPr>
      </w:pPr>
    </w:p>
    <w:p w:rsidR="009A2F32" w:rsidRPr="0008775B" w:rsidRDefault="009A2F32" w:rsidP="009A2F32">
      <w:pPr>
        <w:jc w:val="both"/>
        <w:rPr>
          <w:rFonts w:ascii="Times New Roman" w:hAnsi="Times New Roman" w:cs="Times New Roman"/>
          <w:color w:val="FF0000"/>
        </w:rPr>
      </w:pPr>
      <w:r w:rsidRPr="002732BD">
        <w:rPr>
          <w:rFonts w:ascii="Times New Roman" w:hAnsi="Times New Roman"/>
        </w:rPr>
        <w:t xml:space="preserve">Los resultados observados sobre la recaudación tributaria preliminar </w:t>
      </w:r>
      <w:r>
        <w:rPr>
          <w:rFonts w:ascii="Times New Roman" w:hAnsi="Times New Roman"/>
        </w:rPr>
        <w:t xml:space="preserve">de </w:t>
      </w:r>
      <w:r w:rsidRPr="002732BD">
        <w:rPr>
          <w:rFonts w:ascii="Times New Roman" w:hAnsi="Times New Roman"/>
        </w:rPr>
        <w:t xml:space="preserve">2018, evidencian </w:t>
      </w:r>
      <w:r>
        <w:rPr>
          <w:rFonts w:ascii="Times New Roman" w:hAnsi="Times New Roman"/>
        </w:rPr>
        <w:t>un crecimiento de la recaudación tributaria de manera interanual de 3.8</w:t>
      </w:r>
      <w:r w:rsidRPr="002732BD">
        <w:rPr>
          <w:rFonts w:ascii="Times New Roman" w:hAnsi="Times New Roman"/>
        </w:rPr>
        <w:t>%, impulsad</w:t>
      </w:r>
      <w:r>
        <w:rPr>
          <w:rFonts w:ascii="Times New Roman" w:hAnsi="Times New Roman"/>
        </w:rPr>
        <w:t>o</w:t>
      </w:r>
      <w:r w:rsidRPr="002732BD">
        <w:rPr>
          <w:rFonts w:ascii="Times New Roman" w:hAnsi="Times New Roman"/>
        </w:rPr>
        <w:t xml:space="preserve"> principalmente por el desempeño positivo en impuestos asociados al comercio exterior </w:t>
      </w:r>
      <w:r w:rsidRPr="006C74CE">
        <w:rPr>
          <w:rFonts w:ascii="Times New Roman" w:hAnsi="Times New Roman"/>
          <w:i/>
        </w:rPr>
        <w:t>(IVA importaciones y derechos arancelarios)</w:t>
      </w:r>
      <w:r w:rsidRPr="002732BD">
        <w:rPr>
          <w:rFonts w:ascii="Times New Roman" w:hAnsi="Times New Roman"/>
        </w:rPr>
        <w:t xml:space="preserve"> que presentaron tasas de crecimiento de 5.4% respecto a la meta del </w:t>
      </w:r>
      <w:r w:rsidRPr="002732BD">
        <w:rPr>
          <w:rFonts w:ascii="Times New Roman" w:hAnsi="Times New Roman"/>
        </w:rPr>
        <w:lastRenderedPageBreak/>
        <w:t>convenio y 8.8% respecto a lo observado en 2017</w:t>
      </w:r>
      <w:r>
        <w:rPr>
          <w:rFonts w:ascii="Times New Roman" w:hAnsi="Times New Roman"/>
        </w:rPr>
        <w:t>, y una recuperación en el impuesto a las regalías e hidrocarburos compartibles que supero lo observado en 2017 por Q116 millones.</w:t>
      </w:r>
    </w:p>
    <w:p w:rsidR="003F6C74" w:rsidRPr="009A2F32" w:rsidRDefault="003F6C74" w:rsidP="009A2F32">
      <w:pPr>
        <w:contextualSpacing/>
        <w:rPr>
          <w:rFonts w:ascii="Times New Roman" w:hAnsi="Times New Roman" w:cs="Times New Roman"/>
          <w:b/>
          <w:color w:val="FF0000"/>
          <w:sz w:val="22"/>
        </w:rPr>
      </w:pPr>
    </w:p>
    <w:p w:rsidR="003F6C74" w:rsidRPr="0008775B" w:rsidRDefault="009A2F32" w:rsidP="003F6C74">
      <w:pPr>
        <w:jc w:val="center"/>
        <w:rPr>
          <w:rFonts w:ascii="Times New Roman" w:hAnsi="Times New Roman" w:cs="Times New Roman"/>
          <w:color w:val="FF0000"/>
        </w:rPr>
      </w:pPr>
      <w:r w:rsidRPr="00750068">
        <w:rPr>
          <w:rFonts w:ascii="Times New Roman" w:hAnsi="Times New Roman" w:cs="Times New Roman"/>
          <w:noProof/>
          <w:lang w:val="es-GT" w:eastAsia="es-GT"/>
        </w:rPr>
        <w:drawing>
          <wp:inline distT="0" distB="0" distL="0" distR="0" wp14:anchorId="357621D6" wp14:editId="0FFCE01E">
            <wp:extent cx="5486400" cy="4295775"/>
            <wp:effectExtent l="0" t="0" r="0" b="0"/>
            <wp:docPr id="59" name="Grá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6C74" w:rsidRPr="009A2F32" w:rsidRDefault="000C0470" w:rsidP="000C0470">
      <w:pPr>
        <w:ind w:left="708" w:firstLine="708"/>
        <w:jc w:val="both"/>
        <w:rPr>
          <w:rFonts w:ascii="Times New Roman" w:hAnsi="Times New Roman" w:cs="Times New Roman"/>
          <w:sz w:val="16"/>
        </w:rPr>
      </w:pPr>
      <w:r w:rsidRPr="009A2F32">
        <w:rPr>
          <w:rFonts w:ascii="Times New Roman" w:hAnsi="Times New Roman" w:cs="Times New Roman"/>
          <w:sz w:val="16"/>
        </w:rPr>
        <w:t>Fuente: Dirección de Análisis y Política Fiscal</w:t>
      </w:r>
    </w:p>
    <w:p w:rsidR="00243DA8" w:rsidRPr="0008775B" w:rsidRDefault="00243DA8" w:rsidP="00243DA8">
      <w:pPr>
        <w:jc w:val="both"/>
        <w:rPr>
          <w:rFonts w:ascii="Times New Roman" w:hAnsi="Times New Roman" w:cs="Times New Roman"/>
          <w:color w:val="FF0000"/>
          <w:lang w:val="es-MX"/>
        </w:rPr>
      </w:pPr>
    </w:p>
    <w:p w:rsidR="00243DA8" w:rsidRPr="00985B25" w:rsidRDefault="00243DA8" w:rsidP="00243DA8">
      <w:pPr>
        <w:pStyle w:val="Ttulo2"/>
        <w:numPr>
          <w:ilvl w:val="1"/>
          <w:numId w:val="11"/>
        </w:numPr>
        <w:spacing w:before="0"/>
        <w:rPr>
          <w:rFonts w:ascii="Times New Roman" w:hAnsi="Times New Roman" w:cs="Times New Roman"/>
          <w:color w:val="auto"/>
          <w:sz w:val="24"/>
        </w:rPr>
      </w:pPr>
      <w:bookmarkStart w:id="26" w:name="_Toc471987135"/>
      <w:bookmarkStart w:id="27" w:name="_Toc534988227"/>
      <w:r w:rsidRPr="00985B25">
        <w:rPr>
          <w:rFonts w:ascii="Times New Roman" w:hAnsi="Times New Roman" w:cs="Times New Roman"/>
          <w:color w:val="auto"/>
          <w:sz w:val="24"/>
        </w:rPr>
        <w:t>Carga Tributaria</w:t>
      </w:r>
      <w:bookmarkEnd w:id="26"/>
      <w:bookmarkEnd w:id="27"/>
    </w:p>
    <w:p w:rsidR="00243DA8" w:rsidRPr="0008775B" w:rsidRDefault="00243DA8" w:rsidP="00243DA8">
      <w:pPr>
        <w:jc w:val="both"/>
        <w:rPr>
          <w:rFonts w:ascii="Times New Roman" w:hAnsi="Times New Roman" w:cs="Times New Roman"/>
          <w:color w:val="FF0000"/>
          <w:lang w:val="es-MX"/>
        </w:rPr>
      </w:pPr>
    </w:p>
    <w:p w:rsidR="003F6C74" w:rsidRPr="0008775B" w:rsidRDefault="00BA51FA" w:rsidP="003F6C74">
      <w:pPr>
        <w:jc w:val="both"/>
        <w:rPr>
          <w:rFonts w:ascii="Times New Roman" w:hAnsi="Times New Roman" w:cs="Times New Roman"/>
          <w:color w:val="FF0000"/>
          <w:lang w:val="es-MX"/>
        </w:rPr>
      </w:pPr>
      <w:r w:rsidRPr="00A94935">
        <w:rPr>
          <w:rFonts w:ascii="Times New Roman" w:hAnsi="Times New Roman" w:cs="Times New Roman"/>
          <w:lang w:val="es-MX"/>
        </w:rPr>
        <w:t xml:space="preserve">Como se indicó en párrafos anteriores la recaudación tributaria se vio afectada por factores adversos como las resoluciones de la Corte de Constitucionalidad, </w:t>
      </w:r>
      <w:r>
        <w:rPr>
          <w:rFonts w:ascii="Times New Roman" w:hAnsi="Times New Roman" w:cs="Times New Roman"/>
          <w:lang w:val="es-MX"/>
        </w:rPr>
        <w:t>depreciación</w:t>
      </w:r>
      <w:r w:rsidRPr="00A94935">
        <w:rPr>
          <w:rFonts w:ascii="Times New Roman" w:hAnsi="Times New Roman" w:cs="Times New Roman"/>
          <w:lang w:val="es-MX"/>
        </w:rPr>
        <w:t xml:space="preserve"> de la moneda nacional y aspectos de orden externo como las oscilaciones en el precio internacional del petróleo que vinieron a afectar directamente al indicador de carga tributaria el cual disminuyo respecto al observado en 2017 tal y como se aprecia en el gráfico siguiente, la medición de carga tributaria para 2018 se ubicó en 10% es preciso que el ente recaudador continúe realizando esfuerzos a efecto de garantizar como mínimo la carga promedio de los últimos años</w:t>
      </w:r>
      <w:r>
        <w:rPr>
          <w:rFonts w:ascii="Times New Roman" w:hAnsi="Times New Roman" w:cs="Times New Roman"/>
          <w:lang w:val="es-MX"/>
        </w:rPr>
        <w:t xml:space="preserve"> (10.6%)</w:t>
      </w:r>
      <w:r w:rsidRPr="00A94935">
        <w:rPr>
          <w:rFonts w:ascii="Times New Roman" w:hAnsi="Times New Roman" w:cs="Times New Roman"/>
          <w:lang w:val="es-MX"/>
        </w:rPr>
        <w:t>, el esfuerzo realizado</w:t>
      </w:r>
      <w:r>
        <w:rPr>
          <w:rFonts w:ascii="Times New Roman" w:hAnsi="Times New Roman" w:cs="Times New Roman"/>
          <w:lang w:val="es-MX"/>
        </w:rPr>
        <w:t xml:space="preserve"> </w:t>
      </w:r>
      <w:r w:rsidRPr="00A94935">
        <w:rPr>
          <w:rFonts w:ascii="Times New Roman" w:hAnsi="Times New Roman" w:cs="Times New Roman"/>
          <w:lang w:val="es-MX"/>
        </w:rPr>
        <w:t>aun esta por abajo del promedio</w:t>
      </w:r>
      <w:r>
        <w:rPr>
          <w:rFonts w:ascii="Times New Roman" w:hAnsi="Times New Roman" w:cs="Times New Roman"/>
          <w:lang w:val="es-MX"/>
        </w:rPr>
        <w:t>,</w:t>
      </w:r>
      <w:r w:rsidRPr="00A94935">
        <w:rPr>
          <w:rFonts w:ascii="Times New Roman" w:hAnsi="Times New Roman" w:cs="Times New Roman"/>
          <w:lang w:val="es-MX"/>
        </w:rPr>
        <w:t xml:space="preserve"> es preciso garantizar mejores medidas de control y percepción de riesgo por parte de lo</w:t>
      </w:r>
      <w:r>
        <w:rPr>
          <w:rFonts w:ascii="Times New Roman" w:hAnsi="Times New Roman" w:cs="Times New Roman"/>
          <w:lang w:val="es-MX"/>
        </w:rPr>
        <w:t xml:space="preserve">s contribuyentes con lo cual </w:t>
      </w:r>
      <w:r w:rsidRPr="00A94935">
        <w:rPr>
          <w:rFonts w:ascii="Times New Roman" w:hAnsi="Times New Roman" w:cs="Times New Roman"/>
          <w:lang w:val="es-MX"/>
        </w:rPr>
        <w:t>2019 pueda ser un año en el que repunte la recaudación esperada.</w:t>
      </w:r>
    </w:p>
    <w:p w:rsidR="003F6C74" w:rsidRDefault="003F6C74" w:rsidP="005C5656">
      <w:pPr>
        <w:jc w:val="center"/>
        <w:rPr>
          <w:rFonts w:ascii="Times New Roman" w:hAnsi="Times New Roman" w:cs="Times New Roman"/>
          <w:b/>
          <w:color w:val="FF0000"/>
          <w:lang w:val="es-MX"/>
        </w:rPr>
      </w:pPr>
    </w:p>
    <w:p w:rsidR="005C5656" w:rsidRDefault="005C5656" w:rsidP="005C5656">
      <w:pPr>
        <w:jc w:val="center"/>
        <w:rPr>
          <w:rFonts w:ascii="Times New Roman" w:hAnsi="Times New Roman" w:cs="Times New Roman"/>
          <w:b/>
          <w:color w:val="FF0000"/>
          <w:lang w:val="es-MX"/>
        </w:rPr>
      </w:pPr>
    </w:p>
    <w:p w:rsidR="005C5656" w:rsidRDefault="005C5656" w:rsidP="005C5656">
      <w:pPr>
        <w:jc w:val="center"/>
        <w:rPr>
          <w:rFonts w:ascii="Times New Roman" w:hAnsi="Times New Roman" w:cs="Times New Roman"/>
          <w:b/>
          <w:color w:val="FF0000"/>
          <w:lang w:val="es-MX"/>
        </w:rPr>
      </w:pPr>
    </w:p>
    <w:p w:rsidR="005C5656" w:rsidRDefault="005C5656" w:rsidP="005C5656">
      <w:pPr>
        <w:jc w:val="center"/>
        <w:rPr>
          <w:rFonts w:ascii="Times New Roman" w:hAnsi="Times New Roman" w:cs="Times New Roman"/>
          <w:b/>
          <w:color w:val="FF0000"/>
          <w:lang w:val="es-MX"/>
        </w:rPr>
      </w:pPr>
    </w:p>
    <w:p w:rsidR="005C5656" w:rsidRDefault="005C5656" w:rsidP="005C5656">
      <w:pPr>
        <w:jc w:val="center"/>
        <w:rPr>
          <w:rFonts w:ascii="Times New Roman" w:hAnsi="Times New Roman" w:cs="Times New Roman"/>
          <w:b/>
          <w:color w:val="FF0000"/>
          <w:lang w:val="es-MX"/>
        </w:rPr>
      </w:pPr>
    </w:p>
    <w:p w:rsidR="005C5656" w:rsidRPr="0008775B" w:rsidRDefault="005C5656" w:rsidP="005C5656">
      <w:pPr>
        <w:jc w:val="center"/>
        <w:rPr>
          <w:rFonts w:ascii="Times New Roman" w:hAnsi="Times New Roman" w:cs="Times New Roman"/>
          <w:b/>
          <w:color w:val="FF0000"/>
          <w:lang w:val="es-MX"/>
        </w:rPr>
      </w:pPr>
    </w:p>
    <w:p w:rsidR="003F6C74" w:rsidRPr="00BA51FA" w:rsidRDefault="003F6C74" w:rsidP="003F6C74">
      <w:pPr>
        <w:jc w:val="center"/>
        <w:rPr>
          <w:rFonts w:ascii="Times New Roman" w:hAnsi="Times New Roman" w:cs="Times New Roman"/>
          <w:b/>
          <w:lang w:val="es-MX"/>
        </w:rPr>
      </w:pPr>
      <w:r w:rsidRPr="00BA51FA">
        <w:rPr>
          <w:rFonts w:ascii="Times New Roman" w:hAnsi="Times New Roman" w:cs="Times New Roman"/>
          <w:b/>
          <w:lang w:val="es-MX"/>
        </w:rPr>
        <w:lastRenderedPageBreak/>
        <w:t>Carga Tributaria</w:t>
      </w:r>
    </w:p>
    <w:p w:rsidR="003F6C74" w:rsidRPr="00BA51FA" w:rsidRDefault="003F6C74" w:rsidP="003F6C74">
      <w:pPr>
        <w:jc w:val="center"/>
        <w:rPr>
          <w:rFonts w:ascii="Times New Roman" w:hAnsi="Times New Roman" w:cs="Times New Roman"/>
          <w:sz w:val="18"/>
          <w:lang w:val="es-MX"/>
        </w:rPr>
      </w:pPr>
      <w:r w:rsidRPr="00BA51FA">
        <w:rPr>
          <w:rFonts w:ascii="Times New Roman" w:hAnsi="Times New Roman" w:cs="Times New Roman"/>
          <w:sz w:val="18"/>
          <w:lang w:val="es-MX"/>
        </w:rPr>
        <w:t>Porcentajes</w:t>
      </w:r>
    </w:p>
    <w:p w:rsidR="003F6C74" w:rsidRPr="00BA51FA" w:rsidRDefault="00BA51FA" w:rsidP="003F6C74">
      <w:pPr>
        <w:jc w:val="center"/>
        <w:rPr>
          <w:rFonts w:ascii="Times New Roman" w:hAnsi="Times New Roman" w:cs="Times New Roman"/>
          <w:lang w:val="es-MX"/>
        </w:rPr>
      </w:pPr>
      <w:r w:rsidRPr="00BA51FA">
        <w:rPr>
          <w:rFonts w:ascii="Times New Roman" w:hAnsi="Times New Roman" w:cs="Times New Roman"/>
          <w:noProof/>
          <w:highlight w:val="yellow"/>
          <w:lang w:val="es-GT" w:eastAsia="es-GT"/>
        </w:rPr>
        <w:drawing>
          <wp:inline distT="0" distB="0" distL="0" distR="0" wp14:anchorId="732E9C69" wp14:editId="5E336D37">
            <wp:extent cx="4933950" cy="2409825"/>
            <wp:effectExtent l="0" t="0" r="0" b="9525"/>
            <wp:docPr id="60" name="Gráfico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6BA3" w:rsidRDefault="003F6C74" w:rsidP="00985B25">
      <w:pPr>
        <w:tabs>
          <w:tab w:val="left" w:pos="4120"/>
        </w:tabs>
        <w:ind w:firstLine="708"/>
        <w:rPr>
          <w:rFonts w:ascii="Times New Roman" w:hAnsi="Times New Roman" w:cs="Times New Roman"/>
          <w:sz w:val="16"/>
          <w:lang w:val="es-MX"/>
        </w:rPr>
      </w:pPr>
      <w:r w:rsidRPr="00BA51FA">
        <w:rPr>
          <w:rFonts w:ascii="Times New Roman" w:hAnsi="Times New Roman" w:cs="Times New Roman"/>
          <w:sz w:val="16"/>
          <w:lang w:val="es-MX"/>
        </w:rPr>
        <w:t>Fuente: Dirección de Análisis y Política Fiscal</w:t>
      </w:r>
      <w:r w:rsidR="00BA51FA" w:rsidRPr="00BA51FA">
        <w:rPr>
          <w:rFonts w:ascii="Times New Roman" w:hAnsi="Times New Roman" w:cs="Times New Roman"/>
          <w:sz w:val="16"/>
          <w:lang w:val="es-MX"/>
        </w:rPr>
        <w:tab/>
      </w:r>
    </w:p>
    <w:p w:rsidR="00985B25" w:rsidRPr="00985B25" w:rsidRDefault="00985B25" w:rsidP="00985B25">
      <w:pPr>
        <w:tabs>
          <w:tab w:val="left" w:pos="4120"/>
        </w:tabs>
        <w:ind w:firstLine="708"/>
        <w:rPr>
          <w:rFonts w:ascii="Times New Roman" w:hAnsi="Times New Roman" w:cs="Times New Roman"/>
          <w:sz w:val="16"/>
          <w:lang w:val="es-MX"/>
        </w:rPr>
      </w:pPr>
    </w:p>
    <w:p w:rsidR="00206BA3" w:rsidRPr="0008775B" w:rsidRDefault="00206BA3" w:rsidP="000B5E1C">
      <w:pPr>
        <w:rPr>
          <w:rFonts w:ascii="Times New Roman" w:hAnsi="Times New Roman" w:cs="Times New Roman"/>
          <w:color w:val="FF0000"/>
          <w:lang w:val="es-MX"/>
        </w:rPr>
      </w:pPr>
    </w:p>
    <w:p w:rsidR="008C0B31" w:rsidRPr="00660FB3" w:rsidRDefault="008C0B31" w:rsidP="008C0B31">
      <w:pPr>
        <w:pStyle w:val="Prrafodelista"/>
        <w:numPr>
          <w:ilvl w:val="0"/>
          <w:numId w:val="1"/>
        </w:numPr>
        <w:ind w:left="709" w:hanging="709"/>
        <w:jc w:val="both"/>
        <w:outlineLvl w:val="0"/>
        <w:rPr>
          <w:rFonts w:ascii="Times New Roman" w:eastAsiaTheme="majorEastAsia" w:hAnsi="Times New Roman" w:cs="Times New Roman"/>
          <w:b/>
          <w:bCs/>
          <w:sz w:val="24"/>
          <w:szCs w:val="26"/>
          <w:lang w:val="es-ES_tradnl" w:eastAsia="es-ES"/>
        </w:rPr>
      </w:pPr>
      <w:bookmarkStart w:id="28" w:name="_Toc534988228"/>
      <w:r w:rsidRPr="00660FB3">
        <w:rPr>
          <w:rFonts w:ascii="Times New Roman" w:eastAsiaTheme="majorEastAsia" w:hAnsi="Times New Roman" w:cs="Times New Roman"/>
          <w:b/>
          <w:bCs/>
          <w:sz w:val="24"/>
          <w:szCs w:val="26"/>
          <w:lang w:val="es-ES_tradnl" w:eastAsia="es-ES"/>
        </w:rPr>
        <w:t>Gasto Público</w:t>
      </w:r>
      <w:bookmarkEnd w:id="28"/>
    </w:p>
    <w:p w:rsidR="00770433" w:rsidRPr="00660FB3" w:rsidRDefault="00770433" w:rsidP="00770433">
      <w:pPr>
        <w:pStyle w:val="Prrafodelista"/>
        <w:keepNext/>
        <w:keepLines/>
        <w:numPr>
          <w:ilvl w:val="0"/>
          <w:numId w:val="12"/>
        </w:numPr>
        <w:spacing w:before="200"/>
        <w:contextualSpacing w:val="0"/>
        <w:outlineLvl w:val="1"/>
        <w:rPr>
          <w:rFonts w:ascii="Times New Roman" w:eastAsiaTheme="majorEastAsia" w:hAnsi="Times New Roman" w:cs="Times New Roman"/>
          <w:b/>
          <w:bCs/>
          <w:vanish/>
          <w:sz w:val="24"/>
          <w:szCs w:val="26"/>
          <w:lang w:val="es-ES_tradnl" w:eastAsia="es-ES"/>
        </w:rPr>
      </w:pPr>
      <w:bookmarkStart w:id="29" w:name="_Toc471986932"/>
      <w:bookmarkStart w:id="30" w:name="_Toc471987067"/>
      <w:bookmarkStart w:id="31" w:name="_Toc471987115"/>
      <w:bookmarkStart w:id="32" w:name="_Toc471987137"/>
      <w:bookmarkStart w:id="33" w:name="_Toc472082165"/>
      <w:bookmarkStart w:id="34" w:name="_Toc472082197"/>
      <w:bookmarkStart w:id="35" w:name="_Toc472089913"/>
      <w:bookmarkStart w:id="36" w:name="_Toc472089936"/>
      <w:bookmarkStart w:id="37" w:name="_Toc505346063"/>
      <w:bookmarkStart w:id="38" w:name="_Toc505349878"/>
      <w:bookmarkStart w:id="39" w:name="_Toc534985836"/>
      <w:bookmarkStart w:id="40" w:name="_Toc534988229"/>
      <w:bookmarkEnd w:id="29"/>
      <w:bookmarkEnd w:id="30"/>
      <w:bookmarkEnd w:id="31"/>
      <w:bookmarkEnd w:id="32"/>
      <w:bookmarkEnd w:id="33"/>
      <w:bookmarkEnd w:id="34"/>
      <w:bookmarkEnd w:id="35"/>
      <w:bookmarkEnd w:id="36"/>
      <w:bookmarkEnd w:id="37"/>
      <w:bookmarkEnd w:id="38"/>
      <w:bookmarkEnd w:id="39"/>
      <w:bookmarkEnd w:id="40"/>
    </w:p>
    <w:p w:rsidR="00770433" w:rsidRPr="00660FB3" w:rsidRDefault="00770433" w:rsidP="00770433">
      <w:pPr>
        <w:pStyle w:val="Prrafodelista"/>
        <w:keepNext/>
        <w:keepLines/>
        <w:numPr>
          <w:ilvl w:val="0"/>
          <w:numId w:val="12"/>
        </w:numPr>
        <w:spacing w:before="200"/>
        <w:contextualSpacing w:val="0"/>
        <w:outlineLvl w:val="1"/>
        <w:rPr>
          <w:rFonts w:ascii="Times New Roman" w:eastAsiaTheme="majorEastAsia" w:hAnsi="Times New Roman" w:cs="Times New Roman"/>
          <w:b/>
          <w:bCs/>
          <w:vanish/>
          <w:sz w:val="24"/>
          <w:szCs w:val="26"/>
          <w:lang w:val="es-ES_tradnl" w:eastAsia="es-ES"/>
        </w:rPr>
      </w:pPr>
      <w:bookmarkStart w:id="41" w:name="_Toc472082166"/>
      <w:bookmarkStart w:id="42" w:name="_Toc472082198"/>
      <w:bookmarkStart w:id="43" w:name="_Toc472089914"/>
      <w:bookmarkStart w:id="44" w:name="_Toc472089937"/>
      <w:bookmarkStart w:id="45" w:name="_Toc505346064"/>
      <w:bookmarkStart w:id="46" w:name="_Toc505349879"/>
      <w:bookmarkStart w:id="47" w:name="_Toc534985837"/>
      <w:bookmarkStart w:id="48" w:name="_Toc534988230"/>
      <w:bookmarkEnd w:id="41"/>
      <w:bookmarkEnd w:id="42"/>
      <w:bookmarkEnd w:id="43"/>
      <w:bookmarkEnd w:id="44"/>
      <w:bookmarkEnd w:id="45"/>
      <w:bookmarkEnd w:id="46"/>
      <w:bookmarkEnd w:id="47"/>
      <w:bookmarkEnd w:id="48"/>
    </w:p>
    <w:p w:rsidR="000B5E1C" w:rsidRPr="00660FB3" w:rsidRDefault="00660FB3" w:rsidP="00770433">
      <w:pPr>
        <w:pStyle w:val="Ttulo2"/>
        <w:numPr>
          <w:ilvl w:val="1"/>
          <w:numId w:val="12"/>
        </w:numPr>
        <w:rPr>
          <w:rFonts w:ascii="Times New Roman" w:hAnsi="Times New Roman" w:cs="Times New Roman"/>
          <w:color w:val="auto"/>
          <w:sz w:val="24"/>
        </w:rPr>
      </w:pPr>
      <w:bookmarkStart w:id="49" w:name="_Toc534988231"/>
      <w:r w:rsidRPr="00660FB3">
        <w:rPr>
          <w:rFonts w:ascii="Times New Roman" w:hAnsi="Times New Roman" w:cs="Times New Roman"/>
          <w:color w:val="auto"/>
          <w:sz w:val="24"/>
        </w:rPr>
        <w:t>Mejora la ejecución del gasto público a pesar de las limitaciones presupuestarias</w:t>
      </w:r>
      <w:bookmarkEnd w:id="49"/>
    </w:p>
    <w:p w:rsidR="000B5E1C" w:rsidRPr="0008775B" w:rsidRDefault="000B5E1C" w:rsidP="000B5E1C">
      <w:pPr>
        <w:pStyle w:val="Sinespaciado"/>
        <w:jc w:val="both"/>
        <w:rPr>
          <w:rFonts w:ascii="Times New Roman" w:hAnsi="Times New Roman" w:cs="Times New Roman"/>
          <w:color w:val="FF0000"/>
          <w:sz w:val="24"/>
          <w:szCs w:val="24"/>
          <w:lang w:val="es-ES_tradnl"/>
        </w:rPr>
      </w:pPr>
    </w:p>
    <w:p w:rsidR="00660FB3" w:rsidRPr="00A34475" w:rsidRDefault="00660FB3" w:rsidP="00660FB3">
      <w:pPr>
        <w:jc w:val="both"/>
        <w:rPr>
          <w:rFonts w:ascii="Times New Roman" w:hAnsi="Times New Roman" w:cs="Times New Roman"/>
          <w:lang w:val="es-MX"/>
        </w:rPr>
      </w:pPr>
      <w:r w:rsidRPr="00A34475">
        <w:rPr>
          <w:rFonts w:ascii="Times New Roman" w:hAnsi="Times New Roman" w:cs="Times New Roman"/>
          <w:lang w:val="es-MX"/>
        </w:rPr>
        <w:t>Debido a que el Congreso de la República no aprobó el Presupuesto para 201</w:t>
      </w:r>
      <w:r>
        <w:rPr>
          <w:rFonts w:ascii="Times New Roman" w:hAnsi="Times New Roman" w:cs="Times New Roman"/>
          <w:lang w:val="es-MX"/>
        </w:rPr>
        <w:t>8</w:t>
      </w:r>
      <w:r w:rsidRPr="00A34475">
        <w:rPr>
          <w:rFonts w:ascii="Times New Roman" w:hAnsi="Times New Roman" w:cs="Times New Roman"/>
          <w:lang w:val="es-MX"/>
        </w:rPr>
        <w:t>, a partir del 01 de enero de ese año, rigió como establece la Constitución Política de la República, el presupuesto en vigencia del año anterior (201</w:t>
      </w:r>
      <w:r>
        <w:rPr>
          <w:rFonts w:ascii="Times New Roman" w:hAnsi="Times New Roman" w:cs="Times New Roman"/>
          <w:lang w:val="es-MX"/>
        </w:rPr>
        <w:t>7</w:t>
      </w:r>
      <w:r w:rsidRPr="00A34475">
        <w:rPr>
          <w:rFonts w:ascii="Times New Roman" w:hAnsi="Times New Roman" w:cs="Times New Roman"/>
          <w:lang w:val="es-MX"/>
        </w:rPr>
        <w:t>), por lo que el monto inicial d</w:t>
      </w:r>
      <w:r>
        <w:rPr>
          <w:rFonts w:ascii="Times New Roman" w:hAnsi="Times New Roman" w:cs="Times New Roman"/>
          <w:lang w:val="es-MX"/>
        </w:rPr>
        <w:t>el presupuesto fue de Q76,989.5</w:t>
      </w:r>
      <w:r w:rsidRPr="00A34475">
        <w:rPr>
          <w:rFonts w:ascii="Times New Roman" w:hAnsi="Times New Roman" w:cs="Times New Roman"/>
          <w:lang w:val="es-MX"/>
        </w:rPr>
        <w:t xml:space="preserve"> millones.  Esta situación condujo a la autoridad fiscal a organizar y realizar una serie de acciones tendentes a reorientar un presupuesto que no era funcional para los objetivos que se habían planteado para dicho año, debido a que la programación no estaba acorde con las necesidades institucionales y con el financiamiento necesario para su ejecución.</w:t>
      </w:r>
    </w:p>
    <w:p w:rsidR="00660FB3" w:rsidRPr="00A34475" w:rsidRDefault="00660FB3" w:rsidP="00660FB3">
      <w:pPr>
        <w:jc w:val="both"/>
        <w:rPr>
          <w:rFonts w:ascii="Times New Roman" w:hAnsi="Times New Roman" w:cs="Times New Roman"/>
          <w:lang w:val="es-MX"/>
        </w:rPr>
      </w:pPr>
      <w:r w:rsidRPr="00A34475">
        <w:rPr>
          <w:rFonts w:ascii="Times New Roman" w:hAnsi="Times New Roman" w:cs="Times New Roman"/>
          <w:lang w:val="es-MX"/>
        </w:rPr>
        <w:t xml:space="preserve"> </w:t>
      </w:r>
    </w:p>
    <w:p w:rsidR="00660FB3" w:rsidRPr="00A34475" w:rsidRDefault="00660FB3" w:rsidP="00660FB3">
      <w:pPr>
        <w:jc w:val="both"/>
        <w:rPr>
          <w:rFonts w:ascii="Times New Roman" w:hAnsi="Times New Roman" w:cs="Times New Roman"/>
          <w:lang w:val="es-MX"/>
        </w:rPr>
      </w:pPr>
      <w:r w:rsidRPr="00A34475">
        <w:rPr>
          <w:rFonts w:ascii="Times New Roman" w:hAnsi="Times New Roman" w:cs="Times New Roman"/>
          <w:lang w:val="es-MX"/>
        </w:rPr>
        <w:t>Derivado de lo anterior, en enero de 201</w:t>
      </w:r>
      <w:r>
        <w:rPr>
          <w:rFonts w:ascii="Times New Roman" w:hAnsi="Times New Roman" w:cs="Times New Roman"/>
          <w:lang w:val="es-MX"/>
        </w:rPr>
        <w:t>8</w:t>
      </w:r>
      <w:r w:rsidRPr="00A34475">
        <w:rPr>
          <w:rFonts w:ascii="Times New Roman" w:hAnsi="Times New Roman" w:cs="Times New Roman"/>
          <w:lang w:val="es-MX"/>
        </w:rPr>
        <w:t xml:space="preserve">, el Ministerio de Finanzas Públicas y las diferentes entidades de gobierno realizaron </w:t>
      </w:r>
      <w:r>
        <w:rPr>
          <w:rFonts w:ascii="Times New Roman" w:hAnsi="Times New Roman" w:cs="Times New Roman"/>
          <w:lang w:val="es-MX"/>
        </w:rPr>
        <w:t xml:space="preserve">las acciones tendentes </w:t>
      </w:r>
      <w:r w:rsidRPr="00A34475">
        <w:rPr>
          <w:rFonts w:ascii="Times New Roman" w:hAnsi="Times New Roman" w:cs="Times New Roman"/>
          <w:lang w:val="es-MX"/>
        </w:rPr>
        <w:t xml:space="preserve">para </w:t>
      </w:r>
      <w:r>
        <w:rPr>
          <w:rFonts w:ascii="Times New Roman" w:hAnsi="Times New Roman" w:cs="Times New Roman"/>
          <w:lang w:val="es-MX"/>
        </w:rPr>
        <w:t>re</w:t>
      </w:r>
      <w:r w:rsidRPr="00A34475">
        <w:rPr>
          <w:rFonts w:ascii="Times New Roman" w:hAnsi="Times New Roman" w:cs="Times New Roman"/>
          <w:lang w:val="es-MX"/>
        </w:rPr>
        <w:t xml:space="preserve">adecuar el presupuesto a las nuevas necesidades, se identificaron modificaciones presupuestarias, como lo establece la Ley Orgánica del Presupuesto, para viabilizar la ejecución conforme lo establecido en los planes operativos y de acuerdo a la disponibilidad real de recursos.  </w:t>
      </w:r>
    </w:p>
    <w:p w:rsidR="00660FB3" w:rsidRPr="00A34475" w:rsidRDefault="00660FB3" w:rsidP="00660FB3">
      <w:pPr>
        <w:jc w:val="both"/>
        <w:rPr>
          <w:rFonts w:ascii="Times New Roman" w:hAnsi="Times New Roman" w:cs="Times New Roman"/>
          <w:lang w:val="es-MX"/>
        </w:rPr>
      </w:pPr>
    </w:p>
    <w:p w:rsidR="00660FB3" w:rsidRDefault="00660FB3" w:rsidP="00660FB3">
      <w:pPr>
        <w:jc w:val="both"/>
        <w:rPr>
          <w:rFonts w:ascii="Times New Roman" w:hAnsi="Times New Roman" w:cs="Times New Roman"/>
          <w:lang w:val="es-MX"/>
        </w:rPr>
      </w:pPr>
      <w:r w:rsidRPr="00A34475">
        <w:rPr>
          <w:rFonts w:ascii="Times New Roman" w:hAnsi="Times New Roman" w:cs="Times New Roman"/>
          <w:lang w:val="es-MX"/>
        </w:rPr>
        <w:t>Una de las principales dificultades que conllevó el hecho de que</w:t>
      </w:r>
      <w:r>
        <w:rPr>
          <w:rFonts w:ascii="Times New Roman" w:hAnsi="Times New Roman" w:cs="Times New Roman"/>
          <w:lang w:val="es-MX"/>
        </w:rPr>
        <w:t xml:space="preserve"> el presupuesto de 2018</w:t>
      </w:r>
      <w:r w:rsidRPr="00A34475">
        <w:rPr>
          <w:rFonts w:ascii="Times New Roman" w:hAnsi="Times New Roman" w:cs="Times New Roman"/>
          <w:lang w:val="es-MX"/>
        </w:rPr>
        <w:t xml:space="preserve"> no se aprobara, es el desfinanciamiento de algunos rubros de gasto, debido a que las necesidades de recursos eran diferentes y algunos recursos contemplados en el presu</w:t>
      </w:r>
      <w:r>
        <w:rPr>
          <w:rFonts w:ascii="Times New Roman" w:hAnsi="Times New Roman" w:cs="Times New Roman"/>
          <w:lang w:val="es-MX"/>
        </w:rPr>
        <w:t>puesto</w:t>
      </w:r>
      <w:r w:rsidRPr="00A34475">
        <w:rPr>
          <w:rFonts w:ascii="Times New Roman" w:hAnsi="Times New Roman" w:cs="Times New Roman"/>
          <w:lang w:val="es-MX"/>
        </w:rPr>
        <w:t xml:space="preserve"> en vigencia para ese año se recibieron en 201</w:t>
      </w:r>
      <w:r>
        <w:rPr>
          <w:rFonts w:ascii="Times New Roman" w:hAnsi="Times New Roman" w:cs="Times New Roman"/>
          <w:lang w:val="es-MX"/>
        </w:rPr>
        <w:t>7</w:t>
      </w:r>
      <w:r w:rsidRPr="00A34475">
        <w:rPr>
          <w:rFonts w:ascii="Times New Roman" w:hAnsi="Times New Roman" w:cs="Times New Roman"/>
          <w:lang w:val="es-MX"/>
        </w:rPr>
        <w:t xml:space="preserve"> como es el </w:t>
      </w:r>
      <w:r>
        <w:rPr>
          <w:rFonts w:ascii="Times New Roman" w:hAnsi="Times New Roman" w:cs="Times New Roman"/>
          <w:lang w:val="es-MX"/>
        </w:rPr>
        <w:t>caso de los préstamos externos.</w:t>
      </w:r>
    </w:p>
    <w:p w:rsidR="00660FB3" w:rsidRPr="00A34475" w:rsidRDefault="00660FB3" w:rsidP="00660FB3">
      <w:pPr>
        <w:jc w:val="both"/>
        <w:rPr>
          <w:rFonts w:ascii="Times New Roman" w:hAnsi="Times New Roman" w:cs="Times New Roman"/>
          <w:lang w:val="es-MX"/>
        </w:rPr>
      </w:pPr>
    </w:p>
    <w:p w:rsidR="00660FB3" w:rsidRDefault="00660FB3" w:rsidP="00660FB3">
      <w:pPr>
        <w:jc w:val="both"/>
        <w:rPr>
          <w:rFonts w:ascii="Times New Roman" w:hAnsi="Times New Roman" w:cs="Times New Roman"/>
          <w:lang w:val="es-MX"/>
        </w:rPr>
      </w:pPr>
      <w:r w:rsidRPr="00A34475">
        <w:rPr>
          <w:rFonts w:ascii="Times New Roman" w:hAnsi="Times New Roman" w:cs="Times New Roman"/>
          <w:lang w:val="es-MX"/>
        </w:rPr>
        <w:t xml:space="preserve">Este cambio implicó para el gobierno una modificación en la estrategia y gestión </w:t>
      </w:r>
      <w:r>
        <w:rPr>
          <w:rFonts w:ascii="Times New Roman" w:hAnsi="Times New Roman" w:cs="Times New Roman"/>
          <w:lang w:val="es-MX"/>
        </w:rPr>
        <w:t xml:space="preserve">de la caja para el </w:t>
      </w:r>
      <w:r w:rsidRPr="00A34475">
        <w:rPr>
          <w:rFonts w:ascii="Times New Roman" w:hAnsi="Times New Roman" w:cs="Times New Roman"/>
          <w:lang w:val="es-MX"/>
        </w:rPr>
        <w:t>financiamiento oportuno del gasto.  En ese sentido, desde inicios de 201</w:t>
      </w:r>
      <w:r>
        <w:rPr>
          <w:rFonts w:ascii="Times New Roman" w:hAnsi="Times New Roman" w:cs="Times New Roman"/>
          <w:lang w:val="es-MX"/>
        </w:rPr>
        <w:t>8</w:t>
      </w:r>
      <w:r w:rsidRPr="00A34475">
        <w:rPr>
          <w:rFonts w:ascii="Times New Roman" w:hAnsi="Times New Roman" w:cs="Times New Roman"/>
          <w:lang w:val="es-MX"/>
        </w:rPr>
        <w:t>, la autoridad fiscal realizó las gestiones necesarias para obtener recursos mediante préstamos de apoyo presu</w:t>
      </w:r>
      <w:r>
        <w:rPr>
          <w:rFonts w:ascii="Times New Roman" w:hAnsi="Times New Roman" w:cs="Times New Roman"/>
          <w:lang w:val="es-MX"/>
        </w:rPr>
        <w:t>puestario con el Banco Mundial para apoyar en el financiamiento del presupuesto y propiciar también una sustitución de fuente de financiamiento para reducir la presión en la colocación de Bonos de Tesoro.</w:t>
      </w:r>
      <w:r w:rsidRPr="00A34475">
        <w:rPr>
          <w:rFonts w:ascii="Times New Roman" w:hAnsi="Times New Roman" w:cs="Times New Roman"/>
          <w:lang w:val="es-MX"/>
        </w:rPr>
        <w:t xml:space="preserve"> </w:t>
      </w:r>
    </w:p>
    <w:p w:rsidR="00660FB3" w:rsidRDefault="00660FB3" w:rsidP="00660FB3">
      <w:pPr>
        <w:jc w:val="both"/>
        <w:rPr>
          <w:rFonts w:ascii="Times New Roman" w:hAnsi="Times New Roman" w:cs="Times New Roman"/>
          <w:lang w:val="es-MX"/>
        </w:rPr>
      </w:pPr>
    </w:p>
    <w:p w:rsidR="00660FB3" w:rsidRDefault="00660FB3" w:rsidP="00660FB3">
      <w:pPr>
        <w:jc w:val="both"/>
        <w:rPr>
          <w:rFonts w:ascii="Times New Roman" w:hAnsi="Times New Roman" w:cs="Times New Roman"/>
          <w:lang w:val="es-MX"/>
        </w:rPr>
      </w:pPr>
      <w:r>
        <w:rPr>
          <w:rFonts w:ascii="Times New Roman" w:hAnsi="Times New Roman" w:cs="Times New Roman"/>
          <w:lang w:val="es-MX"/>
        </w:rPr>
        <w:t>Además, como se ha indicado anteriormente, el entorno económico si bien mejoró con respecto a lo experimentado en 2017, el desempeño de la recaudación tributaria fue moderado quedando por arriba de la meta, que era de 2017 (Q57,994.8 millones), pero la variación interanual fue de apenas 3.8%. lo cual incidió en la disponibilidad de recursos para atender de mejor manera con las necesidades de gasto público.</w:t>
      </w:r>
    </w:p>
    <w:p w:rsidR="00660FB3" w:rsidRDefault="00660FB3" w:rsidP="00660FB3">
      <w:pPr>
        <w:jc w:val="both"/>
        <w:rPr>
          <w:rFonts w:ascii="Times New Roman" w:hAnsi="Times New Roman" w:cs="Times New Roman"/>
          <w:lang w:val="es-MX"/>
        </w:rPr>
      </w:pPr>
    </w:p>
    <w:p w:rsidR="007F6D2F" w:rsidRDefault="00660FB3" w:rsidP="007F6D2F">
      <w:pPr>
        <w:jc w:val="both"/>
        <w:rPr>
          <w:rFonts w:ascii="Times New Roman" w:hAnsi="Times New Roman" w:cs="Times New Roman"/>
          <w:lang w:val="es-MX"/>
        </w:rPr>
      </w:pPr>
      <w:r>
        <w:rPr>
          <w:rFonts w:ascii="Times New Roman" w:hAnsi="Times New Roman" w:cs="Times New Roman"/>
          <w:lang w:val="es-MX"/>
        </w:rPr>
        <w:t xml:space="preserve">Adicionalmente, las rigideces que contenía el presupuesto en vigencia siguieron minando la ejecución en algunas entidades.   </w:t>
      </w:r>
      <w:r w:rsidRPr="0017647D">
        <w:rPr>
          <w:rFonts w:ascii="Times New Roman" w:hAnsi="Times New Roman" w:cs="Times New Roman"/>
          <w:lang w:val="es-MX"/>
        </w:rPr>
        <w:t xml:space="preserve">De esa cuenta, </w:t>
      </w:r>
      <w:r>
        <w:rPr>
          <w:rFonts w:ascii="Times New Roman" w:hAnsi="Times New Roman" w:cs="Times New Roman"/>
          <w:lang w:val="es-MX"/>
        </w:rPr>
        <w:t xml:space="preserve">en el primer semestre del año la ejecución presupuestaria </w:t>
      </w:r>
      <w:r w:rsidRPr="0017647D">
        <w:rPr>
          <w:rFonts w:ascii="Times New Roman" w:hAnsi="Times New Roman" w:cs="Times New Roman"/>
          <w:lang w:val="es-MX"/>
        </w:rPr>
        <w:t>de gasto público</w:t>
      </w:r>
      <w:r>
        <w:rPr>
          <w:rFonts w:ascii="Times New Roman" w:hAnsi="Times New Roman" w:cs="Times New Roman"/>
          <w:lang w:val="es-MX"/>
        </w:rPr>
        <w:t xml:space="preserve"> tuvo</w:t>
      </w:r>
      <w:r w:rsidRPr="0017647D">
        <w:rPr>
          <w:rFonts w:ascii="Times New Roman" w:hAnsi="Times New Roman" w:cs="Times New Roman"/>
          <w:lang w:val="es-MX"/>
        </w:rPr>
        <w:t xml:space="preserve"> </w:t>
      </w:r>
      <w:r>
        <w:rPr>
          <w:rFonts w:ascii="Times New Roman" w:hAnsi="Times New Roman" w:cs="Times New Roman"/>
          <w:lang w:val="es-MX"/>
        </w:rPr>
        <w:t xml:space="preserve">un comportamiento bastante moderado, sin embargo, en el segundo semestre del año mostró un repunte asociada al mejor desempeño de varias entidades y a la regularización de anticipos en proyectos de inversión, por lo que, </w:t>
      </w:r>
      <w:r w:rsidRPr="0017647D">
        <w:rPr>
          <w:rFonts w:ascii="Times New Roman" w:hAnsi="Times New Roman" w:cs="Times New Roman"/>
          <w:lang w:val="es-MX"/>
        </w:rPr>
        <w:t>al cierre preliminar de 201</w:t>
      </w:r>
      <w:r>
        <w:rPr>
          <w:rFonts w:ascii="Times New Roman" w:hAnsi="Times New Roman" w:cs="Times New Roman"/>
          <w:lang w:val="es-MX"/>
        </w:rPr>
        <w:t>8, la ejecución de gasto público se</w:t>
      </w:r>
      <w:r w:rsidRPr="0017647D">
        <w:rPr>
          <w:rFonts w:ascii="Times New Roman" w:hAnsi="Times New Roman" w:cs="Times New Roman"/>
          <w:lang w:val="es-MX"/>
        </w:rPr>
        <w:t xml:space="preserve"> </w:t>
      </w:r>
      <w:r>
        <w:rPr>
          <w:rFonts w:ascii="Times New Roman" w:hAnsi="Times New Roman" w:cs="Times New Roman"/>
          <w:lang w:val="es-MX"/>
        </w:rPr>
        <w:t>ubicó en Q72,693.8</w:t>
      </w:r>
      <w:r w:rsidRPr="0017647D">
        <w:rPr>
          <w:rFonts w:ascii="Times New Roman" w:hAnsi="Times New Roman" w:cs="Times New Roman"/>
          <w:lang w:val="es-MX"/>
        </w:rPr>
        <w:t xml:space="preserve"> millones</w:t>
      </w:r>
      <w:r>
        <w:rPr>
          <w:rFonts w:ascii="Times New Roman" w:hAnsi="Times New Roman" w:cs="Times New Roman"/>
          <w:lang w:val="es-MX"/>
        </w:rPr>
        <w:t>,</w:t>
      </w:r>
      <w:r w:rsidRPr="0017647D">
        <w:rPr>
          <w:rFonts w:ascii="Times New Roman" w:hAnsi="Times New Roman" w:cs="Times New Roman"/>
          <w:lang w:val="es-MX"/>
        </w:rPr>
        <w:t xml:space="preserve"> </w:t>
      </w:r>
      <w:r>
        <w:rPr>
          <w:rFonts w:ascii="Times New Roman" w:hAnsi="Times New Roman" w:cs="Times New Roman"/>
          <w:lang w:val="es-MX"/>
        </w:rPr>
        <w:t>s</w:t>
      </w:r>
      <w:r w:rsidRPr="0017647D">
        <w:rPr>
          <w:rFonts w:ascii="Times New Roman" w:hAnsi="Times New Roman" w:cs="Times New Roman"/>
          <w:lang w:val="es-MX"/>
        </w:rPr>
        <w:t xml:space="preserve">in incluir las amortizaciones de deuda pública, </w:t>
      </w:r>
      <w:r>
        <w:rPr>
          <w:rFonts w:ascii="Times New Roman" w:hAnsi="Times New Roman" w:cs="Times New Roman"/>
          <w:lang w:val="es-MX"/>
        </w:rPr>
        <w:t>mostrando una tasa de crecimiento interanual de 5.7%, con aumento nominal de Q9,728.9 millones.  Asimismo, la ejecución de 2018 es equivalente al 12.3</w:t>
      </w:r>
      <w:r w:rsidRPr="0017647D">
        <w:rPr>
          <w:rFonts w:ascii="Times New Roman" w:hAnsi="Times New Roman" w:cs="Times New Roman"/>
          <w:lang w:val="es-MX"/>
        </w:rPr>
        <w:t xml:space="preserve">% del PIB, </w:t>
      </w:r>
      <w:r>
        <w:rPr>
          <w:rFonts w:ascii="Times New Roman" w:hAnsi="Times New Roman" w:cs="Times New Roman"/>
          <w:lang w:val="es-MX"/>
        </w:rPr>
        <w:t>igual al nivel observado en 2015.</w:t>
      </w:r>
      <w:r w:rsidR="007F6D2F">
        <w:rPr>
          <w:rFonts w:ascii="Times New Roman" w:hAnsi="Times New Roman" w:cs="Times New Roman"/>
          <w:lang w:val="es-MX"/>
        </w:rPr>
        <w:t xml:space="preserve">  </w:t>
      </w:r>
    </w:p>
    <w:p w:rsidR="007F6D2F" w:rsidRDefault="007F6D2F" w:rsidP="007F6D2F">
      <w:pPr>
        <w:jc w:val="both"/>
        <w:rPr>
          <w:rFonts w:ascii="Times New Roman" w:hAnsi="Times New Roman" w:cs="Times New Roman"/>
          <w:lang w:val="es-MX"/>
        </w:rPr>
      </w:pPr>
    </w:p>
    <w:p w:rsidR="007F6D2F" w:rsidRDefault="007F6D2F" w:rsidP="007F6D2F">
      <w:pPr>
        <w:jc w:val="both"/>
        <w:rPr>
          <w:rFonts w:ascii="Times New Roman" w:hAnsi="Times New Roman" w:cs="Times New Roman"/>
          <w:lang w:val="es-MX"/>
        </w:rPr>
      </w:pPr>
      <w:r>
        <w:rPr>
          <w:rFonts w:ascii="Times New Roman" w:hAnsi="Times New Roman" w:cs="Times New Roman"/>
          <w:lang w:val="es-MX"/>
        </w:rPr>
        <w:t xml:space="preserve">El incremento en el gasto público se da principalmente por la expansión en el gasto de capital, el cual creció 18.3%, mientras que el gasto corriente, por su parte, creció con menor dinamismo ubicándose en 5.8%, similar a lo observado en 2017. </w:t>
      </w:r>
    </w:p>
    <w:p w:rsidR="007F6D2F" w:rsidRDefault="007F6D2F" w:rsidP="007F6D2F">
      <w:pPr>
        <w:jc w:val="both"/>
        <w:rPr>
          <w:rFonts w:ascii="Times New Roman" w:hAnsi="Times New Roman" w:cs="Times New Roman"/>
          <w:lang w:val="es-MX"/>
        </w:rPr>
      </w:pPr>
    </w:p>
    <w:p w:rsidR="007F6D2F" w:rsidRDefault="007F6D2F" w:rsidP="007F6D2F">
      <w:pPr>
        <w:jc w:val="both"/>
        <w:rPr>
          <w:rFonts w:ascii="Times New Roman" w:hAnsi="Times New Roman" w:cs="Times New Roman"/>
          <w:lang w:val="es-MX"/>
        </w:rPr>
      </w:pPr>
      <w:r>
        <w:rPr>
          <w:rFonts w:ascii="Times New Roman" w:hAnsi="Times New Roman" w:cs="Times New Roman"/>
          <w:lang w:val="es-MX"/>
        </w:rPr>
        <w:t xml:space="preserve">Es importante hacer notar que un componente importante del aumento del gasto público permitió coadyuvar al crecimiento económico no solo por el incremento per se, sino porque el principal impulso estuvo en la inversión real directa y en bienes y servicios, estos últimos asociados en buena medida al mantenimiento de la infraestructura vial, y en la compra de insumos importantes para el desarrollo de instituciones como el Ministerio de Salud Pública, Ministerio de Gobernación, Educación entre otros.  El aumento en la inversión tiene un efecto multiplicador en la actividad económica ya que permite el desarrollo de otras actividades productivas como el comercio, el desarrollo rural, la agricultura, la industria, entre otros, facilitando el acceso a mercados mediante el mejor desplazamiento de los bienes e insumos producidos, esto no solo tuvo incidencia en 2018 sino también se reflejará en un mejor desempeño económico en 2019, principalmente por que la mayor parte de esta inversión se  ejecutó en el segundo semestre de 2018. </w:t>
      </w:r>
    </w:p>
    <w:p w:rsidR="007F6D2F" w:rsidRDefault="007F6D2F" w:rsidP="007F6D2F">
      <w:pPr>
        <w:jc w:val="both"/>
        <w:rPr>
          <w:rFonts w:ascii="Times New Roman" w:hAnsi="Times New Roman" w:cs="Times New Roman"/>
          <w:lang w:val="es-MX"/>
        </w:rPr>
      </w:pPr>
    </w:p>
    <w:p w:rsidR="00364844" w:rsidRDefault="007F6D2F" w:rsidP="007F6D2F">
      <w:pPr>
        <w:jc w:val="both"/>
        <w:rPr>
          <w:rFonts w:ascii="Times New Roman" w:hAnsi="Times New Roman" w:cs="Times New Roman"/>
          <w:lang w:val="es-MX"/>
        </w:rPr>
      </w:pPr>
      <w:r>
        <w:rPr>
          <w:rFonts w:ascii="Times New Roman" w:hAnsi="Times New Roman" w:cs="Times New Roman"/>
          <w:lang w:val="es-MX"/>
        </w:rPr>
        <w:t>De esa cuenta, la inversión real directa mostró un incremento de 85.7% equivalente a un aumento de Q1,793.6 millones, por encima de lo que se pudo ejecutar el año anterior.  Esto se debió principalmente a un repunte en la ejecución de proyectos del Ministerio de Comunicaciones, Infraestructura y Vivienda.  Asimismo, en términos del techo presupuestario se ejecutó el 87.6%, mientras que en 2017 apenas se ejecutó un 51.9% del monto total asignado en este rubro.  A pesar que en este año se incrementó el presupuesto de la inversión real directa en Q1,062.2 millones, que representó un incremento de 32% del presupuesto inicial de 2018.</w:t>
      </w:r>
    </w:p>
    <w:p w:rsidR="007F6D2F" w:rsidRDefault="007F6D2F" w:rsidP="007F6D2F">
      <w:pPr>
        <w:jc w:val="both"/>
        <w:rPr>
          <w:rFonts w:ascii="Times New Roman" w:hAnsi="Times New Roman" w:cs="Times New Roman"/>
          <w:lang w:val="es-MX"/>
        </w:rPr>
      </w:pPr>
    </w:p>
    <w:p w:rsidR="005C5656" w:rsidRDefault="005C5656" w:rsidP="007F6D2F">
      <w:pPr>
        <w:jc w:val="both"/>
        <w:rPr>
          <w:rFonts w:ascii="Times New Roman" w:hAnsi="Times New Roman" w:cs="Times New Roman"/>
          <w:lang w:val="es-MX"/>
        </w:rPr>
      </w:pPr>
    </w:p>
    <w:p w:rsidR="005C5656" w:rsidRDefault="005C5656" w:rsidP="007F6D2F">
      <w:pPr>
        <w:jc w:val="both"/>
        <w:rPr>
          <w:rFonts w:ascii="Times New Roman" w:hAnsi="Times New Roman" w:cs="Times New Roman"/>
          <w:lang w:val="es-MX"/>
        </w:rPr>
      </w:pPr>
    </w:p>
    <w:p w:rsidR="005C5656" w:rsidRDefault="005C5656" w:rsidP="007F6D2F">
      <w:pPr>
        <w:jc w:val="both"/>
        <w:rPr>
          <w:rFonts w:ascii="Times New Roman" w:hAnsi="Times New Roman" w:cs="Times New Roman"/>
          <w:lang w:val="es-MX"/>
        </w:rPr>
      </w:pPr>
    </w:p>
    <w:p w:rsidR="005C5656" w:rsidRDefault="005C5656" w:rsidP="007F6D2F">
      <w:pPr>
        <w:jc w:val="both"/>
        <w:rPr>
          <w:rFonts w:ascii="Times New Roman" w:hAnsi="Times New Roman" w:cs="Times New Roman"/>
          <w:lang w:val="es-MX"/>
        </w:rPr>
      </w:pPr>
    </w:p>
    <w:p w:rsidR="005C5656" w:rsidRDefault="005C5656" w:rsidP="007F6D2F">
      <w:pPr>
        <w:jc w:val="both"/>
        <w:rPr>
          <w:rFonts w:ascii="Times New Roman" w:hAnsi="Times New Roman" w:cs="Times New Roman"/>
          <w:lang w:val="es-MX"/>
        </w:rPr>
      </w:pPr>
    </w:p>
    <w:p w:rsidR="005C5656" w:rsidRDefault="005C5656" w:rsidP="007F6D2F">
      <w:pPr>
        <w:jc w:val="both"/>
        <w:rPr>
          <w:rFonts w:ascii="Times New Roman" w:hAnsi="Times New Roman" w:cs="Times New Roman"/>
          <w:lang w:val="es-MX"/>
        </w:rPr>
      </w:pPr>
    </w:p>
    <w:p w:rsidR="007F6D2F" w:rsidRDefault="007F6D2F" w:rsidP="007F6D2F">
      <w:pPr>
        <w:jc w:val="both"/>
        <w:rPr>
          <w:rFonts w:ascii="Times New Roman" w:hAnsi="Times New Roman" w:cs="Times New Roman"/>
          <w:lang w:val="es-MX"/>
        </w:rPr>
      </w:pPr>
      <w:r>
        <w:rPr>
          <w:rFonts w:ascii="Times New Roman" w:hAnsi="Times New Roman" w:cs="Times New Roman"/>
          <w:lang w:val="es-MX"/>
        </w:rPr>
        <w:lastRenderedPageBreak/>
        <w:t>Dentro de las principales obras ejecutadas en 2018 destacan las siguientes:</w:t>
      </w:r>
    </w:p>
    <w:p w:rsidR="005C5656" w:rsidRDefault="005C5656" w:rsidP="005C5656">
      <w:pPr>
        <w:tabs>
          <w:tab w:val="left" w:pos="3915"/>
        </w:tabs>
        <w:jc w:val="both"/>
        <w:rPr>
          <w:rFonts w:ascii="Times New Roman" w:hAnsi="Times New Roman" w:cs="Times New Roman"/>
          <w:lang w:val="es-MX"/>
        </w:rPr>
      </w:pPr>
      <w:r>
        <w:rPr>
          <w:rFonts w:ascii="Times New Roman" w:hAnsi="Times New Roman" w:cs="Times New Roman"/>
          <w:lang w:val="es-MX"/>
        </w:rPr>
        <w:tab/>
      </w:r>
    </w:p>
    <w:p w:rsidR="007F6D2F" w:rsidRDefault="007F6D2F" w:rsidP="007F6D2F">
      <w:pPr>
        <w:jc w:val="center"/>
        <w:rPr>
          <w:rFonts w:ascii="Times New Roman" w:hAnsi="Times New Roman" w:cs="Times New Roman"/>
          <w:lang w:val="es-MX"/>
        </w:rPr>
      </w:pPr>
      <w:r>
        <w:rPr>
          <w:rFonts w:ascii="Times New Roman" w:hAnsi="Times New Roman" w:cs="Times New Roman"/>
          <w:lang w:val="es-MX"/>
        </w:rPr>
        <w:t>-Millones de quetzales-</w:t>
      </w:r>
    </w:p>
    <w:p w:rsidR="007F6D2F" w:rsidRDefault="007F6D2F" w:rsidP="007F6D2F">
      <w:pPr>
        <w:jc w:val="center"/>
        <w:rPr>
          <w:rFonts w:ascii="Times New Roman" w:hAnsi="Times New Roman" w:cs="Times New Roman"/>
          <w:lang w:val="es-MX"/>
        </w:rPr>
      </w:pPr>
      <w:r w:rsidRPr="005D2D09">
        <w:rPr>
          <w:noProof/>
          <w:lang w:val="es-GT" w:eastAsia="es-GT"/>
        </w:rPr>
        <w:drawing>
          <wp:inline distT="0" distB="0" distL="0" distR="0" wp14:anchorId="75F1C798" wp14:editId="578312A5">
            <wp:extent cx="5670583" cy="313372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0533" cy="3150276"/>
                    </a:xfrm>
                    <a:prstGeom prst="rect">
                      <a:avLst/>
                    </a:prstGeom>
                    <a:noFill/>
                    <a:ln>
                      <a:noFill/>
                    </a:ln>
                  </pic:spPr>
                </pic:pic>
              </a:graphicData>
            </a:graphic>
          </wp:inline>
        </w:drawing>
      </w:r>
    </w:p>
    <w:p w:rsidR="007F6D2F" w:rsidRPr="00917901" w:rsidRDefault="007F6D2F" w:rsidP="007F6D2F">
      <w:pPr>
        <w:rPr>
          <w:rFonts w:ascii="Times New Roman" w:hAnsi="Times New Roman" w:cs="Times New Roman"/>
          <w:sz w:val="16"/>
          <w:lang w:val="es-MX"/>
        </w:rPr>
      </w:pPr>
      <w:r w:rsidRPr="00917901">
        <w:rPr>
          <w:rFonts w:ascii="Times New Roman" w:hAnsi="Times New Roman" w:cs="Times New Roman"/>
          <w:sz w:val="16"/>
          <w:lang w:val="es-MX"/>
        </w:rPr>
        <w:t xml:space="preserve">         </w:t>
      </w:r>
      <w:r w:rsidR="00917901">
        <w:rPr>
          <w:rFonts w:ascii="Times New Roman" w:hAnsi="Times New Roman" w:cs="Times New Roman"/>
          <w:sz w:val="16"/>
          <w:lang w:val="es-MX"/>
        </w:rPr>
        <w:tab/>
      </w:r>
      <w:r w:rsidRPr="00917901">
        <w:rPr>
          <w:rFonts w:ascii="Times New Roman" w:hAnsi="Times New Roman" w:cs="Times New Roman"/>
          <w:sz w:val="16"/>
          <w:lang w:val="es-MX"/>
        </w:rPr>
        <w:t>Fuente: SICOIN</w:t>
      </w:r>
    </w:p>
    <w:p w:rsidR="007F6D2F" w:rsidRDefault="007F6D2F" w:rsidP="007F6D2F">
      <w:pPr>
        <w:jc w:val="both"/>
        <w:rPr>
          <w:rFonts w:ascii="Times New Roman" w:hAnsi="Times New Roman" w:cs="Times New Roman"/>
          <w:color w:val="FF0000"/>
          <w:lang w:val="es-MX"/>
        </w:rPr>
      </w:pPr>
    </w:p>
    <w:p w:rsidR="007F6D2F" w:rsidRDefault="007F6D2F" w:rsidP="007F6D2F">
      <w:pPr>
        <w:jc w:val="both"/>
        <w:rPr>
          <w:rFonts w:ascii="Times New Roman" w:hAnsi="Times New Roman" w:cs="Times New Roman"/>
          <w:lang w:val="es-MX"/>
        </w:rPr>
      </w:pPr>
      <w:r>
        <w:rPr>
          <w:rFonts w:ascii="Times New Roman" w:hAnsi="Times New Roman" w:cs="Times New Roman"/>
          <w:lang w:val="es-MX"/>
        </w:rPr>
        <w:t>Asimismo, en el gasto de capital se observa un incremento en las transferencias 4.5% asociado a un mayor aporte a los Consejos Departamentales de Desarrollo, al aporte extraordinario a la USAC para la ampliación de la infraestructura de esta entidad, así como el aumento al aporte al FIDEMUNI para apoyar en la mejora del sistema de transporte en la Ciudad de Guatemala.  Además, se observa un aumento en las transferencias a entidades del sector privado.</w:t>
      </w:r>
    </w:p>
    <w:p w:rsidR="007F6D2F" w:rsidRDefault="007F6D2F" w:rsidP="007F6D2F">
      <w:pPr>
        <w:jc w:val="both"/>
        <w:rPr>
          <w:rFonts w:ascii="Times New Roman" w:hAnsi="Times New Roman" w:cs="Times New Roman"/>
          <w:lang w:val="es-MX"/>
        </w:rPr>
      </w:pPr>
    </w:p>
    <w:p w:rsidR="007F6D2F" w:rsidRDefault="007F6D2F" w:rsidP="007F6D2F">
      <w:pPr>
        <w:jc w:val="both"/>
        <w:rPr>
          <w:rFonts w:ascii="Times New Roman" w:hAnsi="Times New Roman" w:cs="Times New Roman"/>
          <w:lang w:val="es-MX"/>
        </w:rPr>
      </w:pPr>
      <w:r>
        <w:rPr>
          <w:rFonts w:ascii="Times New Roman" w:hAnsi="Times New Roman" w:cs="Times New Roman"/>
          <w:lang w:val="es-MX"/>
        </w:rPr>
        <w:t xml:space="preserve">Por otro lado, el gasto corriente que mostró un comportamiento relativamente moderado, tuvo como principal acelerador de la ejecución el rubro de bienes y servicios, el cual muestra un incremento de 17.7%, contrario a la contracción que había mostrado en los últimos 3 años, como resultado de los problemas de liquidez del gobierno principalmente en 2015 y a las dificultades por parte de algunas entidades en los procesos de licitación y adjudicación de contratos de compra en los años 2016-2017, sin embargo en 2018 se mostró un repunte importante principalmente en el Ministerio de Comunicaciones por la ejecución en el mantenimiento de la red vial realizados por COVIAL.  Igualmente, el Ministerio de Salud Pública aumentó significativamente la ejecución en este rubro asociado al mantenimiento de los centros de salud, al pago de servicios médicos y en medicamentos en menor medida.  </w:t>
      </w:r>
    </w:p>
    <w:p w:rsidR="007F6D2F" w:rsidRDefault="007F6D2F" w:rsidP="007F6D2F">
      <w:pPr>
        <w:jc w:val="both"/>
        <w:rPr>
          <w:rFonts w:ascii="Times New Roman" w:hAnsi="Times New Roman" w:cs="Times New Roman"/>
          <w:lang w:val="es-MX"/>
        </w:rPr>
      </w:pPr>
    </w:p>
    <w:p w:rsidR="007F6D2F" w:rsidRDefault="007F6D2F" w:rsidP="007F6D2F">
      <w:pPr>
        <w:jc w:val="both"/>
        <w:rPr>
          <w:rFonts w:ascii="Times New Roman" w:hAnsi="Times New Roman" w:cs="Times New Roman"/>
          <w:lang w:val="es-MX"/>
        </w:rPr>
      </w:pPr>
      <w:r>
        <w:rPr>
          <w:rFonts w:ascii="Times New Roman" w:hAnsi="Times New Roman" w:cs="Times New Roman"/>
          <w:lang w:val="es-MX"/>
        </w:rPr>
        <w:t xml:space="preserve">Por su parte, también el Ministerio de Educación muestra un aumento en la ejecución en la adquisición de bienes y servicios que dio para el mantenimiento de algunos centros educativos, cursos de capacitación docente, compra de materiales educativas y deportivos.  En el Ministerio de Gobernación resalta el gasto en alimentos tanto en el régimen penitenciario como en la PNC, equipamiento para la PNC y arrendamientos.  </w:t>
      </w:r>
    </w:p>
    <w:p w:rsidR="007F6D2F" w:rsidRDefault="007F6D2F" w:rsidP="007F6D2F">
      <w:pPr>
        <w:jc w:val="both"/>
        <w:rPr>
          <w:rFonts w:ascii="Times New Roman" w:hAnsi="Times New Roman" w:cs="Times New Roman"/>
          <w:lang w:val="es-MX"/>
        </w:rPr>
      </w:pPr>
    </w:p>
    <w:p w:rsidR="007F6D2F" w:rsidRDefault="007F6D2F" w:rsidP="007F6D2F">
      <w:pPr>
        <w:jc w:val="both"/>
        <w:rPr>
          <w:rFonts w:ascii="Times New Roman" w:hAnsi="Times New Roman" w:cs="Times New Roman"/>
          <w:lang w:val="es-MX"/>
        </w:rPr>
      </w:pPr>
      <w:r>
        <w:rPr>
          <w:rFonts w:ascii="Times New Roman" w:hAnsi="Times New Roman" w:cs="Times New Roman"/>
          <w:lang w:val="es-MX"/>
        </w:rPr>
        <w:lastRenderedPageBreak/>
        <w:t>El otro componente del gasto corriente que mostró un incremento importante fueron los intereses de la deuda pública, que tuvieron un aumento de 5.9%, que se debió al mayor pago de intereses de deuda interna como resultado del aumento en el stock de la deuda ya que la tasa de interés se mantuvo baja, es decir no fue por efecto precio si no más un efecto en el volumen de la deuda, no obstante el nivel de intereses pagados es un nivel bastante razonable, por otros lado se tuvo un leve incremento en el pago de intereses de la deuda pública que estuvo asociado más al efecto de la depreciación del tipo de cambio que tuvo una depreciación promedio del año cercana al 5%, situación que no se había presentado en los años anteriores.</w:t>
      </w:r>
    </w:p>
    <w:p w:rsidR="007F6D2F" w:rsidRDefault="007F6D2F" w:rsidP="007F6D2F">
      <w:pPr>
        <w:jc w:val="both"/>
        <w:rPr>
          <w:rFonts w:ascii="Times New Roman" w:hAnsi="Times New Roman" w:cs="Times New Roman"/>
          <w:lang w:val="es-MX"/>
        </w:rPr>
      </w:pPr>
    </w:p>
    <w:p w:rsidR="007F6D2F" w:rsidRDefault="007F6D2F" w:rsidP="007F6D2F">
      <w:pPr>
        <w:jc w:val="both"/>
        <w:rPr>
          <w:rFonts w:ascii="Times New Roman" w:hAnsi="Times New Roman" w:cs="Times New Roman"/>
          <w:lang w:val="es-MX"/>
        </w:rPr>
      </w:pPr>
      <w:r>
        <w:rPr>
          <w:rFonts w:ascii="Times New Roman" w:hAnsi="Times New Roman" w:cs="Times New Roman"/>
          <w:lang w:val="es-MX"/>
        </w:rPr>
        <w:t>Asimismo, las remuneraciones de los empleados públicos mostraron un incremento moderado de 4.3%, el cual fue resultado un incremento salarial que se otorgó en el Ministerio de Gobernación que aplicó como un bono a todo el personal permanente.  Asimismo, al Ministerio de Educación se otorgó un Bono Extraordinario al final de año al Magisterio Nacional, además del impacto normal que tiene el régimen escalafonario en dicha entidad.</w:t>
      </w:r>
    </w:p>
    <w:p w:rsidR="007F6D2F" w:rsidRDefault="007F6D2F" w:rsidP="007F6D2F">
      <w:pPr>
        <w:jc w:val="both"/>
        <w:rPr>
          <w:rFonts w:ascii="Times New Roman" w:hAnsi="Times New Roman" w:cs="Times New Roman"/>
          <w:lang w:val="es-MX"/>
        </w:rPr>
      </w:pPr>
    </w:p>
    <w:p w:rsidR="007F6D2F" w:rsidRPr="0008775B" w:rsidRDefault="007F6D2F" w:rsidP="007F6D2F">
      <w:pPr>
        <w:jc w:val="both"/>
        <w:rPr>
          <w:rFonts w:ascii="Times New Roman" w:hAnsi="Times New Roman" w:cs="Times New Roman"/>
          <w:color w:val="FF0000"/>
          <w:lang w:val="es-MX"/>
        </w:rPr>
      </w:pPr>
      <w:r>
        <w:rPr>
          <w:rFonts w:ascii="Times New Roman" w:hAnsi="Times New Roman" w:cs="Times New Roman"/>
          <w:lang w:val="es-MX"/>
        </w:rPr>
        <w:t xml:space="preserve">Por su parte, las transferencias corrientes mostraron un crecimiento de 4.8%, en donde los aportes a entidades del resto del sector público mostraron una leve reducción en parte porque el presupuesto de 2017 se mantuvo y los aportes asociados a fuentes externas o donaciones como ya se habían obtenido los recursos en 2017 ya no se pudieron realizar en 2018, lo que motivo a una leve disminución, no obstante se aumentaron los aportes a entidades del sector privado principalmente a las ONG de salud, institutos por cooperativa del Ministerio de Educación y los asociados a los programas sociales que realiza el Ministerio de Desarrollo Social como es el caso de las transferencias condicionadas.  </w:t>
      </w:r>
    </w:p>
    <w:p w:rsidR="00364844" w:rsidRPr="0008775B" w:rsidRDefault="00364844" w:rsidP="00364844">
      <w:pPr>
        <w:jc w:val="both"/>
        <w:rPr>
          <w:rFonts w:ascii="Times New Roman" w:hAnsi="Times New Roman" w:cs="Times New Roman"/>
          <w:color w:val="FF0000"/>
          <w:lang w:val="es-MX"/>
        </w:rPr>
      </w:pPr>
    </w:p>
    <w:p w:rsidR="00364844" w:rsidRPr="009E0D8B" w:rsidRDefault="00364844" w:rsidP="00364844">
      <w:pPr>
        <w:pStyle w:val="Sinespaciado"/>
        <w:jc w:val="center"/>
        <w:rPr>
          <w:rFonts w:ascii="Times New Roman" w:hAnsi="Times New Roman" w:cs="Times New Roman"/>
          <w:b/>
          <w:sz w:val="24"/>
          <w:lang w:val="es-MX"/>
        </w:rPr>
      </w:pPr>
      <w:r w:rsidRPr="009E0D8B">
        <w:rPr>
          <w:rFonts w:ascii="Times New Roman" w:hAnsi="Times New Roman" w:cs="Times New Roman"/>
          <w:b/>
          <w:sz w:val="24"/>
          <w:lang w:val="es-MX"/>
        </w:rPr>
        <w:t>Ritmo de Ejecución de Gasto Público*</w:t>
      </w:r>
    </w:p>
    <w:p w:rsidR="00364844" w:rsidRPr="009E0D8B" w:rsidRDefault="007F6D2F" w:rsidP="00364844">
      <w:pPr>
        <w:pStyle w:val="Sinespaciado"/>
        <w:jc w:val="center"/>
        <w:rPr>
          <w:rFonts w:ascii="Times New Roman" w:hAnsi="Times New Roman" w:cs="Times New Roman"/>
          <w:sz w:val="18"/>
          <w:lang w:val="es-MX"/>
        </w:rPr>
      </w:pPr>
      <w:r w:rsidRPr="009E0D8B">
        <w:rPr>
          <w:rFonts w:ascii="Times New Roman" w:hAnsi="Times New Roman" w:cs="Times New Roman"/>
          <w:sz w:val="18"/>
          <w:lang w:val="es-MX"/>
        </w:rPr>
        <w:t>2017 - 2018</w:t>
      </w:r>
    </w:p>
    <w:p w:rsidR="00364844" w:rsidRPr="009E0D8B" w:rsidRDefault="00364844" w:rsidP="00364844">
      <w:pPr>
        <w:pStyle w:val="Sinespaciado"/>
        <w:jc w:val="center"/>
        <w:rPr>
          <w:rFonts w:ascii="Times New Roman" w:hAnsi="Times New Roman" w:cs="Times New Roman"/>
          <w:sz w:val="18"/>
          <w:lang w:val="es-MX"/>
        </w:rPr>
      </w:pPr>
      <w:r w:rsidRPr="009E0D8B">
        <w:rPr>
          <w:rFonts w:ascii="Times New Roman" w:hAnsi="Times New Roman" w:cs="Times New Roman"/>
          <w:sz w:val="18"/>
          <w:lang w:val="es-MX"/>
        </w:rPr>
        <w:t>Variación Interanual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4626"/>
      </w:tblGrid>
      <w:tr w:rsidR="0008775B" w:rsidRPr="009E0D8B" w:rsidTr="00364844">
        <w:tc>
          <w:tcPr>
            <w:tcW w:w="4266" w:type="dxa"/>
          </w:tcPr>
          <w:p w:rsidR="00364844" w:rsidRPr="009E0D8B" w:rsidRDefault="00364844" w:rsidP="00364844">
            <w:pPr>
              <w:pStyle w:val="Sinespaciado"/>
              <w:jc w:val="center"/>
              <w:rPr>
                <w:rFonts w:ascii="Times New Roman" w:hAnsi="Times New Roman" w:cs="Times New Roman"/>
                <w:sz w:val="20"/>
                <w:lang w:val="es-MX"/>
              </w:rPr>
            </w:pPr>
            <w:r w:rsidRPr="009E0D8B">
              <w:rPr>
                <w:rFonts w:ascii="Times New Roman" w:hAnsi="Times New Roman" w:cs="Times New Roman"/>
                <w:sz w:val="20"/>
                <w:lang w:val="es-MX"/>
              </w:rPr>
              <w:t>Gasto total</w:t>
            </w:r>
          </w:p>
        </w:tc>
        <w:tc>
          <w:tcPr>
            <w:tcW w:w="4562" w:type="dxa"/>
          </w:tcPr>
          <w:p w:rsidR="00364844" w:rsidRPr="009E0D8B" w:rsidRDefault="00364844" w:rsidP="00364844">
            <w:pPr>
              <w:pStyle w:val="Sinespaciado"/>
              <w:jc w:val="center"/>
              <w:rPr>
                <w:rFonts w:ascii="Times New Roman" w:hAnsi="Times New Roman" w:cs="Times New Roman"/>
                <w:sz w:val="20"/>
                <w:lang w:val="es-MX"/>
              </w:rPr>
            </w:pPr>
            <w:r w:rsidRPr="009E0D8B">
              <w:rPr>
                <w:rFonts w:ascii="Times New Roman" w:hAnsi="Times New Roman" w:cs="Times New Roman"/>
                <w:sz w:val="20"/>
                <w:lang w:val="es-MX"/>
              </w:rPr>
              <w:t>P</w:t>
            </w:r>
            <w:r w:rsidR="007F6D2F" w:rsidRPr="009E0D8B">
              <w:rPr>
                <w:rFonts w:ascii="Times New Roman" w:hAnsi="Times New Roman" w:cs="Times New Roman"/>
                <w:sz w:val="20"/>
                <w:lang w:val="es-MX"/>
              </w:rPr>
              <w:t xml:space="preserve">or rubro económico de gasto </w:t>
            </w:r>
          </w:p>
        </w:tc>
      </w:tr>
      <w:tr w:rsidR="0008775B" w:rsidRPr="009E0D8B" w:rsidTr="00364844">
        <w:tc>
          <w:tcPr>
            <w:tcW w:w="4266" w:type="dxa"/>
          </w:tcPr>
          <w:p w:rsidR="00364844" w:rsidRPr="009E0D8B" w:rsidRDefault="007F6D2F" w:rsidP="00364844">
            <w:pPr>
              <w:pStyle w:val="Sinespaciado"/>
              <w:jc w:val="center"/>
              <w:rPr>
                <w:rFonts w:ascii="Times New Roman" w:hAnsi="Times New Roman" w:cs="Times New Roman"/>
                <w:lang w:val="es-MX"/>
              </w:rPr>
            </w:pPr>
            <w:r w:rsidRPr="009E0D8B">
              <w:rPr>
                <w:rFonts w:ascii="Times New Roman" w:hAnsi="Times New Roman" w:cs="Times New Roman"/>
                <w:noProof/>
                <w:lang w:eastAsia="es-GT"/>
              </w:rPr>
              <w:drawing>
                <wp:inline distT="0" distB="0" distL="0" distR="0" wp14:anchorId="5A6F2AAB" wp14:editId="75C4BD15">
                  <wp:extent cx="2428875" cy="22002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1916" cy="2212089"/>
                          </a:xfrm>
                          <a:prstGeom prst="rect">
                            <a:avLst/>
                          </a:prstGeom>
                          <a:noFill/>
                        </pic:spPr>
                      </pic:pic>
                    </a:graphicData>
                  </a:graphic>
                </wp:inline>
              </w:drawing>
            </w:r>
          </w:p>
        </w:tc>
        <w:tc>
          <w:tcPr>
            <w:tcW w:w="4562" w:type="dxa"/>
          </w:tcPr>
          <w:p w:rsidR="00364844" w:rsidRPr="009E0D8B" w:rsidRDefault="007F6D2F" w:rsidP="00364844">
            <w:pPr>
              <w:pStyle w:val="Sinespaciado"/>
              <w:jc w:val="center"/>
              <w:rPr>
                <w:rFonts w:ascii="Times New Roman" w:hAnsi="Times New Roman" w:cs="Times New Roman"/>
                <w:lang w:val="es-MX"/>
              </w:rPr>
            </w:pPr>
            <w:r w:rsidRPr="009E0D8B">
              <w:rPr>
                <w:rFonts w:ascii="Times New Roman" w:hAnsi="Times New Roman" w:cs="Times New Roman"/>
                <w:noProof/>
                <w:lang w:eastAsia="es-GT"/>
              </w:rPr>
              <w:drawing>
                <wp:inline distT="0" distB="0" distL="0" distR="0" wp14:anchorId="1796BC1A" wp14:editId="0CBAF376">
                  <wp:extent cx="2800350" cy="2342838"/>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5194" cy="2346891"/>
                          </a:xfrm>
                          <a:prstGeom prst="rect">
                            <a:avLst/>
                          </a:prstGeom>
                          <a:noFill/>
                        </pic:spPr>
                      </pic:pic>
                    </a:graphicData>
                  </a:graphic>
                </wp:inline>
              </w:drawing>
            </w:r>
          </w:p>
        </w:tc>
      </w:tr>
    </w:tbl>
    <w:p w:rsidR="00364844" w:rsidRPr="009E0D8B" w:rsidRDefault="00364844" w:rsidP="001E7182">
      <w:pPr>
        <w:pStyle w:val="Sinespaciado"/>
        <w:ind w:left="708"/>
        <w:rPr>
          <w:rFonts w:ascii="Times New Roman" w:hAnsi="Times New Roman" w:cs="Times New Roman"/>
          <w:sz w:val="16"/>
          <w:szCs w:val="16"/>
          <w:lang w:val="es-MX"/>
        </w:rPr>
      </w:pPr>
      <w:r w:rsidRPr="009E0D8B">
        <w:rPr>
          <w:rFonts w:ascii="Times New Roman" w:hAnsi="Times New Roman" w:cs="Times New Roman"/>
          <w:sz w:val="16"/>
          <w:szCs w:val="16"/>
          <w:lang w:val="es-MX"/>
        </w:rPr>
        <w:t>*No incluye amortización de deuda pública</w:t>
      </w:r>
    </w:p>
    <w:p w:rsidR="009E0D8B" w:rsidRPr="009E0D8B" w:rsidRDefault="009E0D8B" w:rsidP="001E7182">
      <w:pPr>
        <w:ind w:left="708"/>
        <w:jc w:val="both"/>
        <w:rPr>
          <w:rFonts w:ascii="Times New Roman" w:hAnsi="Times New Roman" w:cs="Times New Roman"/>
          <w:sz w:val="16"/>
          <w:szCs w:val="16"/>
          <w:lang w:val="es-MX"/>
        </w:rPr>
      </w:pPr>
      <w:r w:rsidRPr="009E0D8B">
        <w:rPr>
          <w:rFonts w:ascii="Times New Roman" w:hAnsi="Times New Roman" w:cs="Times New Roman"/>
          <w:sz w:val="16"/>
          <w:szCs w:val="16"/>
          <w:lang w:val="es-MX"/>
        </w:rPr>
        <w:t>Nota:  cifras preliminares</w:t>
      </w:r>
    </w:p>
    <w:p w:rsidR="00364844" w:rsidRDefault="00364844" w:rsidP="001E7182">
      <w:pPr>
        <w:ind w:left="708"/>
        <w:jc w:val="both"/>
        <w:rPr>
          <w:rFonts w:ascii="Times New Roman" w:hAnsi="Times New Roman" w:cs="Times New Roman"/>
          <w:sz w:val="16"/>
          <w:szCs w:val="16"/>
          <w:lang w:val="es-MX"/>
        </w:rPr>
      </w:pPr>
      <w:r w:rsidRPr="009E0D8B">
        <w:rPr>
          <w:rFonts w:ascii="Times New Roman" w:hAnsi="Times New Roman" w:cs="Times New Roman"/>
          <w:sz w:val="16"/>
          <w:szCs w:val="16"/>
          <w:lang w:val="es-MX"/>
        </w:rPr>
        <w:t>Fuente: Dirección de Análisis y Política Fiscal</w:t>
      </w:r>
    </w:p>
    <w:p w:rsidR="009E0D8B" w:rsidRDefault="009E0D8B" w:rsidP="001E7182">
      <w:pPr>
        <w:ind w:left="708"/>
        <w:jc w:val="both"/>
        <w:rPr>
          <w:rFonts w:ascii="Times New Roman" w:hAnsi="Times New Roman" w:cs="Times New Roman"/>
          <w:sz w:val="16"/>
          <w:szCs w:val="16"/>
          <w:lang w:val="es-MX"/>
        </w:rPr>
      </w:pPr>
    </w:p>
    <w:p w:rsidR="009E0D8B" w:rsidRDefault="009E0D8B" w:rsidP="001E7182">
      <w:pPr>
        <w:ind w:left="708"/>
        <w:jc w:val="both"/>
        <w:rPr>
          <w:rFonts w:ascii="Times New Roman" w:hAnsi="Times New Roman" w:cs="Times New Roman"/>
          <w:sz w:val="16"/>
          <w:szCs w:val="16"/>
          <w:lang w:val="es-MX"/>
        </w:rPr>
      </w:pPr>
    </w:p>
    <w:p w:rsidR="009E0D8B" w:rsidRPr="009E0D8B" w:rsidRDefault="009E0D8B" w:rsidP="001E7182">
      <w:pPr>
        <w:ind w:left="708"/>
        <w:jc w:val="both"/>
        <w:rPr>
          <w:rFonts w:ascii="Times New Roman" w:hAnsi="Times New Roman" w:cs="Times New Roman"/>
          <w:sz w:val="16"/>
          <w:szCs w:val="16"/>
          <w:lang w:val="es-MX"/>
        </w:rPr>
      </w:pPr>
    </w:p>
    <w:p w:rsidR="00364844" w:rsidRPr="0008775B" w:rsidRDefault="009E0D8B" w:rsidP="00364844">
      <w:pPr>
        <w:pStyle w:val="Ttulo2"/>
        <w:numPr>
          <w:ilvl w:val="1"/>
          <w:numId w:val="12"/>
        </w:numPr>
        <w:rPr>
          <w:rFonts w:ascii="Times New Roman" w:hAnsi="Times New Roman" w:cs="Times New Roman"/>
          <w:color w:val="FF0000"/>
          <w:sz w:val="24"/>
        </w:rPr>
      </w:pPr>
      <w:bookmarkStart w:id="50" w:name="_Toc534988232"/>
      <w:r w:rsidRPr="009E0D8B">
        <w:rPr>
          <w:rFonts w:ascii="Times New Roman" w:hAnsi="Times New Roman" w:cs="Times New Roman"/>
          <w:color w:val="auto"/>
          <w:sz w:val="24"/>
        </w:rPr>
        <w:lastRenderedPageBreak/>
        <w:t>Grado de ejecución institucional aumentó significativamente en 2018</w:t>
      </w:r>
      <w:bookmarkEnd w:id="50"/>
      <w:r w:rsidR="00364844" w:rsidRPr="0008775B">
        <w:rPr>
          <w:rFonts w:ascii="Times New Roman" w:hAnsi="Times New Roman" w:cs="Times New Roman"/>
          <w:color w:val="FF0000"/>
          <w:sz w:val="24"/>
        </w:rPr>
        <w:t xml:space="preserve"> </w:t>
      </w:r>
    </w:p>
    <w:p w:rsidR="00364844" w:rsidRPr="0008775B" w:rsidRDefault="00364844" w:rsidP="00364844">
      <w:pPr>
        <w:rPr>
          <w:color w:val="FF0000"/>
        </w:rPr>
      </w:pPr>
    </w:p>
    <w:p w:rsidR="009E0D8B" w:rsidRDefault="009E0D8B" w:rsidP="009E0D8B">
      <w:pPr>
        <w:jc w:val="both"/>
        <w:rPr>
          <w:rFonts w:ascii="Times New Roman" w:hAnsi="Times New Roman" w:cs="Times New Roman"/>
          <w:lang w:val="es-MX"/>
        </w:rPr>
      </w:pPr>
      <w:r>
        <w:rPr>
          <w:rFonts w:ascii="Times New Roman" w:hAnsi="Times New Roman" w:cs="Times New Roman"/>
          <w:lang w:val="es-MX"/>
        </w:rPr>
        <w:t>A nivel institucional, la ejecución total del gasto, incluyendo las amortizaciones de la deuda pública, se situó en Q75,277.0 millones, las entidades que le dieron dinamismo a la ejecución, es decir cuyo grado de ejecución estuvo por encima del total institucional de 2018 (96.0%) fueron el servicio de la deuda pública asociado principalmente al aumento en el pago de intereses de la deuda pública debido al mayor nivel deuda no por un incremento de tasa de interés.  Asimismo, se observa una alta ejecución en el Ministerio de la Defensa Nacional, la Presidencia de la República, el Ministerio de Relaciones Exteriores, Energía y Minas, Educación y en este año particular el Ministerio de Comunicaciones, Infraestructura y Vivienda por el impulso en la infraestructura vial, entre otras. Por su parte hubo entidades que tuvieron una ejecución deficiente en términos de lo aprobado en su presupuesto, tal el caso de los ministerios de Desarrollo Social, Cultura y Deportes y Finanzas Públicas.</w:t>
      </w:r>
    </w:p>
    <w:p w:rsidR="009E0D8B" w:rsidRDefault="009E0D8B" w:rsidP="009E0D8B">
      <w:pPr>
        <w:jc w:val="both"/>
        <w:rPr>
          <w:rFonts w:ascii="Times New Roman" w:hAnsi="Times New Roman" w:cs="Times New Roman"/>
          <w:lang w:val="es-MX"/>
        </w:rPr>
      </w:pPr>
    </w:p>
    <w:p w:rsidR="00364844" w:rsidRPr="0008775B" w:rsidRDefault="009E0D8B" w:rsidP="009E0D8B">
      <w:pPr>
        <w:jc w:val="both"/>
        <w:rPr>
          <w:rFonts w:ascii="Times New Roman" w:hAnsi="Times New Roman" w:cs="Times New Roman"/>
          <w:color w:val="FF0000"/>
          <w:lang w:val="es-MX"/>
        </w:rPr>
      </w:pPr>
      <w:r>
        <w:rPr>
          <w:rFonts w:ascii="Times New Roman" w:hAnsi="Times New Roman" w:cs="Times New Roman"/>
          <w:lang w:val="es-MX"/>
        </w:rPr>
        <w:t>Asimismo, es importante evaluar como estuvo el grado de ejecución presupuestaria con respecto al comportamiento histórico.  Para el efecto, se obtuvo el porcentaje de ejecución presupuestaria promedio de los últimos 5 años, lo cual muestra una mejora en el desempeño en la capacidad de ejecutar y con la excepción de dos entidades, el resto estuvo por arriba del promedio, el que resalta nuevamente es el Ministerio de Comunicaciones que aumentó considerablemente, igualmente hay que destacar a los ministerios de agricultura, ambiente y desarrollo social.  Por otro lado, se tienen ministerios que estuvieron levemente por debajo de su promedio histórico Finanzas y Trabajo y otros aumentaron, pero de manera moderada como educación y salud, aunque educación en 2018 estuvo relativamente alto (97.2%), es decir que el nivel promedio es igualmente elevado, estimulando con la ejecución institucional en la mayoría de los años.</w:t>
      </w:r>
    </w:p>
    <w:p w:rsidR="00364844" w:rsidRPr="0008775B" w:rsidRDefault="00364844" w:rsidP="00364844">
      <w:pPr>
        <w:jc w:val="both"/>
        <w:rPr>
          <w:rFonts w:ascii="Times New Roman" w:hAnsi="Times New Roman" w:cs="Times New Roman"/>
          <w:color w:val="FF0000"/>
          <w:lang w:val="es-MX"/>
        </w:rPr>
      </w:pPr>
    </w:p>
    <w:p w:rsidR="00364844" w:rsidRPr="009E0D8B" w:rsidRDefault="00364844" w:rsidP="00364844">
      <w:pPr>
        <w:pStyle w:val="Sinespaciado"/>
        <w:jc w:val="center"/>
        <w:rPr>
          <w:rFonts w:ascii="Times New Roman" w:hAnsi="Times New Roman" w:cs="Times New Roman"/>
          <w:b/>
          <w:sz w:val="24"/>
          <w:lang w:val="es-MX"/>
        </w:rPr>
      </w:pPr>
      <w:r w:rsidRPr="009E0D8B">
        <w:rPr>
          <w:rFonts w:ascii="Times New Roman" w:hAnsi="Times New Roman" w:cs="Times New Roman"/>
          <w:b/>
          <w:sz w:val="24"/>
          <w:lang w:val="es-MX"/>
        </w:rPr>
        <w:t>Grado de Ejecución Presupuestaria</w:t>
      </w:r>
    </w:p>
    <w:p w:rsidR="00364844" w:rsidRPr="009E0D8B" w:rsidRDefault="00364844" w:rsidP="00364844">
      <w:pPr>
        <w:pStyle w:val="Sinespaciado"/>
        <w:jc w:val="center"/>
        <w:rPr>
          <w:rFonts w:ascii="Times New Roman" w:hAnsi="Times New Roman" w:cs="Times New Roman"/>
          <w:sz w:val="18"/>
          <w:lang w:val="es-MX"/>
        </w:rPr>
      </w:pPr>
      <w:r w:rsidRPr="009E0D8B">
        <w:rPr>
          <w:rFonts w:ascii="Times New Roman" w:hAnsi="Times New Roman" w:cs="Times New Roman"/>
          <w:sz w:val="18"/>
          <w:lang w:val="es-MX"/>
        </w:rPr>
        <w:t>Porcentajes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4761"/>
      </w:tblGrid>
      <w:tr w:rsidR="009E0D8B" w:rsidRPr="009E0D8B" w:rsidTr="00364844">
        <w:trPr>
          <w:trHeight w:val="169"/>
        </w:trPr>
        <w:tc>
          <w:tcPr>
            <w:tcW w:w="4346" w:type="dxa"/>
          </w:tcPr>
          <w:p w:rsidR="00364844" w:rsidRPr="009E0D8B" w:rsidRDefault="00364844" w:rsidP="009E0D8B">
            <w:pPr>
              <w:jc w:val="center"/>
              <w:rPr>
                <w:rFonts w:ascii="Times New Roman" w:hAnsi="Times New Roman" w:cs="Times New Roman"/>
                <w:lang w:val="es-MX"/>
              </w:rPr>
            </w:pPr>
            <w:r w:rsidRPr="00917901">
              <w:rPr>
                <w:rFonts w:ascii="Times New Roman" w:hAnsi="Times New Roman" w:cs="Times New Roman"/>
                <w:sz w:val="20"/>
                <w:lang w:val="es-MX"/>
              </w:rPr>
              <w:t>Observado 201</w:t>
            </w:r>
            <w:r w:rsidR="009E0D8B" w:rsidRPr="00917901">
              <w:rPr>
                <w:rFonts w:ascii="Times New Roman" w:hAnsi="Times New Roman" w:cs="Times New Roman"/>
                <w:sz w:val="20"/>
                <w:lang w:val="es-MX"/>
              </w:rPr>
              <w:t>8</w:t>
            </w:r>
          </w:p>
        </w:tc>
        <w:tc>
          <w:tcPr>
            <w:tcW w:w="4492" w:type="dxa"/>
          </w:tcPr>
          <w:p w:rsidR="00364844" w:rsidRPr="00917901" w:rsidRDefault="00364844" w:rsidP="00364844">
            <w:pPr>
              <w:jc w:val="center"/>
              <w:rPr>
                <w:rFonts w:ascii="Times New Roman" w:hAnsi="Times New Roman" w:cs="Times New Roman"/>
                <w:sz w:val="20"/>
                <w:lang w:val="es-MX"/>
              </w:rPr>
            </w:pPr>
            <w:r w:rsidRPr="00917901">
              <w:rPr>
                <w:rFonts w:ascii="Times New Roman" w:hAnsi="Times New Roman" w:cs="Times New Roman"/>
                <w:sz w:val="20"/>
                <w:lang w:val="es-MX"/>
              </w:rPr>
              <w:t>Desviación con Respecto al Promedio</w:t>
            </w:r>
            <w:r w:rsidR="009E0D8B" w:rsidRPr="00917901">
              <w:rPr>
                <w:rFonts w:ascii="Times New Roman" w:hAnsi="Times New Roman" w:cs="Times New Roman"/>
                <w:sz w:val="20"/>
                <w:lang w:val="es-MX"/>
              </w:rPr>
              <w:t xml:space="preserve"> (5 años)</w:t>
            </w:r>
          </w:p>
        </w:tc>
      </w:tr>
      <w:tr w:rsidR="009E0D8B" w:rsidRPr="009E0D8B" w:rsidTr="00364844">
        <w:tblPrEx>
          <w:tblCellMar>
            <w:left w:w="70" w:type="dxa"/>
            <w:right w:w="70" w:type="dxa"/>
          </w:tblCellMar>
        </w:tblPrEx>
        <w:trPr>
          <w:trHeight w:val="3648"/>
        </w:trPr>
        <w:tc>
          <w:tcPr>
            <w:tcW w:w="4346" w:type="dxa"/>
          </w:tcPr>
          <w:p w:rsidR="00364844" w:rsidRPr="009E0D8B" w:rsidRDefault="009E0D8B" w:rsidP="00364844">
            <w:pPr>
              <w:jc w:val="both"/>
              <w:rPr>
                <w:rFonts w:ascii="Times New Roman" w:hAnsi="Times New Roman" w:cs="Times New Roman"/>
                <w:lang w:val="es-MX"/>
              </w:rPr>
            </w:pPr>
            <w:r w:rsidRPr="009E0D8B">
              <w:rPr>
                <w:rFonts w:ascii="Times New Roman" w:hAnsi="Times New Roman" w:cs="Times New Roman"/>
                <w:noProof/>
                <w:lang w:val="es-GT" w:eastAsia="es-GT"/>
              </w:rPr>
              <w:drawing>
                <wp:inline distT="0" distB="0" distL="0" distR="0" wp14:anchorId="7B1AAA50" wp14:editId="4904C4F6">
                  <wp:extent cx="2722880" cy="2505075"/>
                  <wp:effectExtent l="0" t="0" r="127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50833" cy="2530792"/>
                          </a:xfrm>
                          <a:prstGeom prst="rect">
                            <a:avLst/>
                          </a:prstGeom>
                          <a:noFill/>
                        </pic:spPr>
                      </pic:pic>
                    </a:graphicData>
                  </a:graphic>
                </wp:inline>
              </w:drawing>
            </w:r>
          </w:p>
        </w:tc>
        <w:tc>
          <w:tcPr>
            <w:tcW w:w="4492" w:type="dxa"/>
          </w:tcPr>
          <w:p w:rsidR="00364844" w:rsidRPr="009E0D8B" w:rsidRDefault="009E0D8B" w:rsidP="00364844">
            <w:pPr>
              <w:jc w:val="both"/>
              <w:rPr>
                <w:rFonts w:ascii="Times New Roman" w:hAnsi="Times New Roman" w:cs="Times New Roman"/>
                <w:lang w:val="es-MX"/>
              </w:rPr>
            </w:pPr>
            <w:r w:rsidRPr="009E0D8B">
              <w:rPr>
                <w:rFonts w:ascii="Times New Roman" w:hAnsi="Times New Roman" w:cs="Times New Roman"/>
                <w:noProof/>
                <w:lang w:val="es-GT" w:eastAsia="es-GT"/>
              </w:rPr>
              <w:drawing>
                <wp:inline distT="0" distB="0" distL="0" distR="0" wp14:anchorId="5704DB9F" wp14:editId="706A3CD3">
                  <wp:extent cx="2934686" cy="27527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0147" cy="2804747"/>
                          </a:xfrm>
                          <a:prstGeom prst="rect">
                            <a:avLst/>
                          </a:prstGeom>
                          <a:noFill/>
                        </pic:spPr>
                      </pic:pic>
                    </a:graphicData>
                  </a:graphic>
                </wp:inline>
              </w:drawing>
            </w:r>
          </w:p>
        </w:tc>
      </w:tr>
    </w:tbl>
    <w:p w:rsidR="009E0D8B" w:rsidRPr="009E0D8B" w:rsidRDefault="009E0D8B" w:rsidP="00364844">
      <w:pPr>
        <w:jc w:val="both"/>
        <w:rPr>
          <w:rFonts w:ascii="Times New Roman" w:hAnsi="Times New Roman" w:cs="Times New Roman"/>
          <w:sz w:val="16"/>
          <w:lang w:val="es-MX"/>
        </w:rPr>
      </w:pPr>
      <w:r w:rsidRPr="009E0D8B">
        <w:rPr>
          <w:rFonts w:ascii="Times New Roman" w:hAnsi="Times New Roman" w:cs="Times New Roman"/>
          <w:sz w:val="16"/>
          <w:lang w:val="es-MX"/>
        </w:rPr>
        <w:t>Nota: cifras preliminares</w:t>
      </w:r>
    </w:p>
    <w:p w:rsidR="00364844" w:rsidRPr="009E0D8B" w:rsidRDefault="00364844" w:rsidP="00364844">
      <w:pPr>
        <w:jc w:val="both"/>
        <w:rPr>
          <w:rFonts w:ascii="Times New Roman" w:hAnsi="Times New Roman" w:cs="Times New Roman"/>
          <w:sz w:val="16"/>
          <w:lang w:val="es-MX"/>
        </w:rPr>
      </w:pPr>
      <w:r w:rsidRPr="009E0D8B">
        <w:rPr>
          <w:rFonts w:ascii="Times New Roman" w:hAnsi="Times New Roman" w:cs="Times New Roman"/>
          <w:sz w:val="16"/>
          <w:lang w:val="es-MX"/>
        </w:rPr>
        <w:t>Fuente: Dirección de Análisis y Política Fiscal</w:t>
      </w:r>
    </w:p>
    <w:p w:rsidR="00364844" w:rsidRPr="0008775B" w:rsidRDefault="00364844" w:rsidP="00364844">
      <w:pPr>
        <w:jc w:val="both"/>
        <w:rPr>
          <w:rFonts w:ascii="Times New Roman" w:hAnsi="Times New Roman" w:cs="Times New Roman"/>
          <w:color w:val="FF0000"/>
          <w:lang w:val="es-MX"/>
        </w:rPr>
      </w:pPr>
    </w:p>
    <w:p w:rsidR="00364844" w:rsidRPr="00DD5841" w:rsidRDefault="00364844" w:rsidP="00364844">
      <w:pPr>
        <w:pStyle w:val="Ttulo2"/>
        <w:numPr>
          <w:ilvl w:val="1"/>
          <w:numId w:val="12"/>
        </w:numPr>
        <w:rPr>
          <w:rFonts w:ascii="Times New Roman" w:hAnsi="Times New Roman" w:cs="Times New Roman"/>
          <w:color w:val="auto"/>
          <w:sz w:val="24"/>
        </w:rPr>
      </w:pPr>
      <w:bookmarkStart w:id="51" w:name="_Toc534988233"/>
      <w:r w:rsidRPr="00DD5841">
        <w:rPr>
          <w:rFonts w:ascii="Times New Roman" w:hAnsi="Times New Roman" w:cs="Times New Roman"/>
          <w:color w:val="auto"/>
          <w:sz w:val="24"/>
        </w:rPr>
        <w:lastRenderedPageBreak/>
        <w:t>Aumenta la participación del gasto social</w:t>
      </w:r>
      <w:bookmarkEnd w:id="51"/>
    </w:p>
    <w:p w:rsidR="00364844" w:rsidRPr="0008775B" w:rsidRDefault="00364844" w:rsidP="00364844">
      <w:pPr>
        <w:rPr>
          <w:color w:val="FF0000"/>
        </w:rPr>
      </w:pPr>
    </w:p>
    <w:p w:rsidR="00DD5841" w:rsidRPr="00CB0608" w:rsidRDefault="00DD5841" w:rsidP="00DD5841">
      <w:pPr>
        <w:pStyle w:val="Sinespaciado"/>
        <w:jc w:val="both"/>
        <w:rPr>
          <w:rFonts w:ascii="Times New Roman" w:eastAsiaTheme="minorEastAsia" w:hAnsi="Times New Roman" w:cs="Times New Roman"/>
          <w:sz w:val="24"/>
          <w:szCs w:val="24"/>
          <w:lang w:val="es-MX" w:eastAsia="es-ES"/>
        </w:rPr>
      </w:pPr>
      <w:r w:rsidRPr="00CB0608">
        <w:rPr>
          <w:rFonts w:ascii="Times New Roman" w:eastAsiaTheme="minorEastAsia" w:hAnsi="Times New Roman" w:cs="Times New Roman"/>
          <w:sz w:val="24"/>
          <w:szCs w:val="24"/>
          <w:lang w:val="es-MX" w:eastAsia="es-ES"/>
        </w:rPr>
        <w:t xml:space="preserve">El gasto social realizado en los sectores de educación, salud y vivienda, se ubicó al cierre de diciembre de 2018 en Q 28,740.3 millones, alcanzando un nivel de ejecución presupuestaria de 94.0%, siendo el sector vivienda el que reporta la menor ejecución con 83.6%, debido a que el Fondo para la Vivienda (FOPAVI) encargada de otorgar un subsidio directo a las personas o familias que requieran ayuda para el acceso a una vivienda digna, ha mostrado problemas en la ejecución de recursos y cambio de autoridades, con lo cual los expedientes de solicitud de ayuda económica han ido en aumento, quienes realizan la solicitud son familias en situación de pobreza y extrema pobreza que no cuentan con una solución habitacional. El nivel de ejecución del 2018 (Q180.1 millones), se encuentra lejos de los Q711.5 millones alcanzados en 2010, año en el que se reportó la mayor ejecución en dicho rubro. </w:t>
      </w:r>
    </w:p>
    <w:p w:rsidR="00DD5841" w:rsidRPr="00CB0608" w:rsidRDefault="00DD5841" w:rsidP="00DD5841">
      <w:pPr>
        <w:pStyle w:val="Sinespaciado"/>
        <w:jc w:val="both"/>
        <w:rPr>
          <w:rFonts w:ascii="Times New Roman" w:eastAsiaTheme="minorEastAsia" w:hAnsi="Times New Roman" w:cs="Times New Roman"/>
          <w:sz w:val="24"/>
          <w:szCs w:val="24"/>
          <w:lang w:val="es-MX" w:eastAsia="es-ES"/>
        </w:rPr>
      </w:pPr>
    </w:p>
    <w:p w:rsidR="00DD5841" w:rsidRDefault="00DD5841" w:rsidP="00DD5841">
      <w:pPr>
        <w:jc w:val="both"/>
        <w:rPr>
          <w:rFonts w:ascii="Times New Roman" w:hAnsi="Times New Roman" w:cs="Times New Roman"/>
          <w:lang w:val="es-MX"/>
        </w:rPr>
      </w:pPr>
      <w:r w:rsidRPr="00CB0608">
        <w:rPr>
          <w:rFonts w:ascii="Times New Roman" w:hAnsi="Times New Roman" w:cs="Times New Roman"/>
          <w:lang w:val="es-MX"/>
        </w:rPr>
        <w:t>El sector educación, ciencia y cultura reporta una ejecución del 96.1%, debido a que la asignación presupuestaria más alta (Q10,038.2 millones) se encuentra en el rubro de educación preprimaria y primaria, siendo el de mayor ejecución (98.5%) solo por detrás de la educación universitaria (99.9%). Por su parte, el sector de salud y asistencia social cuenta con una ejecución de 90.3%, la finalidad de protección ambiental relacionada a la ordenación de desechos, aguas residuales y reducción de la contaminación, se ubica en un nivel de 85.5% y la finalidad de salud relacionada a los servicios hospitalarios, para pacientes externos y la salud pública en general, reportó un nivel de 91.3%.</w:t>
      </w:r>
    </w:p>
    <w:p w:rsidR="00DD5841" w:rsidRDefault="00DD5841" w:rsidP="00DD5841">
      <w:pPr>
        <w:jc w:val="both"/>
        <w:rPr>
          <w:rFonts w:ascii="Times New Roman" w:hAnsi="Times New Roman" w:cs="Times New Roman"/>
          <w:lang w:val="es-MX"/>
        </w:rPr>
      </w:pPr>
    </w:p>
    <w:p w:rsidR="00DD5841" w:rsidRPr="00CB0608" w:rsidRDefault="00DD5841" w:rsidP="00DD5841">
      <w:pPr>
        <w:pStyle w:val="Sinespaciado"/>
        <w:jc w:val="both"/>
        <w:rPr>
          <w:rFonts w:ascii="Times New Roman" w:eastAsiaTheme="minorEastAsia" w:hAnsi="Times New Roman" w:cs="Times New Roman"/>
          <w:sz w:val="24"/>
          <w:szCs w:val="24"/>
          <w:lang w:val="es-MX" w:eastAsia="es-ES"/>
        </w:rPr>
      </w:pPr>
      <w:r w:rsidRPr="00CB0608">
        <w:rPr>
          <w:rFonts w:ascii="Times New Roman" w:eastAsiaTheme="minorEastAsia" w:hAnsi="Times New Roman" w:cs="Times New Roman"/>
          <w:sz w:val="24"/>
          <w:szCs w:val="24"/>
          <w:lang w:val="es-MX" w:eastAsia="es-ES"/>
        </w:rPr>
        <w:t xml:space="preserve">Al observar el gasto de los Acuerdos de Paz (gasto social incluye seguridad ciudadana, persecución penal y justicia) el gasto social aumenta a Q37,873.4 millones, con un grado de ejecución de 94.4%. Las transferencias corrientes y de capital a las entidades como el Ministerio Público, Organismo Judicial y la Corte de Constitucionalidad se realizaron de forma oportuna y de esta cuenta, los aportes se ejecutaron en su totalidad, siendo estas instituciones las que reportan los mayores niveles de ejecución dentro del gasto social. Por su parte, el sector de seguridad interna muestra un menor desempeño en el uso de su asignación presupuestaria con 92.9% de ejecución, los servicios de policía y seguridad ciudadana, asuntos penitenciarios, asuntos migratorios, investigación y desarrollo relacionados con el orden público y seguridad ciudadana reportan niveles de ejecución superiores al 80%, mientras que los servicios de prevención y control de incendios, y servicios de rescate y auxilio tuvieron una ejecución bastante menor con 54.0% respecto a su asignación. </w:t>
      </w:r>
    </w:p>
    <w:p w:rsidR="00DD5841" w:rsidRPr="00CB0608" w:rsidRDefault="00DD5841" w:rsidP="00DD5841">
      <w:pPr>
        <w:pStyle w:val="Sinespaciado"/>
        <w:jc w:val="both"/>
        <w:rPr>
          <w:rFonts w:ascii="Times New Roman" w:eastAsiaTheme="minorEastAsia" w:hAnsi="Times New Roman" w:cs="Times New Roman"/>
          <w:sz w:val="24"/>
          <w:szCs w:val="24"/>
          <w:lang w:val="es-MX" w:eastAsia="es-ES"/>
        </w:rPr>
      </w:pPr>
    </w:p>
    <w:p w:rsidR="00364844" w:rsidRDefault="00DD5841" w:rsidP="00DD5841">
      <w:pPr>
        <w:jc w:val="both"/>
        <w:rPr>
          <w:rFonts w:ascii="Times New Roman" w:hAnsi="Times New Roman" w:cs="Times New Roman"/>
          <w:lang w:val="es-MX"/>
        </w:rPr>
      </w:pPr>
      <w:r w:rsidRPr="00CB0608">
        <w:rPr>
          <w:rFonts w:ascii="Times New Roman" w:hAnsi="Times New Roman" w:cs="Times New Roman"/>
          <w:lang w:val="es-MX"/>
        </w:rPr>
        <w:t>Al realizar un análisis comparativo del gasto social respecto a lo observado en años previos, se observa que la ejecución ha venido creciendo de forma sostenida, diciembre 2018 reporto un crecimiento interanual de 9.3%, mientras que el año previo fue de 6.6%, el crecimiento reportado es el más alto desde 2010, cuando el mismo se ubicó en 14.3%.</w:t>
      </w:r>
    </w:p>
    <w:p w:rsidR="00DD5841" w:rsidRDefault="00DD5841" w:rsidP="00DD5841">
      <w:pPr>
        <w:jc w:val="both"/>
        <w:rPr>
          <w:rFonts w:ascii="Times New Roman" w:hAnsi="Times New Roman" w:cs="Times New Roman"/>
          <w:lang w:val="es-MX"/>
        </w:rPr>
      </w:pPr>
    </w:p>
    <w:p w:rsidR="005460B1" w:rsidRDefault="005460B1">
      <w:pPr>
        <w:spacing w:after="200" w:line="276" w:lineRule="auto"/>
        <w:rPr>
          <w:rFonts w:ascii="Times New Roman" w:eastAsiaTheme="minorHAnsi" w:hAnsi="Times New Roman" w:cs="Times New Roman"/>
          <w:b/>
          <w:szCs w:val="22"/>
          <w:lang w:val="es-MX" w:eastAsia="en-US"/>
        </w:rPr>
      </w:pPr>
      <w:r>
        <w:rPr>
          <w:rFonts w:ascii="Times New Roman" w:hAnsi="Times New Roman" w:cs="Times New Roman"/>
          <w:b/>
          <w:lang w:val="es-MX"/>
        </w:rPr>
        <w:br w:type="page"/>
      </w:r>
    </w:p>
    <w:p w:rsidR="00364844" w:rsidRPr="00DD5841" w:rsidRDefault="00364844" w:rsidP="00364844">
      <w:pPr>
        <w:pStyle w:val="Sinespaciado"/>
        <w:jc w:val="center"/>
        <w:rPr>
          <w:rFonts w:ascii="Times New Roman" w:hAnsi="Times New Roman" w:cs="Times New Roman"/>
          <w:b/>
          <w:sz w:val="24"/>
          <w:lang w:val="es-MX"/>
        </w:rPr>
      </w:pPr>
      <w:r w:rsidRPr="00DD5841">
        <w:rPr>
          <w:rFonts w:ascii="Times New Roman" w:hAnsi="Times New Roman" w:cs="Times New Roman"/>
          <w:b/>
          <w:sz w:val="24"/>
          <w:lang w:val="es-MX"/>
        </w:rPr>
        <w:lastRenderedPageBreak/>
        <w:t>Gasto de los Acuerdos de Paz</w:t>
      </w:r>
    </w:p>
    <w:p w:rsidR="00364844" w:rsidRPr="00DD5841" w:rsidRDefault="00DD5841" w:rsidP="00364844">
      <w:pPr>
        <w:pStyle w:val="Sinespaciado"/>
        <w:jc w:val="center"/>
        <w:rPr>
          <w:rFonts w:ascii="Times New Roman" w:hAnsi="Times New Roman" w:cs="Times New Roman"/>
          <w:sz w:val="18"/>
          <w:lang w:val="es-MX"/>
        </w:rPr>
      </w:pPr>
      <w:r w:rsidRPr="00DD5841">
        <w:rPr>
          <w:rFonts w:ascii="Times New Roman" w:hAnsi="Times New Roman" w:cs="Times New Roman"/>
          <w:sz w:val="18"/>
          <w:lang w:val="es-MX"/>
        </w:rPr>
        <w:t>Ejecución a diciembre 2016-2018</w:t>
      </w:r>
    </w:p>
    <w:p w:rsidR="00364844" w:rsidRPr="00DD5841" w:rsidRDefault="00DD5841" w:rsidP="00364844">
      <w:pPr>
        <w:pStyle w:val="Sinespaciado"/>
        <w:jc w:val="center"/>
        <w:rPr>
          <w:rFonts w:ascii="Times New Roman" w:hAnsi="Times New Roman" w:cs="Times New Roman"/>
          <w:sz w:val="18"/>
          <w:lang w:val="es-MX"/>
        </w:rPr>
      </w:pPr>
      <w:r w:rsidRPr="00DD5841">
        <w:rPr>
          <w:rFonts w:ascii="Times New Roman" w:hAnsi="Times New Roman" w:cs="Times New Roman"/>
          <w:sz w:val="18"/>
          <w:lang w:val="es-MX"/>
        </w:rPr>
        <w:t>Millones de quetzales y p</w:t>
      </w:r>
      <w:r w:rsidR="00364844" w:rsidRPr="00DD5841">
        <w:rPr>
          <w:rFonts w:ascii="Times New Roman" w:hAnsi="Times New Roman" w:cs="Times New Roman"/>
          <w:sz w:val="18"/>
          <w:lang w:val="es-MX"/>
        </w:rPr>
        <w:t>orcentajes</w:t>
      </w:r>
    </w:p>
    <w:p w:rsidR="00DD5841" w:rsidRPr="00DD5841" w:rsidRDefault="00DD5841" w:rsidP="00364844">
      <w:pPr>
        <w:pStyle w:val="Sinespaciado"/>
        <w:jc w:val="center"/>
        <w:rPr>
          <w:rFonts w:ascii="Times New Roman" w:hAnsi="Times New Roman" w:cs="Times New Roman"/>
          <w:sz w:val="18"/>
          <w:lang w:val="es-MX"/>
        </w:rPr>
      </w:pPr>
      <w:r w:rsidRPr="00DD5841">
        <w:rPr>
          <w:noProof/>
          <w:lang w:eastAsia="es-GT"/>
        </w:rPr>
        <w:drawing>
          <wp:anchor distT="0" distB="0" distL="114300" distR="114300" simplePos="0" relativeHeight="251659264" behindDoc="0" locked="0" layoutInCell="1" allowOverlap="1" wp14:anchorId="36AC513B" wp14:editId="0BB5118A">
            <wp:simplePos x="0" y="0"/>
            <wp:positionH relativeFrom="margin">
              <wp:posOffset>818984</wp:posOffset>
            </wp:positionH>
            <wp:positionV relativeFrom="paragraph">
              <wp:posOffset>67310</wp:posOffset>
            </wp:positionV>
            <wp:extent cx="4381500" cy="2562225"/>
            <wp:effectExtent l="0" t="0" r="0" b="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DD5841" w:rsidRPr="00DD5841" w:rsidRDefault="00DD5841" w:rsidP="00364844">
      <w:pPr>
        <w:rPr>
          <w:rFonts w:ascii="Times New Roman" w:hAnsi="Times New Roman" w:cs="Times New Roman"/>
          <w:sz w:val="16"/>
          <w:lang w:val="es-MX"/>
        </w:rPr>
      </w:pPr>
    </w:p>
    <w:p w:rsidR="00DD5841" w:rsidRPr="00DD5841" w:rsidRDefault="00DD5841" w:rsidP="00364844">
      <w:pPr>
        <w:rPr>
          <w:rFonts w:ascii="Times New Roman" w:hAnsi="Times New Roman" w:cs="Times New Roman"/>
          <w:sz w:val="16"/>
          <w:lang w:val="es-MX"/>
        </w:rPr>
      </w:pPr>
    </w:p>
    <w:p w:rsidR="00DD5841" w:rsidRPr="00DD5841" w:rsidRDefault="00DD5841" w:rsidP="00364844">
      <w:pPr>
        <w:rPr>
          <w:rFonts w:ascii="Times New Roman" w:hAnsi="Times New Roman" w:cs="Times New Roman"/>
          <w:sz w:val="16"/>
          <w:lang w:val="es-MX"/>
        </w:rPr>
      </w:pPr>
    </w:p>
    <w:p w:rsidR="00DD5841" w:rsidRPr="00DD5841" w:rsidRDefault="00DD5841" w:rsidP="00364844">
      <w:pPr>
        <w:rPr>
          <w:rFonts w:ascii="Times New Roman" w:hAnsi="Times New Roman" w:cs="Times New Roman"/>
          <w:sz w:val="16"/>
          <w:lang w:val="es-MX"/>
        </w:rPr>
      </w:pPr>
    </w:p>
    <w:p w:rsidR="00DD5841" w:rsidRPr="00DD5841" w:rsidRDefault="00DD5841" w:rsidP="00364844">
      <w:pPr>
        <w:rPr>
          <w:rFonts w:ascii="Times New Roman" w:hAnsi="Times New Roman" w:cs="Times New Roman"/>
          <w:sz w:val="16"/>
          <w:lang w:val="es-MX"/>
        </w:rPr>
      </w:pPr>
    </w:p>
    <w:p w:rsidR="00DD5841" w:rsidRPr="00DD5841" w:rsidRDefault="00DD5841" w:rsidP="00364844">
      <w:pPr>
        <w:rPr>
          <w:rFonts w:ascii="Times New Roman" w:hAnsi="Times New Roman" w:cs="Times New Roman"/>
          <w:sz w:val="16"/>
          <w:lang w:val="es-MX"/>
        </w:rPr>
      </w:pPr>
    </w:p>
    <w:p w:rsidR="00DD5841" w:rsidRPr="00DD5841" w:rsidRDefault="00DD5841" w:rsidP="00364844">
      <w:pPr>
        <w:rPr>
          <w:rFonts w:ascii="Times New Roman" w:hAnsi="Times New Roman" w:cs="Times New Roman"/>
          <w:sz w:val="16"/>
          <w:lang w:val="es-MX"/>
        </w:rPr>
      </w:pPr>
    </w:p>
    <w:p w:rsidR="00DD5841" w:rsidRPr="00DD5841" w:rsidRDefault="00DD5841" w:rsidP="00364844">
      <w:pPr>
        <w:rPr>
          <w:rFonts w:ascii="Times New Roman" w:hAnsi="Times New Roman" w:cs="Times New Roman"/>
          <w:sz w:val="16"/>
          <w:lang w:val="es-MX"/>
        </w:rPr>
      </w:pPr>
    </w:p>
    <w:p w:rsidR="00DD5841" w:rsidRPr="00DD5841" w:rsidRDefault="00DD5841" w:rsidP="00364844">
      <w:pPr>
        <w:rPr>
          <w:rFonts w:ascii="Times New Roman" w:hAnsi="Times New Roman" w:cs="Times New Roman"/>
          <w:sz w:val="16"/>
          <w:lang w:val="es-MX"/>
        </w:rPr>
      </w:pPr>
    </w:p>
    <w:p w:rsidR="00DD5841" w:rsidRPr="00DD5841" w:rsidRDefault="00DD5841" w:rsidP="00364844">
      <w:pPr>
        <w:rPr>
          <w:rFonts w:ascii="Times New Roman" w:hAnsi="Times New Roman" w:cs="Times New Roman"/>
          <w:sz w:val="16"/>
          <w:lang w:val="es-MX"/>
        </w:rPr>
      </w:pPr>
    </w:p>
    <w:p w:rsidR="00DD5841" w:rsidRPr="00DD5841" w:rsidRDefault="00DD5841" w:rsidP="00364844">
      <w:pPr>
        <w:rPr>
          <w:rFonts w:ascii="Times New Roman" w:hAnsi="Times New Roman" w:cs="Times New Roman"/>
          <w:sz w:val="16"/>
          <w:lang w:val="es-MX"/>
        </w:rPr>
      </w:pPr>
    </w:p>
    <w:p w:rsidR="00DD5841" w:rsidRPr="00DD5841" w:rsidRDefault="00DD5841" w:rsidP="00364844">
      <w:pPr>
        <w:rPr>
          <w:rFonts w:ascii="Times New Roman" w:hAnsi="Times New Roman" w:cs="Times New Roman"/>
          <w:sz w:val="16"/>
          <w:lang w:val="es-MX"/>
        </w:rPr>
      </w:pPr>
    </w:p>
    <w:p w:rsidR="00DD5841" w:rsidRPr="00DD5841" w:rsidRDefault="00DD5841" w:rsidP="00364844">
      <w:pPr>
        <w:rPr>
          <w:rFonts w:ascii="Times New Roman" w:hAnsi="Times New Roman" w:cs="Times New Roman"/>
          <w:sz w:val="16"/>
          <w:lang w:val="es-MX"/>
        </w:rPr>
      </w:pPr>
    </w:p>
    <w:p w:rsidR="00DD5841" w:rsidRPr="00DD5841" w:rsidRDefault="00DD5841" w:rsidP="00364844">
      <w:pPr>
        <w:rPr>
          <w:rFonts w:ascii="Times New Roman" w:hAnsi="Times New Roman" w:cs="Times New Roman"/>
          <w:sz w:val="16"/>
          <w:lang w:val="es-MX"/>
        </w:rPr>
      </w:pPr>
    </w:p>
    <w:p w:rsidR="00DD5841" w:rsidRPr="00DD5841" w:rsidRDefault="00DD5841" w:rsidP="00364844">
      <w:pPr>
        <w:rPr>
          <w:rFonts w:ascii="Times New Roman" w:hAnsi="Times New Roman" w:cs="Times New Roman"/>
          <w:sz w:val="16"/>
          <w:lang w:val="es-MX"/>
        </w:rPr>
      </w:pPr>
    </w:p>
    <w:p w:rsidR="00DD5841" w:rsidRPr="00DD5841" w:rsidRDefault="00DD5841" w:rsidP="00364844">
      <w:pPr>
        <w:rPr>
          <w:rFonts w:ascii="Times New Roman" w:hAnsi="Times New Roman" w:cs="Times New Roman"/>
          <w:sz w:val="16"/>
          <w:lang w:val="es-MX"/>
        </w:rPr>
      </w:pPr>
    </w:p>
    <w:p w:rsidR="00DD5841" w:rsidRPr="00DD5841" w:rsidRDefault="00DD5841" w:rsidP="00364844">
      <w:pPr>
        <w:rPr>
          <w:rFonts w:ascii="Times New Roman" w:hAnsi="Times New Roman" w:cs="Times New Roman"/>
          <w:sz w:val="16"/>
          <w:lang w:val="es-MX"/>
        </w:rPr>
      </w:pPr>
    </w:p>
    <w:p w:rsidR="00DD5841" w:rsidRPr="00DD5841" w:rsidRDefault="00DD5841" w:rsidP="00364844">
      <w:pPr>
        <w:rPr>
          <w:rFonts w:ascii="Times New Roman" w:hAnsi="Times New Roman" w:cs="Times New Roman"/>
          <w:sz w:val="16"/>
          <w:lang w:val="es-MX"/>
        </w:rPr>
      </w:pPr>
    </w:p>
    <w:p w:rsidR="00DD5841" w:rsidRPr="00DD5841" w:rsidRDefault="00DD5841" w:rsidP="00364844">
      <w:pPr>
        <w:rPr>
          <w:rFonts w:ascii="Times New Roman" w:hAnsi="Times New Roman" w:cs="Times New Roman"/>
          <w:sz w:val="16"/>
          <w:lang w:val="es-MX"/>
        </w:rPr>
      </w:pPr>
    </w:p>
    <w:p w:rsidR="00DD5841" w:rsidRPr="00DD5841" w:rsidRDefault="00DD5841" w:rsidP="00364844">
      <w:pPr>
        <w:rPr>
          <w:rFonts w:ascii="Times New Roman" w:hAnsi="Times New Roman" w:cs="Times New Roman"/>
          <w:sz w:val="16"/>
          <w:lang w:val="es-MX"/>
        </w:rPr>
      </w:pPr>
    </w:p>
    <w:p w:rsidR="00DD5841" w:rsidRPr="00DD5841" w:rsidRDefault="00DD5841" w:rsidP="00364844">
      <w:pPr>
        <w:rPr>
          <w:rFonts w:ascii="Times New Roman" w:hAnsi="Times New Roman" w:cs="Times New Roman"/>
          <w:sz w:val="16"/>
          <w:lang w:val="es-MX"/>
        </w:rPr>
      </w:pPr>
    </w:p>
    <w:p w:rsidR="00DD5841" w:rsidRPr="00DD5841" w:rsidRDefault="00DD5841" w:rsidP="00364844">
      <w:pPr>
        <w:rPr>
          <w:rFonts w:ascii="Times New Roman" w:hAnsi="Times New Roman" w:cs="Times New Roman"/>
          <w:sz w:val="16"/>
          <w:lang w:val="es-MX"/>
        </w:rPr>
      </w:pPr>
    </w:p>
    <w:p w:rsidR="00DD5841" w:rsidRPr="00DD5841" w:rsidRDefault="00DD5841" w:rsidP="00DD5841">
      <w:pPr>
        <w:ind w:left="708" w:firstLine="708"/>
        <w:rPr>
          <w:rFonts w:ascii="Times New Roman" w:hAnsi="Times New Roman" w:cs="Times New Roman"/>
          <w:sz w:val="16"/>
          <w:lang w:val="es-MX"/>
        </w:rPr>
      </w:pPr>
      <w:r w:rsidRPr="00DD5841">
        <w:rPr>
          <w:rFonts w:ascii="Times New Roman" w:hAnsi="Times New Roman" w:cs="Times New Roman"/>
          <w:sz w:val="16"/>
          <w:lang w:val="es-MX"/>
        </w:rPr>
        <w:t>Nota: cifras preliminares</w:t>
      </w:r>
    </w:p>
    <w:p w:rsidR="00364844" w:rsidRPr="00DD5841" w:rsidRDefault="00364844" w:rsidP="00DD5841">
      <w:pPr>
        <w:ind w:left="708" w:firstLine="708"/>
        <w:rPr>
          <w:rFonts w:ascii="Times New Roman" w:hAnsi="Times New Roman" w:cs="Times New Roman"/>
          <w:lang w:val="es-MX"/>
        </w:rPr>
      </w:pPr>
      <w:r w:rsidRPr="00DD5841">
        <w:rPr>
          <w:rFonts w:ascii="Times New Roman" w:hAnsi="Times New Roman" w:cs="Times New Roman"/>
          <w:sz w:val="16"/>
          <w:lang w:val="es-MX"/>
        </w:rPr>
        <w:t>Fuente: Dirección de Análisis y Política Fiscal</w:t>
      </w:r>
    </w:p>
    <w:p w:rsidR="00724C04" w:rsidRDefault="00724C04" w:rsidP="00364844">
      <w:pPr>
        <w:pStyle w:val="Sinespaciado"/>
        <w:jc w:val="both"/>
        <w:rPr>
          <w:rFonts w:ascii="Times New Roman" w:eastAsiaTheme="minorEastAsia" w:hAnsi="Times New Roman" w:cs="Times New Roman"/>
          <w:sz w:val="24"/>
          <w:szCs w:val="24"/>
          <w:lang w:val="es-MX" w:eastAsia="es-ES"/>
        </w:rPr>
      </w:pPr>
    </w:p>
    <w:p w:rsidR="00364844" w:rsidRDefault="00724C04" w:rsidP="00364844">
      <w:pPr>
        <w:pStyle w:val="Sinespaciado"/>
        <w:jc w:val="both"/>
        <w:rPr>
          <w:rFonts w:ascii="Times New Roman" w:eastAsiaTheme="minorEastAsia" w:hAnsi="Times New Roman" w:cs="Times New Roman"/>
          <w:sz w:val="24"/>
          <w:szCs w:val="24"/>
          <w:lang w:val="es-MX" w:eastAsia="es-ES"/>
        </w:rPr>
      </w:pPr>
      <w:r w:rsidRPr="00CB0608">
        <w:rPr>
          <w:rFonts w:ascii="Times New Roman" w:eastAsiaTheme="minorEastAsia" w:hAnsi="Times New Roman" w:cs="Times New Roman"/>
          <w:sz w:val="24"/>
          <w:szCs w:val="24"/>
          <w:lang w:val="es-MX" w:eastAsia="es-ES"/>
        </w:rPr>
        <w:t>Al analizar el gasto social por sector, se observa que todos reportaron crecimientos interanuales positivos, siendo los aportes del Organismo Judicial, la Corte de Constitucionalidad y el Ministerio Público los que reportaron el menor crecimiento con 2.0% y 3.2%, respectivamente. Por su parte, el sector educación, ciencia y cultura encabeza la mayor ejecución con respecto al año 2017, con un crecimiento de 11.1%, seguido por la seguridad interna 10.1%, el sector salud 8.9% y el sector vivienda 5.3%.</w:t>
      </w:r>
    </w:p>
    <w:p w:rsidR="00724C04" w:rsidRDefault="00724C04" w:rsidP="00364844">
      <w:pPr>
        <w:pStyle w:val="Sinespaciado"/>
        <w:jc w:val="both"/>
        <w:rPr>
          <w:rFonts w:ascii="Times New Roman" w:eastAsiaTheme="minorEastAsia" w:hAnsi="Times New Roman" w:cs="Times New Roman"/>
          <w:sz w:val="24"/>
          <w:szCs w:val="24"/>
          <w:lang w:val="es-MX" w:eastAsia="es-ES"/>
        </w:rPr>
      </w:pPr>
    </w:p>
    <w:p w:rsidR="00724C04" w:rsidRPr="004E4449" w:rsidRDefault="00724C04" w:rsidP="00724C04">
      <w:pPr>
        <w:pStyle w:val="Sinespaciado"/>
        <w:jc w:val="center"/>
        <w:rPr>
          <w:rFonts w:ascii="Times New Roman" w:eastAsiaTheme="minorEastAsia" w:hAnsi="Times New Roman" w:cs="Times New Roman"/>
          <w:b/>
          <w:sz w:val="24"/>
          <w:szCs w:val="24"/>
          <w:lang w:val="es-MX" w:eastAsia="es-ES"/>
        </w:rPr>
      </w:pPr>
      <w:r w:rsidRPr="004E4449">
        <w:rPr>
          <w:rFonts w:ascii="Times New Roman" w:eastAsiaTheme="minorEastAsia" w:hAnsi="Times New Roman" w:cs="Times New Roman"/>
          <w:b/>
          <w:sz w:val="24"/>
          <w:szCs w:val="24"/>
          <w:lang w:val="es-MX" w:eastAsia="es-ES"/>
        </w:rPr>
        <w:t>Gasto de los Acuerdos de Paz</w:t>
      </w:r>
    </w:p>
    <w:p w:rsidR="00724C04" w:rsidRPr="00724C04" w:rsidRDefault="00724C04" w:rsidP="00724C04">
      <w:pPr>
        <w:pStyle w:val="Sinespaciado"/>
        <w:jc w:val="center"/>
        <w:rPr>
          <w:rFonts w:ascii="Times New Roman" w:eastAsiaTheme="minorEastAsia" w:hAnsi="Times New Roman" w:cs="Times New Roman"/>
          <w:sz w:val="18"/>
          <w:szCs w:val="24"/>
          <w:lang w:val="es-MX" w:eastAsia="es-ES"/>
        </w:rPr>
      </w:pPr>
      <w:r w:rsidRPr="00724C04">
        <w:rPr>
          <w:rFonts w:ascii="Times New Roman" w:eastAsiaTheme="minorEastAsia" w:hAnsi="Times New Roman" w:cs="Times New Roman"/>
          <w:sz w:val="18"/>
          <w:szCs w:val="24"/>
          <w:lang w:val="es-MX" w:eastAsia="es-ES"/>
        </w:rPr>
        <w:t>Ejecución a diciembre 2017-2018</w:t>
      </w:r>
    </w:p>
    <w:p w:rsidR="00724C04" w:rsidRPr="00724C04" w:rsidRDefault="00724C04" w:rsidP="00724C04">
      <w:pPr>
        <w:pStyle w:val="Sinespaciado"/>
        <w:jc w:val="center"/>
        <w:rPr>
          <w:rFonts w:ascii="Times New Roman" w:eastAsiaTheme="minorEastAsia" w:hAnsi="Times New Roman" w:cs="Times New Roman"/>
          <w:sz w:val="18"/>
          <w:szCs w:val="24"/>
          <w:lang w:val="es-MX" w:eastAsia="es-ES"/>
        </w:rPr>
      </w:pPr>
      <w:r w:rsidRPr="00724C04">
        <w:rPr>
          <w:rFonts w:ascii="Times New Roman" w:eastAsiaTheme="minorEastAsia" w:hAnsi="Times New Roman" w:cs="Times New Roman"/>
          <w:sz w:val="18"/>
          <w:szCs w:val="24"/>
          <w:lang w:val="es-MX" w:eastAsia="es-ES"/>
        </w:rPr>
        <w:t>-Millones de quetzales y en porcentajes-</w:t>
      </w:r>
    </w:p>
    <w:p w:rsidR="00724C04" w:rsidRDefault="00724C04" w:rsidP="00724C04">
      <w:pPr>
        <w:pStyle w:val="Sinespaciado"/>
        <w:jc w:val="both"/>
        <w:rPr>
          <w:rFonts w:ascii="Times New Roman" w:eastAsiaTheme="minorEastAsia" w:hAnsi="Times New Roman" w:cs="Times New Roman"/>
          <w:sz w:val="24"/>
          <w:szCs w:val="24"/>
          <w:lang w:val="es-MX" w:eastAsia="es-ES"/>
        </w:rPr>
      </w:pPr>
      <w:r w:rsidRPr="00BF38E6">
        <w:rPr>
          <w:noProof/>
          <w:lang w:eastAsia="es-GT"/>
        </w:rPr>
        <w:drawing>
          <wp:anchor distT="0" distB="0" distL="114300" distR="114300" simplePos="0" relativeHeight="251661312" behindDoc="0" locked="0" layoutInCell="1" allowOverlap="1" wp14:anchorId="3C6E8B16" wp14:editId="77DAAE6B">
            <wp:simplePos x="0" y="0"/>
            <wp:positionH relativeFrom="margin">
              <wp:align>center</wp:align>
            </wp:positionH>
            <wp:positionV relativeFrom="paragraph">
              <wp:posOffset>151765</wp:posOffset>
            </wp:positionV>
            <wp:extent cx="4378960" cy="2080895"/>
            <wp:effectExtent l="0" t="0" r="254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8960" cy="208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4C04" w:rsidRDefault="00724C04" w:rsidP="00724C04">
      <w:pPr>
        <w:pStyle w:val="Sinespaciado"/>
        <w:jc w:val="both"/>
        <w:rPr>
          <w:rFonts w:ascii="Times New Roman" w:eastAsiaTheme="minorEastAsia" w:hAnsi="Times New Roman" w:cs="Times New Roman"/>
          <w:sz w:val="24"/>
          <w:szCs w:val="24"/>
          <w:lang w:val="es-MX" w:eastAsia="es-ES"/>
        </w:rPr>
      </w:pPr>
    </w:p>
    <w:p w:rsidR="00724C04" w:rsidRPr="00CB0608" w:rsidRDefault="00724C04" w:rsidP="00724C04">
      <w:pPr>
        <w:pStyle w:val="Sinespaciado"/>
        <w:jc w:val="both"/>
        <w:rPr>
          <w:rFonts w:ascii="Times New Roman" w:eastAsiaTheme="minorEastAsia" w:hAnsi="Times New Roman" w:cs="Times New Roman"/>
          <w:sz w:val="24"/>
          <w:szCs w:val="24"/>
          <w:lang w:val="es-MX" w:eastAsia="es-ES"/>
        </w:rPr>
      </w:pPr>
    </w:p>
    <w:p w:rsidR="00724C04" w:rsidRPr="00CB0608" w:rsidRDefault="00724C04" w:rsidP="00724C04">
      <w:pPr>
        <w:pStyle w:val="Sinespaciado"/>
        <w:jc w:val="both"/>
        <w:rPr>
          <w:rFonts w:ascii="Times New Roman" w:eastAsiaTheme="minorEastAsia" w:hAnsi="Times New Roman" w:cs="Times New Roman"/>
          <w:sz w:val="24"/>
          <w:szCs w:val="24"/>
          <w:lang w:val="es-MX" w:eastAsia="es-ES"/>
        </w:rPr>
      </w:pPr>
    </w:p>
    <w:p w:rsidR="00724C04" w:rsidRPr="00CB0608" w:rsidRDefault="00724C04" w:rsidP="00724C04">
      <w:pPr>
        <w:pStyle w:val="Sinespaciado"/>
        <w:jc w:val="both"/>
        <w:rPr>
          <w:rFonts w:ascii="Times New Roman" w:eastAsiaTheme="minorEastAsia" w:hAnsi="Times New Roman" w:cs="Times New Roman"/>
          <w:sz w:val="24"/>
          <w:szCs w:val="24"/>
          <w:lang w:val="es-MX" w:eastAsia="es-ES"/>
        </w:rPr>
      </w:pPr>
    </w:p>
    <w:p w:rsidR="00724C04" w:rsidRPr="00CB0608" w:rsidRDefault="00724C04" w:rsidP="00724C04">
      <w:pPr>
        <w:pStyle w:val="Sinespaciado"/>
        <w:jc w:val="both"/>
        <w:rPr>
          <w:rFonts w:ascii="Times New Roman" w:eastAsiaTheme="minorEastAsia" w:hAnsi="Times New Roman" w:cs="Times New Roman"/>
          <w:sz w:val="24"/>
          <w:szCs w:val="24"/>
          <w:lang w:val="es-MX" w:eastAsia="es-ES"/>
        </w:rPr>
      </w:pPr>
    </w:p>
    <w:p w:rsidR="00724C04" w:rsidRPr="00CB0608" w:rsidRDefault="00724C04" w:rsidP="00724C04">
      <w:pPr>
        <w:pStyle w:val="Sinespaciado"/>
        <w:jc w:val="both"/>
        <w:rPr>
          <w:rFonts w:ascii="Times New Roman" w:eastAsiaTheme="minorEastAsia" w:hAnsi="Times New Roman" w:cs="Times New Roman"/>
          <w:sz w:val="24"/>
          <w:szCs w:val="24"/>
          <w:lang w:val="es-MX" w:eastAsia="es-ES"/>
        </w:rPr>
      </w:pPr>
    </w:p>
    <w:p w:rsidR="00724C04" w:rsidRPr="00CB0608" w:rsidRDefault="00724C04" w:rsidP="00724C04">
      <w:pPr>
        <w:pStyle w:val="Sinespaciado"/>
        <w:jc w:val="both"/>
        <w:rPr>
          <w:rFonts w:ascii="Times New Roman" w:eastAsiaTheme="minorEastAsia" w:hAnsi="Times New Roman" w:cs="Times New Roman"/>
          <w:sz w:val="24"/>
          <w:szCs w:val="24"/>
          <w:lang w:val="es-MX" w:eastAsia="es-ES"/>
        </w:rPr>
      </w:pPr>
    </w:p>
    <w:p w:rsidR="00724C04" w:rsidRDefault="00724C04" w:rsidP="00724C04">
      <w:pPr>
        <w:pStyle w:val="Sinespaciado"/>
        <w:jc w:val="both"/>
        <w:rPr>
          <w:rFonts w:ascii="Times New Roman" w:eastAsiaTheme="minorEastAsia" w:hAnsi="Times New Roman" w:cs="Times New Roman"/>
          <w:sz w:val="24"/>
          <w:szCs w:val="24"/>
          <w:lang w:val="es-MX" w:eastAsia="es-ES"/>
        </w:rPr>
      </w:pPr>
    </w:p>
    <w:p w:rsidR="00724C04" w:rsidRDefault="00724C04" w:rsidP="00724C04">
      <w:pPr>
        <w:pStyle w:val="Sinespaciado"/>
        <w:jc w:val="both"/>
        <w:rPr>
          <w:rFonts w:ascii="Times New Roman" w:eastAsiaTheme="minorEastAsia" w:hAnsi="Times New Roman" w:cs="Times New Roman"/>
          <w:sz w:val="24"/>
          <w:szCs w:val="24"/>
          <w:lang w:val="es-MX" w:eastAsia="es-ES"/>
        </w:rPr>
      </w:pPr>
    </w:p>
    <w:p w:rsidR="00724C04" w:rsidRPr="00CB0608" w:rsidRDefault="00724C04" w:rsidP="00724C04">
      <w:pPr>
        <w:pStyle w:val="Sinespaciado"/>
        <w:jc w:val="both"/>
        <w:rPr>
          <w:rFonts w:ascii="Times New Roman" w:eastAsiaTheme="minorEastAsia" w:hAnsi="Times New Roman" w:cs="Times New Roman"/>
          <w:sz w:val="24"/>
          <w:szCs w:val="24"/>
          <w:lang w:val="es-MX" w:eastAsia="es-ES"/>
        </w:rPr>
      </w:pPr>
    </w:p>
    <w:p w:rsidR="00724C04" w:rsidRPr="00CB0608" w:rsidRDefault="00724C04" w:rsidP="00724C04">
      <w:pPr>
        <w:pStyle w:val="Sinespaciado"/>
        <w:jc w:val="both"/>
        <w:rPr>
          <w:rFonts w:ascii="Times New Roman" w:eastAsiaTheme="minorEastAsia" w:hAnsi="Times New Roman" w:cs="Times New Roman"/>
          <w:sz w:val="24"/>
          <w:szCs w:val="24"/>
          <w:lang w:val="es-MX" w:eastAsia="es-ES"/>
        </w:rPr>
      </w:pPr>
    </w:p>
    <w:p w:rsidR="00724C04" w:rsidRPr="00CB0608" w:rsidRDefault="00724C04" w:rsidP="00724C04">
      <w:pPr>
        <w:pStyle w:val="Sinespaciado"/>
        <w:jc w:val="both"/>
        <w:rPr>
          <w:rFonts w:ascii="Times New Roman" w:eastAsiaTheme="minorEastAsia" w:hAnsi="Times New Roman" w:cs="Times New Roman"/>
          <w:sz w:val="24"/>
          <w:szCs w:val="24"/>
          <w:lang w:val="es-MX" w:eastAsia="es-ES"/>
        </w:rPr>
      </w:pPr>
    </w:p>
    <w:p w:rsidR="00724C04" w:rsidRPr="00724C04" w:rsidRDefault="00724C04" w:rsidP="00724C04">
      <w:pPr>
        <w:pStyle w:val="Sinespaciado"/>
        <w:ind w:left="1416"/>
        <w:jc w:val="both"/>
        <w:rPr>
          <w:rFonts w:ascii="Times New Roman" w:hAnsi="Times New Roman" w:cs="Times New Roman"/>
          <w:sz w:val="16"/>
          <w:lang w:val="es-MX"/>
        </w:rPr>
      </w:pPr>
      <w:r w:rsidRPr="00724C04">
        <w:rPr>
          <w:rFonts w:ascii="Times New Roman" w:hAnsi="Times New Roman" w:cs="Times New Roman"/>
          <w:sz w:val="16"/>
          <w:lang w:val="es-MX"/>
        </w:rPr>
        <w:t>Nota Cifras preliminares</w:t>
      </w:r>
    </w:p>
    <w:p w:rsidR="00724C04" w:rsidRPr="00724C04" w:rsidRDefault="00724C04" w:rsidP="00724C04">
      <w:pPr>
        <w:pStyle w:val="Sinespaciado"/>
        <w:ind w:left="1416"/>
        <w:jc w:val="both"/>
        <w:rPr>
          <w:rFonts w:ascii="Times New Roman" w:hAnsi="Times New Roman" w:cs="Times New Roman"/>
          <w:sz w:val="16"/>
          <w:lang w:val="es-MX"/>
        </w:rPr>
      </w:pPr>
      <w:r w:rsidRPr="00724C04">
        <w:rPr>
          <w:rFonts w:ascii="Times New Roman" w:hAnsi="Times New Roman" w:cs="Times New Roman"/>
          <w:sz w:val="16"/>
          <w:lang w:val="es-MX"/>
        </w:rPr>
        <w:t>Fuente: Dirección de Análisis y Política Fiscal</w:t>
      </w:r>
    </w:p>
    <w:p w:rsidR="00724C04" w:rsidRPr="0008775B" w:rsidRDefault="00724C04" w:rsidP="00364844">
      <w:pPr>
        <w:pStyle w:val="Sinespaciado"/>
        <w:jc w:val="both"/>
        <w:rPr>
          <w:rFonts w:ascii="Times New Roman" w:hAnsi="Times New Roman" w:cs="Times New Roman"/>
          <w:b/>
          <w:color w:val="FF0000"/>
          <w:lang w:val="es-MX"/>
        </w:rPr>
      </w:pPr>
    </w:p>
    <w:p w:rsidR="00364844" w:rsidRPr="00724C04" w:rsidRDefault="00724C04" w:rsidP="00364844">
      <w:pPr>
        <w:pStyle w:val="Ttulo2"/>
        <w:numPr>
          <w:ilvl w:val="1"/>
          <w:numId w:val="12"/>
        </w:numPr>
        <w:rPr>
          <w:rFonts w:ascii="Times New Roman" w:hAnsi="Times New Roman" w:cs="Times New Roman"/>
          <w:color w:val="auto"/>
          <w:sz w:val="24"/>
        </w:rPr>
      </w:pPr>
      <w:bookmarkStart w:id="52" w:name="_Toc534988234"/>
      <w:r w:rsidRPr="00724C04">
        <w:rPr>
          <w:rFonts w:ascii="Times New Roman" w:hAnsi="Times New Roman" w:cs="Times New Roman"/>
          <w:color w:val="auto"/>
          <w:sz w:val="24"/>
        </w:rPr>
        <w:lastRenderedPageBreak/>
        <w:t>E</w:t>
      </w:r>
      <w:r w:rsidR="00364844" w:rsidRPr="00724C04">
        <w:rPr>
          <w:rFonts w:ascii="Times New Roman" w:hAnsi="Times New Roman" w:cs="Times New Roman"/>
          <w:color w:val="auto"/>
          <w:sz w:val="24"/>
        </w:rPr>
        <w:t>l gasto</w:t>
      </w:r>
      <w:r w:rsidRPr="00724C04">
        <w:rPr>
          <w:rFonts w:ascii="Times New Roman" w:hAnsi="Times New Roman" w:cs="Times New Roman"/>
          <w:color w:val="auto"/>
          <w:sz w:val="24"/>
        </w:rPr>
        <w:t xml:space="preserve"> orientado </w:t>
      </w:r>
      <w:r w:rsidR="00364844" w:rsidRPr="00724C04">
        <w:rPr>
          <w:rFonts w:ascii="Times New Roman" w:hAnsi="Times New Roman" w:cs="Times New Roman"/>
          <w:color w:val="auto"/>
          <w:sz w:val="24"/>
        </w:rPr>
        <w:t>al PAPTN</w:t>
      </w:r>
      <w:r w:rsidRPr="00724C04">
        <w:rPr>
          <w:rFonts w:ascii="Times New Roman" w:hAnsi="Times New Roman" w:cs="Times New Roman"/>
          <w:color w:val="auto"/>
          <w:sz w:val="24"/>
        </w:rPr>
        <w:t xml:space="preserve"> muestra un nuevo impulso</w:t>
      </w:r>
      <w:bookmarkEnd w:id="52"/>
    </w:p>
    <w:p w:rsidR="00364844" w:rsidRPr="0008775B" w:rsidRDefault="00364844" w:rsidP="00364844">
      <w:pPr>
        <w:pStyle w:val="Sinespaciado"/>
        <w:jc w:val="both"/>
        <w:rPr>
          <w:rFonts w:ascii="Times New Roman" w:hAnsi="Times New Roman" w:cs="Times New Roman"/>
          <w:color w:val="FF0000"/>
          <w:lang w:val="es-MX"/>
        </w:rPr>
      </w:pPr>
    </w:p>
    <w:p w:rsidR="00724C04" w:rsidRPr="00CB0608" w:rsidRDefault="00724C04" w:rsidP="00724C04">
      <w:pPr>
        <w:pStyle w:val="Sinespaciado"/>
        <w:jc w:val="both"/>
        <w:rPr>
          <w:rFonts w:ascii="Times New Roman" w:hAnsi="Times New Roman" w:cs="Times New Roman"/>
          <w:sz w:val="24"/>
          <w:lang w:val="es-MX"/>
        </w:rPr>
      </w:pPr>
      <w:r w:rsidRPr="00CB0608">
        <w:rPr>
          <w:rFonts w:ascii="Times New Roman" w:hAnsi="Times New Roman" w:cs="Times New Roman"/>
          <w:sz w:val="24"/>
          <w:lang w:val="es-MX"/>
        </w:rPr>
        <w:t xml:space="preserve">En relación al Plan Alianza para la Prosperidad del Triángulo Norte (PAPTN), es importante recordar que surgió para darle respuesta al incremento de la migración de menores no acompañados hacia los Estados Unidos de América, situación que desato una crisis migratoria, en la cual los países del denominado Triángulo Norte (Honduras, El Salvador y Guatemala) han buscado dar respuesta a las causas estructurales de la migración. No obstante, la crisis se agudizo en el segundo semestre del 2018, principalmente por las caravanas de migrantes, mismas que estuvieron conformadas por miles de personas que salieron de los países centroamericanos en la búsqueda de mejores oportunidades económicas. </w:t>
      </w:r>
    </w:p>
    <w:p w:rsidR="00724C04" w:rsidRPr="00CB0608" w:rsidRDefault="00724C04" w:rsidP="00724C04">
      <w:pPr>
        <w:pStyle w:val="Sinespaciado"/>
        <w:jc w:val="both"/>
        <w:rPr>
          <w:rFonts w:ascii="Times New Roman" w:hAnsi="Times New Roman" w:cs="Times New Roman"/>
          <w:sz w:val="24"/>
          <w:lang w:val="es-MX"/>
        </w:rPr>
      </w:pPr>
    </w:p>
    <w:p w:rsidR="00724C04" w:rsidRPr="00CB0608" w:rsidRDefault="00724C04" w:rsidP="00724C04">
      <w:pPr>
        <w:pStyle w:val="Sinespaciado"/>
        <w:jc w:val="both"/>
        <w:rPr>
          <w:rFonts w:ascii="Times New Roman" w:hAnsi="Times New Roman" w:cs="Times New Roman"/>
          <w:sz w:val="24"/>
          <w:lang w:val="es-MX"/>
        </w:rPr>
      </w:pPr>
      <w:r w:rsidRPr="00CB0608">
        <w:rPr>
          <w:rFonts w:ascii="Times New Roman" w:hAnsi="Times New Roman" w:cs="Times New Roman"/>
          <w:sz w:val="24"/>
          <w:lang w:val="es-MX"/>
        </w:rPr>
        <w:t>Los recursos que Estados Unidos de América ha aportado para la implementación del PAPTN a través de su Estrategia de Relacionamiento con Centroamérica descrita en la Ley de Apropiaciones, han sido canalizados a través de sus agencias de desarrollo (</w:t>
      </w:r>
      <w:proofErr w:type="gramStart"/>
      <w:r w:rsidRPr="00CB0608">
        <w:rPr>
          <w:rFonts w:ascii="Times New Roman" w:hAnsi="Times New Roman" w:cs="Times New Roman"/>
          <w:sz w:val="24"/>
          <w:lang w:val="es-MX"/>
        </w:rPr>
        <w:t>USAID  e</w:t>
      </w:r>
      <w:proofErr w:type="gramEnd"/>
      <w:r w:rsidRPr="00CB0608">
        <w:rPr>
          <w:rFonts w:ascii="Times New Roman" w:hAnsi="Times New Roman" w:cs="Times New Roman"/>
          <w:sz w:val="24"/>
          <w:lang w:val="es-MX"/>
        </w:rPr>
        <w:t xml:space="preserve"> INL , principalmente). Para poder acceder a los aportes descritos en esta ley, Guatemala debe cumplir con 16 compromisos, mismos que se encuentran relacionados a combatir el contrabando y tráfico humano, mejorar la seguridad en fronteras, combatir la corrupción, fortalecimiento de la institución fiscalizadora y del sistema de justicia, apoyar a programas para reducir la pobreza, incrementar los ingresos del Estado, entre otros. Guatemala ha reportado avances en los compromisos y de esa cuenta el Congreso de los Estados Unidos ha certificado los avances y autorizado la liberación de recursos para las agencias de desarrollo que operan en Guatemala, la certificación se ha logrado para tres ejercicios fiscales diferentes.  </w:t>
      </w:r>
    </w:p>
    <w:p w:rsidR="00724C04" w:rsidRPr="00CB0608" w:rsidRDefault="00724C04" w:rsidP="00724C04">
      <w:pPr>
        <w:pStyle w:val="Sinespaciado"/>
        <w:jc w:val="both"/>
        <w:rPr>
          <w:rFonts w:ascii="Times New Roman" w:hAnsi="Times New Roman" w:cs="Times New Roman"/>
          <w:sz w:val="24"/>
          <w:lang w:val="es-MX"/>
        </w:rPr>
      </w:pPr>
    </w:p>
    <w:p w:rsidR="00724C04" w:rsidRPr="00CB0608" w:rsidRDefault="00724C04" w:rsidP="00724C04">
      <w:pPr>
        <w:pStyle w:val="Sinespaciado"/>
        <w:jc w:val="both"/>
        <w:rPr>
          <w:rFonts w:ascii="Times New Roman" w:hAnsi="Times New Roman" w:cs="Times New Roman"/>
          <w:sz w:val="24"/>
          <w:lang w:val="es-MX"/>
        </w:rPr>
      </w:pPr>
      <w:r w:rsidRPr="00CB0608">
        <w:rPr>
          <w:rFonts w:ascii="Times New Roman" w:hAnsi="Times New Roman" w:cs="Times New Roman"/>
          <w:sz w:val="24"/>
          <w:lang w:val="es-MX"/>
        </w:rPr>
        <w:t>Es importante resaltar que el PAPTN no ha contado con recursos nuevos por parte del Gobierno de Guatemala, los recursos que se etiquetan como parte del PAPTN son inherentes del Presupuesto Nacional y el ejercicio ha consistido en la identificación de los programas</w:t>
      </w:r>
      <w:r>
        <w:rPr>
          <w:rFonts w:ascii="Times New Roman" w:hAnsi="Times New Roman" w:cs="Times New Roman"/>
          <w:sz w:val="24"/>
          <w:lang w:val="es-MX"/>
        </w:rPr>
        <w:t xml:space="preserve"> </w:t>
      </w:r>
      <w:r w:rsidRPr="00CB0608">
        <w:rPr>
          <w:rFonts w:ascii="Times New Roman" w:hAnsi="Times New Roman" w:cs="Times New Roman"/>
          <w:sz w:val="24"/>
          <w:lang w:val="es-MX"/>
        </w:rPr>
        <w:t xml:space="preserve">que dentro de las instituciones dan respuesta a los ejes estratégicos del Plan, siendo estos: 1. Dinamizar el sector productivo, 2. Desarrollar el Capital Humano, 3. Mejorar la Seguridad Ciudadana y la Justicia y 4. Fortalecimiento Institucional y mejora de la Transparencia. </w:t>
      </w:r>
    </w:p>
    <w:p w:rsidR="00724C04" w:rsidRPr="00CB0608" w:rsidRDefault="00724C04" w:rsidP="00724C04">
      <w:pPr>
        <w:pStyle w:val="Sinespaciado"/>
        <w:jc w:val="both"/>
        <w:rPr>
          <w:rFonts w:ascii="Times New Roman" w:hAnsi="Times New Roman" w:cs="Times New Roman"/>
          <w:sz w:val="24"/>
          <w:lang w:val="es-MX"/>
        </w:rPr>
      </w:pPr>
    </w:p>
    <w:p w:rsidR="00724C04" w:rsidRPr="00CB0608" w:rsidRDefault="00724C04" w:rsidP="00724C04">
      <w:pPr>
        <w:pStyle w:val="Sinespaciado"/>
        <w:jc w:val="both"/>
        <w:rPr>
          <w:rFonts w:ascii="Times New Roman" w:hAnsi="Times New Roman" w:cs="Times New Roman"/>
          <w:sz w:val="24"/>
          <w:lang w:val="es-MX"/>
        </w:rPr>
      </w:pPr>
      <w:r w:rsidRPr="00CB0608">
        <w:rPr>
          <w:rFonts w:ascii="Times New Roman" w:hAnsi="Times New Roman" w:cs="Times New Roman"/>
          <w:sz w:val="24"/>
          <w:lang w:val="es-MX"/>
        </w:rPr>
        <w:t xml:space="preserve">Respecto a la ejecución de los programas que dentro del Presupuesto Nacional han sido asociados a los ejes estratégicos y objetivos del PAPTN, al 31 de diciembre reportaron una ejecución de Q9,632.5 millones (95.8% de ejecución), representando un 12.8% de la ejecución institucional total. Con este nivel, se superó la ejecución reportada en el 2016 y 2017, cuando fue de 68.0% y 73.6%, respectivamente. Respecto al año anterior, el crecimiento interanual es de 103.4%, es decir Q4,897.3 millones más, aunque es importante considerar que a partir de 2018 el presupuesto asociado a los ejes del PAPTN aumento considerablemente como parte de un ejercicio de socialización con las instituciones involucradas, mismo que estuvo a cargo de Pronacom (ente coordinador del PAPTN). </w:t>
      </w:r>
    </w:p>
    <w:p w:rsidR="00724C04" w:rsidRPr="00CB0608" w:rsidRDefault="00724C04" w:rsidP="00724C04">
      <w:pPr>
        <w:pStyle w:val="Sinespaciado"/>
        <w:jc w:val="both"/>
        <w:rPr>
          <w:rFonts w:ascii="Times New Roman" w:hAnsi="Times New Roman" w:cs="Times New Roman"/>
          <w:sz w:val="24"/>
          <w:lang w:val="es-MX"/>
        </w:rPr>
      </w:pPr>
    </w:p>
    <w:p w:rsidR="00364844" w:rsidRPr="0008775B" w:rsidRDefault="00724C04" w:rsidP="00724C04">
      <w:pPr>
        <w:pStyle w:val="Sinespaciado"/>
        <w:jc w:val="both"/>
        <w:rPr>
          <w:rFonts w:ascii="Times New Roman" w:hAnsi="Times New Roman" w:cs="Times New Roman"/>
          <w:color w:val="FF0000"/>
          <w:sz w:val="24"/>
          <w:lang w:val="es-MX"/>
        </w:rPr>
      </w:pPr>
      <w:r w:rsidRPr="00CB0608">
        <w:rPr>
          <w:rFonts w:ascii="Times New Roman" w:hAnsi="Times New Roman" w:cs="Times New Roman"/>
          <w:sz w:val="24"/>
          <w:lang w:val="es-MX"/>
        </w:rPr>
        <w:t>El eje de seguridad y justicia reporta un nivel de ejecución de 98.7%, seguido por el eje del sector productivo cuenta un nivel de ejecución de 96.3% dentro de este eje se contemplan, principalmente, los proyectos de construcción, ampliación, reposición y mejoramiento de carreteras, puentes y distribuidores de tránsito a cargo del Ministerio de Comunicaciones, Infraestructura y Vivienda. Por su parte, el eje de transparencia reporta una ejecución de 94.2%, seguido por el eje de capital humano con 91.9%.</w:t>
      </w:r>
    </w:p>
    <w:p w:rsidR="00F34A58" w:rsidRPr="0008775B" w:rsidRDefault="00F34A58" w:rsidP="00364844">
      <w:pPr>
        <w:pStyle w:val="Sinespaciado"/>
        <w:jc w:val="both"/>
        <w:rPr>
          <w:rFonts w:ascii="Times New Roman" w:hAnsi="Times New Roman" w:cs="Times New Roman"/>
          <w:color w:val="FF0000"/>
          <w:lang w:val="es-MX"/>
        </w:rPr>
      </w:pPr>
    </w:p>
    <w:p w:rsidR="00724C04" w:rsidRPr="00432E87" w:rsidRDefault="00724C04" w:rsidP="00364844">
      <w:pPr>
        <w:pStyle w:val="Sinespaciado"/>
        <w:jc w:val="center"/>
        <w:rPr>
          <w:rFonts w:ascii="Times New Roman" w:hAnsi="Times New Roman" w:cs="Times New Roman"/>
          <w:b/>
          <w:sz w:val="24"/>
          <w:lang w:val="es-MX"/>
        </w:rPr>
      </w:pPr>
      <w:r w:rsidRPr="00432E87">
        <w:rPr>
          <w:rFonts w:ascii="Times New Roman" w:hAnsi="Times New Roman" w:cs="Times New Roman"/>
          <w:b/>
          <w:sz w:val="24"/>
          <w:lang w:val="es-MX"/>
        </w:rPr>
        <w:lastRenderedPageBreak/>
        <w:t>Alianza para la Prosperidad</w:t>
      </w:r>
    </w:p>
    <w:p w:rsidR="00364844" w:rsidRPr="00432E87" w:rsidRDefault="00724C04" w:rsidP="00364844">
      <w:pPr>
        <w:pStyle w:val="Sinespaciado"/>
        <w:jc w:val="center"/>
        <w:rPr>
          <w:rFonts w:ascii="Times New Roman" w:hAnsi="Times New Roman" w:cs="Times New Roman"/>
          <w:sz w:val="18"/>
          <w:lang w:val="es-MX"/>
        </w:rPr>
      </w:pPr>
      <w:r w:rsidRPr="00432E87">
        <w:rPr>
          <w:rFonts w:ascii="Times New Roman" w:hAnsi="Times New Roman" w:cs="Times New Roman"/>
          <w:sz w:val="18"/>
          <w:lang w:val="es-MX"/>
        </w:rPr>
        <w:t>Ejecución por eje estratégico</w:t>
      </w:r>
    </w:p>
    <w:p w:rsidR="00364844" w:rsidRPr="00432E87" w:rsidRDefault="00364844" w:rsidP="00364844">
      <w:pPr>
        <w:pStyle w:val="Sinespaciado"/>
        <w:jc w:val="center"/>
        <w:rPr>
          <w:rFonts w:ascii="Times New Roman" w:hAnsi="Times New Roman" w:cs="Times New Roman"/>
          <w:lang w:val="es-MX"/>
        </w:rPr>
      </w:pPr>
      <w:r w:rsidRPr="00432E87">
        <w:rPr>
          <w:rFonts w:ascii="Times New Roman" w:hAnsi="Times New Roman" w:cs="Times New Roman"/>
          <w:sz w:val="18"/>
          <w:lang w:val="es-MX"/>
        </w:rPr>
        <w:t>Mil</w:t>
      </w:r>
      <w:r w:rsidR="00724C04" w:rsidRPr="00432E87">
        <w:rPr>
          <w:rFonts w:ascii="Times New Roman" w:hAnsi="Times New Roman" w:cs="Times New Roman"/>
          <w:sz w:val="18"/>
          <w:lang w:val="es-MX"/>
        </w:rPr>
        <w:t xml:space="preserve">lones de quetzales </w:t>
      </w:r>
    </w:p>
    <w:p w:rsidR="00364844" w:rsidRPr="00432E87" w:rsidRDefault="00724C04" w:rsidP="00364844">
      <w:pPr>
        <w:pStyle w:val="Sinespaciado"/>
        <w:jc w:val="both"/>
        <w:rPr>
          <w:rFonts w:ascii="Times New Roman" w:hAnsi="Times New Roman" w:cs="Times New Roman"/>
          <w:lang w:val="es-MX"/>
        </w:rPr>
      </w:pPr>
      <w:r w:rsidRPr="00432E87">
        <w:rPr>
          <w:rFonts w:ascii="Times New Roman" w:hAnsi="Times New Roman" w:cs="Times New Roman"/>
          <w:noProof/>
          <w:lang w:eastAsia="es-GT"/>
        </w:rPr>
        <w:drawing>
          <wp:anchor distT="0" distB="0" distL="114300" distR="114300" simplePos="0" relativeHeight="251663360" behindDoc="0" locked="0" layoutInCell="1" allowOverlap="1" wp14:anchorId="1B624080" wp14:editId="23512B45">
            <wp:simplePos x="0" y="0"/>
            <wp:positionH relativeFrom="margin">
              <wp:posOffset>644055</wp:posOffset>
            </wp:positionH>
            <wp:positionV relativeFrom="paragraph">
              <wp:posOffset>63003</wp:posOffset>
            </wp:positionV>
            <wp:extent cx="4933950" cy="2467610"/>
            <wp:effectExtent l="0" t="0" r="0" b="8890"/>
            <wp:wrapSquare wrapText="bothSides"/>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570" r="1859"/>
                    <a:stretch/>
                  </pic:blipFill>
                  <pic:spPr bwMode="auto">
                    <a:xfrm>
                      <a:off x="0" y="0"/>
                      <a:ext cx="4933950" cy="2467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2E87" w:rsidRPr="00432E87" w:rsidRDefault="00432E87" w:rsidP="00364844">
      <w:pPr>
        <w:pStyle w:val="Sinespaciado"/>
        <w:jc w:val="both"/>
        <w:rPr>
          <w:rFonts w:ascii="Times New Roman" w:hAnsi="Times New Roman" w:cs="Times New Roman"/>
          <w:sz w:val="16"/>
          <w:lang w:val="es-MX"/>
        </w:rPr>
      </w:pPr>
    </w:p>
    <w:p w:rsidR="00432E87" w:rsidRPr="00432E87" w:rsidRDefault="00432E87" w:rsidP="00364844">
      <w:pPr>
        <w:pStyle w:val="Sinespaciado"/>
        <w:jc w:val="both"/>
        <w:rPr>
          <w:rFonts w:ascii="Times New Roman" w:hAnsi="Times New Roman" w:cs="Times New Roman"/>
          <w:sz w:val="16"/>
          <w:lang w:val="es-MX"/>
        </w:rPr>
      </w:pPr>
    </w:p>
    <w:p w:rsidR="00432E87" w:rsidRPr="00432E87" w:rsidRDefault="00432E87" w:rsidP="00364844">
      <w:pPr>
        <w:pStyle w:val="Sinespaciado"/>
        <w:jc w:val="both"/>
        <w:rPr>
          <w:rFonts w:ascii="Times New Roman" w:hAnsi="Times New Roman" w:cs="Times New Roman"/>
          <w:sz w:val="16"/>
          <w:lang w:val="es-MX"/>
        </w:rPr>
      </w:pPr>
    </w:p>
    <w:p w:rsidR="00432E87" w:rsidRPr="00432E87" w:rsidRDefault="00432E87" w:rsidP="00364844">
      <w:pPr>
        <w:pStyle w:val="Sinespaciado"/>
        <w:jc w:val="both"/>
        <w:rPr>
          <w:rFonts w:ascii="Times New Roman" w:hAnsi="Times New Roman" w:cs="Times New Roman"/>
          <w:sz w:val="16"/>
          <w:lang w:val="es-MX"/>
        </w:rPr>
      </w:pPr>
    </w:p>
    <w:p w:rsidR="00432E87" w:rsidRPr="00432E87" w:rsidRDefault="00432E87" w:rsidP="00364844">
      <w:pPr>
        <w:pStyle w:val="Sinespaciado"/>
        <w:jc w:val="both"/>
        <w:rPr>
          <w:rFonts w:ascii="Times New Roman" w:hAnsi="Times New Roman" w:cs="Times New Roman"/>
          <w:sz w:val="16"/>
          <w:lang w:val="es-MX"/>
        </w:rPr>
      </w:pPr>
    </w:p>
    <w:p w:rsidR="00432E87" w:rsidRPr="00432E87" w:rsidRDefault="00432E87" w:rsidP="00364844">
      <w:pPr>
        <w:pStyle w:val="Sinespaciado"/>
        <w:jc w:val="both"/>
        <w:rPr>
          <w:rFonts w:ascii="Times New Roman" w:hAnsi="Times New Roman" w:cs="Times New Roman"/>
          <w:sz w:val="16"/>
          <w:lang w:val="es-MX"/>
        </w:rPr>
      </w:pPr>
    </w:p>
    <w:p w:rsidR="00432E87" w:rsidRPr="00432E87" w:rsidRDefault="00432E87" w:rsidP="00364844">
      <w:pPr>
        <w:pStyle w:val="Sinespaciado"/>
        <w:jc w:val="both"/>
        <w:rPr>
          <w:rFonts w:ascii="Times New Roman" w:hAnsi="Times New Roman" w:cs="Times New Roman"/>
          <w:sz w:val="16"/>
          <w:lang w:val="es-MX"/>
        </w:rPr>
      </w:pPr>
    </w:p>
    <w:p w:rsidR="00432E87" w:rsidRPr="00432E87" w:rsidRDefault="00432E87" w:rsidP="00364844">
      <w:pPr>
        <w:pStyle w:val="Sinespaciado"/>
        <w:jc w:val="both"/>
        <w:rPr>
          <w:rFonts w:ascii="Times New Roman" w:hAnsi="Times New Roman" w:cs="Times New Roman"/>
          <w:sz w:val="16"/>
          <w:lang w:val="es-MX"/>
        </w:rPr>
      </w:pPr>
    </w:p>
    <w:p w:rsidR="00432E87" w:rsidRPr="00432E87" w:rsidRDefault="00432E87" w:rsidP="00364844">
      <w:pPr>
        <w:pStyle w:val="Sinespaciado"/>
        <w:jc w:val="both"/>
        <w:rPr>
          <w:rFonts w:ascii="Times New Roman" w:hAnsi="Times New Roman" w:cs="Times New Roman"/>
          <w:sz w:val="16"/>
          <w:lang w:val="es-MX"/>
        </w:rPr>
      </w:pPr>
    </w:p>
    <w:p w:rsidR="00432E87" w:rsidRPr="00432E87" w:rsidRDefault="00432E87" w:rsidP="00364844">
      <w:pPr>
        <w:pStyle w:val="Sinespaciado"/>
        <w:jc w:val="both"/>
        <w:rPr>
          <w:rFonts w:ascii="Times New Roman" w:hAnsi="Times New Roman" w:cs="Times New Roman"/>
          <w:sz w:val="16"/>
          <w:lang w:val="es-MX"/>
        </w:rPr>
      </w:pPr>
    </w:p>
    <w:p w:rsidR="00432E87" w:rsidRPr="00432E87" w:rsidRDefault="00432E87" w:rsidP="00364844">
      <w:pPr>
        <w:pStyle w:val="Sinespaciado"/>
        <w:jc w:val="both"/>
        <w:rPr>
          <w:rFonts w:ascii="Times New Roman" w:hAnsi="Times New Roman" w:cs="Times New Roman"/>
          <w:sz w:val="16"/>
          <w:lang w:val="es-MX"/>
        </w:rPr>
      </w:pPr>
    </w:p>
    <w:p w:rsidR="00432E87" w:rsidRPr="00432E87" w:rsidRDefault="00432E87" w:rsidP="00364844">
      <w:pPr>
        <w:pStyle w:val="Sinespaciado"/>
        <w:jc w:val="both"/>
        <w:rPr>
          <w:rFonts w:ascii="Times New Roman" w:hAnsi="Times New Roman" w:cs="Times New Roman"/>
          <w:sz w:val="16"/>
          <w:lang w:val="es-MX"/>
        </w:rPr>
      </w:pPr>
    </w:p>
    <w:p w:rsidR="00432E87" w:rsidRPr="00432E87" w:rsidRDefault="00432E87" w:rsidP="00364844">
      <w:pPr>
        <w:pStyle w:val="Sinespaciado"/>
        <w:jc w:val="both"/>
        <w:rPr>
          <w:rFonts w:ascii="Times New Roman" w:hAnsi="Times New Roman" w:cs="Times New Roman"/>
          <w:sz w:val="16"/>
          <w:lang w:val="es-MX"/>
        </w:rPr>
      </w:pPr>
    </w:p>
    <w:p w:rsidR="00432E87" w:rsidRPr="00432E87" w:rsidRDefault="00432E87" w:rsidP="00364844">
      <w:pPr>
        <w:pStyle w:val="Sinespaciado"/>
        <w:jc w:val="both"/>
        <w:rPr>
          <w:rFonts w:ascii="Times New Roman" w:hAnsi="Times New Roman" w:cs="Times New Roman"/>
          <w:sz w:val="16"/>
          <w:lang w:val="es-MX"/>
        </w:rPr>
      </w:pPr>
    </w:p>
    <w:p w:rsidR="00432E87" w:rsidRPr="00432E87" w:rsidRDefault="00432E87" w:rsidP="00364844">
      <w:pPr>
        <w:pStyle w:val="Sinespaciado"/>
        <w:jc w:val="both"/>
        <w:rPr>
          <w:rFonts w:ascii="Times New Roman" w:hAnsi="Times New Roman" w:cs="Times New Roman"/>
          <w:sz w:val="16"/>
          <w:lang w:val="es-MX"/>
        </w:rPr>
      </w:pPr>
    </w:p>
    <w:p w:rsidR="00432E87" w:rsidRPr="00432E87" w:rsidRDefault="00432E87" w:rsidP="00364844">
      <w:pPr>
        <w:pStyle w:val="Sinespaciado"/>
        <w:jc w:val="both"/>
        <w:rPr>
          <w:rFonts w:ascii="Times New Roman" w:hAnsi="Times New Roman" w:cs="Times New Roman"/>
          <w:sz w:val="16"/>
          <w:lang w:val="es-MX"/>
        </w:rPr>
      </w:pPr>
    </w:p>
    <w:p w:rsidR="00432E87" w:rsidRPr="00432E87" w:rsidRDefault="00432E87" w:rsidP="00364844">
      <w:pPr>
        <w:pStyle w:val="Sinespaciado"/>
        <w:jc w:val="both"/>
        <w:rPr>
          <w:rFonts w:ascii="Times New Roman" w:hAnsi="Times New Roman" w:cs="Times New Roman"/>
          <w:sz w:val="16"/>
          <w:lang w:val="es-MX"/>
        </w:rPr>
      </w:pPr>
    </w:p>
    <w:p w:rsidR="00432E87" w:rsidRPr="00432E87" w:rsidRDefault="00432E87" w:rsidP="00364844">
      <w:pPr>
        <w:pStyle w:val="Sinespaciado"/>
        <w:jc w:val="both"/>
        <w:rPr>
          <w:rFonts w:ascii="Times New Roman" w:hAnsi="Times New Roman" w:cs="Times New Roman"/>
          <w:sz w:val="16"/>
          <w:lang w:val="es-MX"/>
        </w:rPr>
      </w:pPr>
    </w:p>
    <w:p w:rsidR="00432E87" w:rsidRPr="00432E87" w:rsidRDefault="00432E87" w:rsidP="00364844">
      <w:pPr>
        <w:pStyle w:val="Sinespaciado"/>
        <w:jc w:val="both"/>
        <w:rPr>
          <w:rFonts w:ascii="Times New Roman" w:hAnsi="Times New Roman" w:cs="Times New Roman"/>
          <w:sz w:val="16"/>
          <w:lang w:val="es-MX"/>
        </w:rPr>
      </w:pPr>
    </w:p>
    <w:p w:rsidR="00432E87" w:rsidRPr="00432E87" w:rsidRDefault="00432E87" w:rsidP="00364844">
      <w:pPr>
        <w:pStyle w:val="Sinespaciado"/>
        <w:jc w:val="both"/>
        <w:rPr>
          <w:rFonts w:ascii="Times New Roman" w:hAnsi="Times New Roman" w:cs="Times New Roman"/>
          <w:sz w:val="16"/>
          <w:lang w:val="es-MX"/>
        </w:rPr>
      </w:pPr>
    </w:p>
    <w:p w:rsidR="00432E87" w:rsidRPr="00432E87" w:rsidRDefault="00432E87" w:rsidP="00364844">
      <w:pPr>
        <w:pStyle w:val="Sinespaciado"/>
        <w:jc w:val="both"/>
        <w:rPr>
          <w:rFonts w:ascii="Times New Roman" w:hAnsi="Times New Roman" w:cs="Times New Roman"/>
          <w:sz w:val="16"/>
          <w:lang w:val="es-MX"/>
        </w:rPr>
      </w:pPr>
    </w:p>
    <w:p w:rsidR="00432E87" w:rsidRPr="00432E87" w:rsidRDefault="00432E87" w:rsidP="00432E87">
      <w:pPr>
        <w:pStyle w:val="Sinespaciado"/>
        <w:ind w:firstLine="708"/>
        <w:jc w:val="both"/>
        <w:rPr>
          <w:rFonts w:ascii="Times New Roman" w:hAnsi="Times New Roman" w:cs="Times New Roman"/>
          <w:sz w:val="16"/>
          <w:lang w:val="es-MX"/>
        </w:rPr>
      </w:pPr>
      <w:r w:rsidRPr="00432E87">
        <w:rPr>
          <w:rFonts w:ascii="Times New Roman" w:hAnsi="Times New Roman" w:cs="Times New Roman"/>
          <w:sz w:val="16"/>
          <w:lang w:val="es-MX"/>
        </w:rPr>
        <w:t>Nota: cifras preliminares</w:t>
      </w:r>
    </w:p>
    <w:p w:rsidR="00364844" w:rsidRPr="009421FB" w:rsidRDefault="00364844" w:rsidP="009421FB">
      <w:pPr>
        <w:pStyle w:val="Sinespaciado"/>
        <w:ind w:firstLine="708"/>
        <w:jc w:val="both"/>
        <w:rPr>
          <w:rFonts w:ascii="Times New Roman" w:hAnsi="Times New Roman" w:cs="Times New Roman"/>
          <w:lang w:val="es-MX"/>
        </w:rPr>
      </w:pPr>
      <w:r w:rsidRPr="00432E87">
        <w:rPr>
          <w:rFonts w:ascii="Times New Roman" w:hAnsi="Times New Roman" w:cs="Times New Roman"/>
          <w:sz w:val="16"/>
          <w:lang w:val="es-MX"/>
        </w:rPr>
        <w:t>Fuente: Dirección de Análisis y Política Fiscal</w:t>
      </w:r>
    </w:p>
    <w:p w:rsidR="00364844" w:rsidRPr="009421FB" w:rsidRDefault="00364844" w:rsidP="00364844">
      <w:pPr>
        <w:pStyle w:val="Ttulo2"/>
        <w:numPr>
          <w:ilvl w:val="1"/>
          <w:numId w:val="12"/>
        </w:numPr>
        <w:rPr>
          <w:rFonts w:ascii="Times New Roman" w:hAnsi="Times New Roman" w:cs="Times New Roman"/>
          <w:color w:val="auto"/>
          <w:sz w:val="24"/>
        </w:rPr>
      </w:pPr>
      <w:bookmarkStart w:id="53" w:name="_Toc534988235"/>
      <w:r w:rsidRPr="009421FB">
        <w:rPr>
          <w:rFonts w:ascii="Times New Roman" w:hAnsi="Times New Roman" w:cs="Times New Roman"/>
          <w:color w:val="auto"/>
          <w:sz w:val="24"/>
        </w:rPr>
        <w:t>Déficit Fiscal consistente con la sostenibilidad fiscal</w:t>
      </w:r>
      <w:bookmarkEnd w:id="53"/>
    </w:p>
    <w:p w:rsidR="00364844" w:rsidRPr="0008775B" w:rsidRDefault="00364844" w:rsidP="00364844">
      <w:pPr>
        <w:rPr>
          <w:color w:val="FF0000"/>
        </w:rPr>
      </w:pPr>
    </w:p>
    <w:p w:rsidR="00463E5D" w:rsidRDefault="00463E5D" w:rsidP="00463E5D">
      <w:pPr>
        <w:jc w:val="both"/>
        <w:rPr>
          <w:rFonts w:ascii="Times New Roman" w:hAnsi="Times New Roman" w:cs="Times New Roman"/>
          <w:lang w:val="es-MX"/>
        </w:rPr>
      </w:pPr>
      <w:r>
        <w:rPr>
          <w:rFonts w:ascii="Times New Roman" w:hAnsi="Times New Roman" w:cs="Times New Roman"/>
          <w:lang w:val="es-MX"/>
        </w:rPr>
        <w:t>Debido a que el crecimiento de los ingresos tributarios estuvo por debajo del crecimiento económico nominal, la carga tributaria se redujo nuevamente, mientras que el gasto público en términos del PIB aumento derivado de un mayor gasto de inversión, ambos efectos ejercieron una presión al alza en el déficit fiscal, el cual se situó al final de</w:t>
      </w:r>
      <w:r w:rsidR="00E14CCD">
        <w:rPr>
          <w:rFonts w:ascii="Times New Roman" w:hAnsi="Times New Roman" w:cs="Times New Roman"/>
          <w:lang w:val="es-MX"/>
        </w:rPr>
        <w:t xml:space="preserve"> 2018 en 1.8% del PIB (Q10,416.8</w:t>
      </w:r>
      <w:r>
        <w:rPr>
          <w:rFonts w:ascii="Times New Roman" w:hAnsi="Times New Roman" w:cs="Times New Roman"/>
          <w:lang w:val="es-MX"/>
        </w:rPr>
        <w:t xml:space="preserve"> millones), por encima de lo observado en 2017( 1.3% del PIB), es el nivel más alto desde 2014 en donde se obtuvo un déficit de 1.9 del PIB, en dicho año al igual que en 2018, coincide en que es el tercer año de la administración.  No obstante, a pesar del aumento observado en el déficit fiscal para 2018, este resultado estuvo por debajo de la proyección prevista en el presupuesto para el cierre de dicho año, cuyo nivel, tomando en cuenta las ampliaciones presupuestarias, se estimaba en 2.3% del PIB.   </w:t>
      </w:r>
    </w:p>
    <w:p w:rsidR="00463E5D" w:rsidRDefault="00463E5D" w:rsidP="00463E5D">
      <w:pPr>
        <w:jc w:val="both"/>
        <w:rPr>
          <w:rFonts w:ascii="Times New Roman" w:hAnsi="Times New Roman" w:cs="Times New Roman"/>
          <w:lang w:val="es-MX"/>
        </w:rPr>
      </w:pPr>
    </w:p>
    <w:p w:rsidR="00463E5D" w:rsidRDefault="00463E5D" w:rsidP="00463E5D">
      <w:pPr>
        <w:jc w:val="both"/>
        <w:rPr>
          <w:rFonts w:ascii="Times New Roman" w:hAnsi="Times New Roman" w:cs="Times New Roman"/>
          <w:lang w:val="es-MX"/>
        </w:rPr>
      </w:pPr>
      <w:r>
        <w:rPr>
          <w:rFonts w:ascii="Times New Roman" w:hAnsi="Times New Roman" w:cs="Times New Roman"/>
          <w:lang w:val="es-MX"/>
        </w:rPr>
        <w:t>Con el resultado fiscal obtenido se</w:t>
      </w:r>
      <w:r w:rsidRPr="0017647D">
        <w:rPr>
          <w:rFonts w:ascii="Times New Roman" w:hAnsi="Times New Roman" w:cs="Times New Roman"/>
          <w:lang w:val="es-MX"/>
        </w:rPr>
        <w:t xml:space="preserve"> deja un margen de maniobra para que en los próximos años se pueda aumentar </w:t>
      </w:r>
      <w:r>
        <w:rPr>
          <w:rFonts w:ascii="Times New Roman" w:hAnsi="Times New Roman" w:cs="Times New Roman"/>
          <w:lang w:val="es-MX"/>
        </w:rPr>
        <w:t>de manera importante</w:t>
      </w:r>
      <w:r w:rsidRPr="0017647D">
        <w:rPr>
          <w:rFonts w:ascii="Times New Roman" w:hAnsi="Times New Roman" w:cs="Times New Roman"/>
          <w:lang w:val="es-MX"/>
        </w:rPr>
        <w:t xml:space="preserve"> el gasto público para</w:t>
      </w:r>
      <w:r>
        <w:rPr>
          <w:rFonts w:ascii="Times New Roman" w:hAnsi="Times New Roman" w:cs="Times New Roman"/>
          <w:lang w:val="es-MX"/>
        </w:rPr>
        <w:t xml:space="preserve"> seguir atendiendo</w:t>
      </w:r>
      <w:r w:rsidRPr="0017647D">
        <w:rPr>
          <w:rFonts w:ascii="Times New Roman" w:hAnsi="Times New Roman" w:cs="Times New Roman"/>
          <w:lang w:val="es-MX"/>
        </w:rPr>
        <w:t xml:space="preserve"> las necesidades de infraestructura y las demandas de gasto social, sin </w:t>
      </w:r>
      <w:r>
        <w:rPr>
          <w:rFonts w:ascii="Times New Roman" w:hAnsi="Times New Roman" w:cs="Times New Roman"/>
          <w:lang w:val="es-MX"/>
        </w:rPr>
        <w:t>comprometer</w:t>
      </w:r>
      <w:r w:rsidRPr="0017647D">
        <w:rPr>
          <w:rFonts w:ascii="Times New Roman" w:hAnsi="Times New Roman" w:cs="Times New Roman"/>
          <w:lang w:val="es-MX"/>
        </w:rPr>
        <w:t xml:space="preserve"> la estabilidad macroeconómica y la sostenibilidad fiscal en el mediano y largo plazos.</w:t>
      </w:r>
    </w:p>
    <w:p w:rsidR="00463E5D" w:rsidRPr="0017647D" w:rsidRDefault="00463E5D" w:rsidP="00463E5D">
      <w:pPr>
        <w:jc w:val="both"/>
        <w:rPr>
          <w:rFonts w:ascii="Times New Roman" w:hAnsi="Times New Roman" w:cs="Times New Roman"/>
          <w:lang w:val="es-MX"/>
        </w:rPr>
      </w:pPr>
    </w:p>
    <w:p w:rsidR="00463E5D" w:rsidRDefault="00463E5D" w:rsidP="00463E5D">
      <w:pPr>
        <w:jc w:val="both"/>
        <w:rPr>
          <w:rFonts w:ascii="Times New Roman" w:hAnsi="Times New Roman" w:cs="Times New Roman"/>
          <w:lang w:val="es-MX"/>
        </w:rPr>
      </w:pPr>
      <w:r w:rsidRPr="0017647D">
        <w:rPr>
          <w:rFonts w:ascii="Times New Roman" w:hAnsi="Times New Roman" w:cs="Times New Roman"/>
          <w:lang w:val="es-MX"/>
        </w:rPr>
        <w:t>El déficit fiscal resultante se financió principalmente con la emisión de Bonos del Tesoro</w:t>
      </w:r>
      <w:r>
        <w:rPr>
          <w:rFonts w:ascii="Times New Roman" w:hAnsi="Times New Roman" w:cs="Times New Roman"/>
          <w:lang w:val="es-MX"/>
        </w:rPr>
        <w:t xml:space="preserve"> con la colocación e</w:t>
      </w:r>
      <w:r w:rsidRPr="0017647D">
        <w:rPr>
          <w:rFonts w:ascii="Times New Roman" w:hAnsi="Times New Roman" w:cs="Times New Roman"/>
          <w:lang w:val="es-MX"/>
        </w:rPr>
        <w:t>n el mercado doméstico (Q</w:t>
      </w:r>
      <w:r>
        <w:rPr>
          <w:rFonts w:ascii="Times New Roman" w:hAnsi="Times New Roman" w:cs="Times New Roman"/>
          <w:lang w:val="es-MX"/>
        </w:rPr>
        <w:t>9,710.0</w:t>
      </w:r>
      <w:r w:rsidRPr="0017647D">
        <w:rPr>
          <w:rFonts w:ascii="Times New Roman" w:hAnsi="Times New Roman" w:cs="Times New Roman"/>
          <w:lang w:val="es-MX"/>
        </w:rPr>
        <w:t xml:space="preserve"> millones), en es</w:t>
      </w:r>
      <w:r>
        <w:rPr>
          <w:rFonts w:ascii="Times New Roman" w:hAnsi="Times New Roman" w:cs="Times New Roman"/>
          <w:lang w:val="es-MX"/>
        </w:rPr>
        <w:t xml:space="preserve">te caso las condiciones fueron </w:t>
      </w:r>
      <w:r w:rsidRPr="0017647D">
        <w:rPr>
          <w:rFonts w:ascii="Times New Roman" w:hAnsi="Times New Roman" w:cs="Times New Roman"/>
          <w:lang w:val="es-MX"/>
        </w:rPr>
        <w:t>favorables ya que se obtuvo una tasa de interés promedio de 6.</w:t>
      </w:r>
      <w:r>
        <w:rPr>
          <w:rFonts w:ascii="Times New Roman" w:hAnsi="Times New Roman" w:cs="Times New Roman"/>
          <w:lang w:val="es-MX"/>
        </w:rPr>
        <w:t>5</w:t>
      </w:r>
      <w:r w:rsidRPr="0017647D">
        <w:rPr>
          <w:rFonts w:ascii="Times New Roman" w:hAnsi="Times New Roman" w:cs="Times New Roman"/>
          <w:lang w:val="es-MX"/>
        </w:rPr>
        <w:t>%</w:t>
      </w:r>
      <w:r>
        <w:rPr>
          <w:rFonts w:ascii="Times New Roman" w:hAnsi="Times New Roman" w:cs="Times New Roman"/>
          <w:lang w:val="es-MX"/>
        </w:rPr>
        <w:t>,</w:t>
      </w:r>
      <w:r w:rsidRPr="0017647D">
        <w:rPr>
          <w:rFonts w:ascii="Times New Roman" w:hAnsi="Times New Roman" w:cs="Times New Roman"/>
          <w:lang w:val="es-MX"/>
        </w:rPr>
        <w:t xml:space="preserve"> pl</w:t>
      </w:r>
      <w:r>
        <w:rPr>
          <w:rFonts w:ascii="Times New Roman" w:hAnsi="Times New Roman" w:cs="Times New Roman"/>
          <w:lang w:val="es-MX"/>
        </w:rPr>
        <w:t>azo promedio fue de 12 años y una buena parte de la emisión se colocó con prima por lo que se obtuvieron recursos adicionales producto de la colocación por el equivalente a Q611.7 millones, (no considera la amortización de primas por Q50.9 millones)</w:t>
      </w:r>
    </w:p>
    <w:p w:rsidR="00463E5D" w:rsidRPr="0017647D" w:rsidRDefault="00463E5D" w:rsidP="00463E5D">
      <w:pPr>
        <w:jc w:val="both"/>
        <w:rPr>
          <w:rFonts w:ascii="Times New Roman" w:hAnsi="Times New Roman" w:cs="Times New Roman"/>
          <w:lang w:val="es-MX"/>
        </w:rPr>
      </w:pPr>
    </w:p>
    <w:p w:rsidR="00364844" w:rsidRPr="0008775B" w:rsidRDefault="00463E5D" w:rsidP="00463E5D">
      <w:pPr>
        <w:jc w:val="both"/>
        <w:rPr>
          <w:rFonts w:ascii="Times New Roman" w:hAnsi="Times New Roman" w:cs="Times New Roman"/>
          <w:color w:val="FF0000"/>
          <w:lang w:val="es-MX"/>
        </w:rPr>
      </w:pPr>
      <w:r w:rsidRPr="0017647D">
        <w:rPr>
          <w:rFonts w:ascii="Times New Roman" w:hAnsi="Times New Roman" w:cs="Times New Roman"/>
          <w:lang w:val="es-MX"/>
        </w:rPr>
        <w:t xml:space="preserve">Por su parte, </w:t>
      </w:r>
      <w:r>
        <w:rPr>
          <w:rFonts w:ascii="Times New Roman" w:hAnsi="Times New Roman" w:cs="Times New Roman"/>
          <w:lang w:val="es-MX"/>
        </w:rPr>
        <w:t xml:space="preserve">el déficit </w:t>
      </w:r>
      <w:r w:rsidRPr="0017647D">
        <w:rPr>
          <w:rFonts w:ascii="Times New Roman" w:hAnsi="Times New Roman" w:cs="Times New Roman"/>
          <w:lang w:val="es-MX"/>
        </w:rPr>
        <w:t>también se financió con préstamos externo</w:t>
      </w:r>
      <w:r>
        <w:rPr>
          <w:rFonts w:ascii="Times New Roman" w:hAnsi="Times New Roman" w:cs="Times New Roman"/>
          <w:lang w:val="es-MX"/>
        </w:rPr>
        <w:t>s, aunque el monto de los desembolsos mejoró considerablemente con respecto a lo observado en 2017 (Q2,961.9</w:t>
      </w:r>
      <w:r w:rsidRPr="0017647D">
        <w:rPr>
          <w:rFonts w:ascii="Times New Roman" w:hAnsi="Times New Roman" w:cs="Times New Roman"/>
          <w:lang w:val="es-MX"/>
        </w:rPr>
        <w:t xml:space="preserve"> millones)</w:t>
      </w:r>
      <w:r>
        <w:rPr>
          <w:rFonts w:ascii="Times New Roman" w:hAnsi="Times New Roman" w:cs="Times New Roman"/>
          <w:lang w:val="es-MX"/>
        </w:rPr>
        <w:t xml:space="preserve">. </w:t>
      </w:r>
      <w:r w:rsidRPr="0017647D">
        <w:rPr>
          <w:rFonts w:ascii="Times New Roman" w:hAnsi="Times New Roman" w:cs="Times New Roman"/>
          <w:lang w:val="es-MX"/>
        </w:rPr>
        <w:t xml:space="preserve"> </w:t>
      </w:r>
      <w:r>
        <w:rPr>
          <w:rFonts w:ascii="Times New Roman" w:hAnsi="Times New Roman" w:cs="Times New Roman"/>
          <w:lang w:val="es-MX"/>
        </w:rPr>
        <w:lastRenderedPageBreak/>
        <w:t xml:space="preserve">El cual </w:t>
      </w:r>
      <w:r w:rsidRPr="0017647D">
        <w:rPr>
          <w:rFonts w:ascii="Times New Roman" w:hAnsi="Times New Roman" w:cs="Times New Roman"/>
          <w:lang w:val="es-MX"/>
        </w:rPr>
        <w:t>sirvió para financiar algunos programas sociales y de inversión pública.  No obstante, los préstamos netos (desembolsos menos amortiza</w:t>
      </w:r>
      <w:r>
        <w:rPr>
          <w:rFonts w:ascii="Times New Roman" w:hAnsi="Times New Roman" w:cs="Times New Roman"/>
          <w:lang w:val="es-MX"/>
        </w:rPr>
        <w:t>ciones) muestra un nivel más moderado de Q446.2</w:t>
      </w:r>
      <w:r w:rsidRPr="0017647D">
        <w:rPr>
          <w:rFonts w:ascii="Times New Roman" w:hAnsi="Times New Roman" w:cs="Times New Roman"/>
          <w:lang w:val="es-MX"/>
        </w:rPr>
        <w:t xml:space="preserve"> millones, </w:t>
      </w:r>
      <w:r>
        <w:rPr>
          <w:rFonts w:ascii="Times New Roman" w:hAnsi="Times New Roman" w:cs="Times New Roman"/>
          <w:lang w:val="es-MX"/>
        </w:rPr>
        <w:t>que es el aumento neto de la</w:t>
      </w:r>
      <w:r w:rsidRPr="0017647D">
        <w:rPr>
          <w:rFonts w:ascii="Times New Roman" w:hAnsi="Times New Roman" w:cs="Times New Roman"/>
          <w:lang w:val="es-MX"/>
        </w:rPr>
        <w:t xml:space="preserve"> deuda pública con los organ</w:t>
      </w:r>
      <w:r>
        <w:rPr>
          <w:rFonts w:ascii="Times New Roman" w:hAnsi="Times New Roman" w:cs="Times New Roman"/>
          <w:lang w:val="es-MX"/>
        </w:rPr>
        <w:t>ismos financieros internacionales</w:t>
      </w:r>
      <w:r w:rsidRPr="0017647D">
        <w:rPr>
          <w:rFonts w:ascii="Times New Roman" w:hAnsi="Times New Roman" w:cs="Times New Roman"/>
          <w:lang w:val="es-MX"/>
        </w:rPr>
        <w:t>.</w:t>
      </w:r>
    </w:p>
    <w:p w:rsidR="00364844" w:rsidRPr="0008775B" w:rsidRDefault="00364844" w:rsidP="00364844">
      <w:pPr>
        <w:pStyle w:val="Sinespaciado"/>
        <w:jc w:val="center"/>
        <w:rPr>
          <w:rFonts w:ascii="Times New Roman" w:hAnsi="Times New Roman" w:cs="Times New Roman"/>
          <w:b/>
          <w:color w:val="FF0000"/>
          <w:lang w:val="es-MX"/>
        </w:rPr>
      </w:pPr>
    </w:p>
    <w:p w:rsidR="00364844" w:rsidRPr="00463E5D" w:rsidRDefault="00364844" w:rsidP="00364844">
      <w:pPr>
        <w:pStyle w:val="Sinespaciado"/>
        <w:jc w:val="center"/>
        <w:rPr>
          <w:rFonts w:ascii="Times New Roman" w:hAnsi="Times New Roman" w:cs="Times New Roman"/>
          <w:b/>
          <w:sz w:val="24"/>
          <w:lang w:val="es-MX"/>
        </w:rPr>
      </w:pPr>
      <w:r w:rsidRPr="00463E5D">
        <w:rPr>
          <w:rFonts w:ascii="Times New Roman" w:hAnsi="Times New Roman" w:cs="Times New Roman"/>
          <w:b/>
          <w:sz w:val="24"/>
          <w:lang w:val="es-MX"/>
        </w:rPr>
        <w:t>Resultado Fiscal y Financiamiento</w:t>
      </w:r>
    </w:p>
    <w:p w:rsidR="00364844" w:rsidRPr="00463E5D" w:rsidRDefault="00364844" w:rsidP="00364844">
      <w:pPr>
        <w:pStyle w:val="Sinespaciado"/>
        <w:jc w:val="center"/>
        <w:rPr>
          <w:rFonts w:ascii="Times New Roman" w:hAnsi="Times New Roman" w:cs="Times New Roman"/>
          <w:b/>
          <w:lang w:val="es-MX"/>
        </w:rPr>
      </w:pPr>
    </w:p>
    <w:tbl>
      <w:tblPr>
        <w:tblStyle w:val="Tablaconcuadrcula"/>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81"/>
      </w:tblGrid>
      <w:tr w:rsidR="00463E5D" w:rsidRPr="00463E5D" w:rsidTr="00364844">
        <w:trPr>
          <w:trHeight w:val="314"/>
        </w:trPr>
        <w:tc>
          <w:tcPr>
            <w:tcW w:w="4520" w:type="dxa"/>
            <w:vAlign w:val="center"/>
          </w:tcPr>
          <w:p w:rsidR="00364844" w:rsidRPr="00463E5D" w:rsidRDefault="00364844" w:rsidP="00463E5D">
            <w:pPr>
              <w:pStyle w:val="Sinespaciado"/>
              <w:jc w:val="center"/>
              <w:rPr>
                <w:rFonts w:ascii="Times New Roman" w:hAnsi="Times New Roman" w:cs="Times New Roman"/>
                <w:sz w:val="18"/>
                <w:lang w:val="es-MX"/>
              </w:rPr>
            </w:pPr>
            <w:r w:rsidRPr="00463E5D">
              <w:rPr>
                <w:rFonts w:ascii="Times New Roman" w:hAnsi="Times New Roman" w:cs="Times New Roman"/>
                <w:sz w:val="18"/>
                <w:lang w:val="es-MX"/>
              </w:rPr>
              <w:t>Déficit Fiscal con respecto al PIB 2010 - 201</w:t>
            </w:r>
            <w:r w:rsidR="00463E5D" w:rsidRPr="00463E5D">
              <w:rPr>
                <w:rFonts w:ascii="Times New Roman" w:hAnsi="Times New Roman" w:cs="Times New Roman"/>
                <w:sz w:val="18"/>
                <w:lang w:val="es-MX"/>
              </w:rPr>
              <w:t>8</w:t>
            </w:r>
          </w:p>
        </w:tc>
        <w:tc>
          <w:tcPr>
            <w:tcW w:w="4581" w:type="dxa"/>
            <w:vAlign w:val="center"/>
          </w:tcPr>
          <w:p w:rsidR="00364844" w:rsidRPr="00463E5D" w:rsidRDefault="00364844" w:rsidP="00463E5D">
            <w:pPr>
              <w:pStyle w:val="Sinespaciado"/>
              <w:jc w:val="center"/>
              <w:rPr>
                <w:rFonts w:ascii="Times New Roman" w:hAnsi="Times New Roman" w:cs="Times New Roman"/>
                <w:sz w:val="18"/>
                <w:lang w:val="es-MX"/>
              </w:rPr>
            </w:pPr>
            <w:r w:rsidRPr="00463E5D">
              <w:rPr>
                <w:rFonts w:ascii="Times New Roman" w:hAnsi="Times New Roman" w:cs="Times New Roman"/>
                <w:sz w:val="18"/>
                <w:lang w:val="es-MX"/>
              </w:rPr>
              <w:t>Financiamiento del Déficit 201</w:t>
            </w:r>
            <w:r w:rsidR="00463E5D" w:rsidRPr="00463E5D">
              <w:rPr>
                <w:rFonts w:ascii="Times New Roman" w:hAnsi="Times New Roman" w:cs="Times New Roman"/>
                <w:sz w:val="18"/>
                <w:lang w:val="es-MX"/>
              </w:rPr>
              <w:t>8</w:t>
            </w:r>
          </w:p>
        </w:tc>
      </w:tr>
      <w:tr w:rsidR="0008775B" w:rsidRPr="00463E5D" w:rsidTr="00364844">
        <w:trPr>
          <w:trHeight w:val="3543"/>
        </w:trPr>
        <w:tc>
          <w:tcPr>
            <w:tcW w:w="4520" w:type="dxa"/>
          </w:tcPr>
          <w:p w:rsidR="00364844" w:rsidRPr="00463E5D" w:rsidRDefault="00463E5D" w:rsidP="00364844">
            <w:pPr>
              <w:pStyle w:val="Sinespaciado"/>
              <w:jc w:val="center"/>
              <w:rPr>
                <w:rFonts w:ascii="Times New Roman" w:hAnsi="Times New Roman" w:cs="Times New Roman"/>
                <w:sz w:val="18"/>
                <w:lang w:val="es-MX"/>
              </w:rPr>
            </w:pPr>
            <w:r w:rsidRPr="00463E5D">
              <w:rPr>
                <w:rFonts w:ascii="Times New Roman" w:hAnsi="Times New Roman" w:cs="Times New Roman"/>
                <w:noProof/>
                <w:sz w:val="18"/>
                <w:lang w:eastAsia="es-GT"/>
              </w:rPr>
              <w:drawing>
                <wp:inline distT="0" distB="0" distL="0" distR="0" wp14:anchorId="7BF5B574" wp14:editId="1C3F169C">
                  <wp:extent cx="2733092" cy="23622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2761" cy="2379200"/>
                          </a:xfrm>
                          <a:prstGeom prst="rect">
                            <a:avLst/>
                          </a:prstGeom>
                          <a:noFill/>
                        </pic:spPr>
                      </pic:pic>
                    </a:graphicData>
                  </a:graphic>
                </wp:inline>
              </w:drawing>
            </w:r>
          </w:p>
        </w:tc>
        <w:tc>
          <w:tcPr>
            <w:tcW w:w="4581" w:type="dxa"/>
          </w:tcPr>
          <w:p w:rsidR="00364844" w:rsidRPr="00463E5D" w:rsidRDefault="00463E5D" w:rsidP="00364844">
            <w:pPr>
              <w:pStyle w:val="Sinespaciado"/>
              <w:jc w:val="center"/>
              <w:rPr>
                <w:rFonts w:ascii="Times New Roman" w:hAnsi="Times New Roman" w:cs="Times New Roman"/>
                <w:sz w:val="18"/>
                <w:lang w:val="es-MX"/>
              </w:rPr>
            </w:pPr>
            <w:r w:rsidRPr="00463E5D">
              <w:rPr>
                <w:rFonts w:ascii="Times New Roman" w:hAnsi="Times New Roman" w:cs="Times New Roman"/>
                <w:noProof/>
                <w:sz w:val="18"/>
                <w:lang w:eastAsia="es-GT"/>
              </w:rPr>
              <w:drawing>
                <wp:inline distT="0" distB="0" distL="0" distR="0" wp14:anchorId="3B530EB4" wp14:editId="7C67D36C">
                  <wp:extent cx="2618740" cy="225736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5910" cy="2280781"/>
                          </a:xfrm>
                          <a:prstGeom prst="rect">
                            <a:avLst/>
                          </a:prstGeom>
                          <a:noFill/>
                        </pic:spPr>
                      </pic:pic>
                    </a:graphicData>
                  </a:graphic>
                </wp:inline>
              </w:drawing>
            </w:r>
          </w:p>
        </w:tc>
      </w:tr>
    </w:tbl>
    <w:p w:rsidR="00463E5D" w:rsidRPr="00463E5D" w:rsidRDefault="00463E5D" w:rsidP="00364844">
      <w:pPr>
        <w:pStyle w:val="Sinespaciado"/>
        <w:rPr>
          <w:rFonts w:ascii="Times New Roman" w:hAnsi="Times New Roman" w:cs="Times New Roman"/>
          <w:sz w:val="16"/>
          <w:lang w:val="es-MX"/>
        </w:rPr>
      </w:pPr>
      <w:r w:rsidRPr="00463E5D">
        <w:rPr>
          <w:rFonts w:ascii="Times New Roman" w:hAnsi="Times New Roman" w:cs="Times New Roman"/>
          <w:sz w:val="16"/>
          <w:lang w:val="es-MX"/>
        </w:rPr>
        <w:t>Nota: cifras preliminares</w:t>
      </w:r>
    </w:p>
    <w:p w:rsidR="00364844" w:rsidRPr="00463E5D" w:rsidRDefault="00364844" w:rsidP="00364844">
      <w:pPr>
        <w:pStyle w:val="Sinespaciado"/>
        <w:rPr>
          <w:rFonts w:ascii="Times New Roman" w:hAnsi="Times New Roman" w:cs="Times New Roman"/>
          <w:sz w:val="18"/>
          <w:lang w:val="es-MX"/>
        </w:rPr>
      </w:pPr>
      <w:r w:rsidRPr="00463E5D">
        <w:rPr>
          <w:rFonts w:ascii="Times New Roman" w:hAnsi="Times New Roman" w:cs="Times New Roman"/>
          <w:sz w:val="16"/>
          <w:lang w:val="es-MX"/>
        </w:rPr>
        <w:t>Fuente: Dirección de Análisis y Política Fiscal</w:t>
      </w:r>
    </w:p>
    <w:p w:rsidR="00364844" w:rsidRPr="0008775B" w:rsidRDefault="00364844" w:rsidP="00364844">
      <w:pPr>
        <w:jc w:val="both"/>
        <w:rPr>
          <w:rFonts w:ascii="Times New Roman" w:hAnsi="Times New Roman" w:cs="Times New Roman"/>
          <w:color w:val="FF0000"/>
          <w:lang w:val="es-MX"/>
        </w:rPr>
      </w:pPr>
    </w:p>
    <w:p w:rsidR="00364844" w:rsidRPr="00463E5D" w:rsidRDefault="00463E5D" w:rsidP="00364844">
      <w:pPr>
        <w:jc w:val="both"/>
        <w:rPr>
          <w:rFonts w:ascii="Times New Roman" w:hAnsi="Times New Roman" w:cs="Times New Roman"/>
          <w:lang w:val="es-MX"/>
        </w:rPr>
      </w:pPr>
      <w:r>
        <w:rPr>
          <w:rFonts w:ascii="Times New Roman" w:hAnsi="Times New Roman" w:cs="Times New Roman"/>
          <w:lang w:val="es-MX"/>
        </w:rPr>
        <w:t>Dado los movimientos en el financiamiento del déficit fiscal, el nivel del endeudamiento público de manera preliminar aumentó en términos nominales de Q132,288</w:t>
      </w:r>
      <w:r w:rsidR="00E14CCD">
        <w:rPr>
          <w:rFonts w:ascii="Times New Roman" w:hAnsi="Times New Roman" w:cs="Times New Roman"/>
          <w:lang w:val="es-MX"/>
        </w:rPr>
        <w:t>.8 millones en 2017 a Q145,988.6</w:t>
      </w:r>
      <w:r>
        <w:rPr>
          <w:rFonts w:ascii="Times New Roman" w:hAnsi="Times New Roman" w:cs="Times New Roman"/>
          <w:lang w:val="es-MX"/>
        </w:rPr>
        <w:t xml:space="preserve"> millones para 2018. Asimismo, en términos del PIB, el principal indicador de solvencia de la deuda pública, aumento de 23.8% en 2017 a 24.7% en 2018.   Este aumento debe a que el resultado primario de 2018 fue deficitario (0.3% del PIB), mientras que los dos años anteriores fue superavitario, causado como se indicó por el aumento en la inversión pública, además otro factor que afectó de manera importante en el alza de este indicador fue la depreciación del tipo de cambio nominal que fue de 5.5% en el tipo de cambio al final de período.  No obstante, la deuda se mantiene baja lo que muestra que se preserva la sostenibilidad de la deuda pública, principalmente porque la relación deuda / PIB, dista mucho del nivel máximo recomendado para países como Guatemala (40% del PIB), situación que da espacio para impulsar medidas expansionistas y contra cíclicas para impulsar la actividad económica </w:t>
      </w:r>
      <w:r w:rsidRPr="00463E5D">
        <w:rPr>
          <w:rFonts w:ascii="Times New Roman" w:hAnsi="Times New Roman" w:cs="Times New Roman"/>
          <w:lang w:val="es-MX"/>
        </w:rPr>
        <w:t>mediante la inversión y reducir asimismo las brechas sociales sin poner en riesgo la estabilidad macroeconómica.</w:t>
      </w:r>
    </w:p>
    <w:p w:rsidR="00BC01B9" w:rsidRDefault="00BC01B9" w:rsidP="00364844">
      <w:pPr>
        <w:jc w:val="both"/>
        <w:rPr>
          <w:rFonts w:ascii="Times New Roman" w:hAnsi="Times New Roman" w:cs="Times New Roman"/>
        </w:rPr>
      </w:pPr>
    </w:p>
    <w:p w:rsidR="00917901" w:rsidRDefault="00917901" w:rsidP="00364844">
      <w:pPr>
        <w:jc w:val="both"/>
        <w:rPr>
          <w:rFonts w:ascii="Times New Roman" w:hAnsi="Times New Roman" w:cs="Times New Roman"/>
        </w:rPr>
      </w:pPr>
    </w:p>
    <w:p w:rsidR="00917901" w:rsidRDefault="00917901" w:rsidP="00364844">
      <w:pPr>
        <w:jc w:val="both"/>
        <w:rPr>
          <w:rFonts w:ascii="Times New Roman" w:hAnsi="Times New Roman" w:cs="Times New Roman"/>
        </w:rPr>
      </w:pPr>
    </w:p>
    <w:p w:rsidR="00917901" w:rsidRDefault="00917901" w:rsidP="00364844">
      <w:pPr>
        <w:jc w:val="both"/>
        <w:rPr>
          <w:rFonts w:ascii="Times New Roman" w:hAnsi="Times New Roman" w:cs="Times New Roman"/>
        </w:rPr>
      </w:pPr>
    </w:p>
    <w:p w:rsidR="00917901" w:rsidRDefault="00917901" w:rsidP="00364844">
      <w:pPr>
        <w:jc w:val="both"/>
        <w:rPr>
          <w:rFonts w:ascii="Times New Roman" w:hAnsi="Times New Roman" w:cs="Times New Roman"/>
        </w:rPr>
      </w:pPr>
    </w:p>
    <w:p w:rsidR="00917901" w:rsidRDefault="00917901" w:rsidP="00364844">
      <w:pPr>
        <w:jc w:val="both"/>
        <w:rPr>
          <w:rFonts w:ascii="Times New Roman" w:hAnsi="Times New Roman" w:cs="Times New Roman"/>
        </w:rPr>
      </w:pPr>
    </w:p>
    <w:p w:rsidR="00917901" w:rsidRDefault="00917901" w:rsidP="00364844">
      <w:pPr>
        <w:jc w:val="both"/>
        <w:rPr>
          <w:rFonts w:ascii="Times New Roman" w:hAnsi="Times New Roman" w:cs="Times New Roman"/>
        </w:rPr>
      </w:pPr>
    </w:p>
    <w:p w:rsidR="00917901" w:rsidRDefault="00917901" w:rsidP="00364844">
      <w:pPr>
        <w:jc w:val="both"/>
        <w:rPr>
          <w:rFonts w:ascii="Times New Roman" w:hAnsi="Times New Roman" w:cs="Times New Roman"/>
        </w:rPr>
      </w:pPr>
    </w:p>
    <w:p w:rsidR="00917901" w:rsidRDefault="00917901" w:rsidP="00364844">
      <w:pPr>
        <w:jc w:val="both"/>
        <w:rPr>
          <w:rFonts w:ascii="Times New Roman" w:hAnsi="Times New Roman" w:cs="Times New Roman"/>
        </w:rPr>
      </w:pPr>
    </w:p>
    <w:p w:rsidR="00917901" w:rsidRPr="00463E5D" w:rsidRDefault="00917901" w:rsidP="00364844">
      <w:pPr>
        <w:jc w:val="both"/>
        <w:rPr>
          <w:rFonts w:ascii="Times New Roman" w:hAnsi="Times New Roman" w:cs="Times New Roman"/>
        </w:rPr>
      </w:pPr>
    </w:p>
    <w:p w:rsidR="00364844" w:rsidRPr="00463E5D" w:rsidRDefault="00364844" w:rsidP="00364844">
      <w:pPr>
        <w:pStyle w:val="Sinespaciado"/>
        <w:jc w:val="center"/>
        <w:rPr>
          <w:rFonts w:ascii="Times New Roman" w:hAnsi="Times New Roman" w:cs="Times New Roman"/>
          <w:b/>
          <w:sz w:val="24"/>
          <w:lang w:val="es-MX"/>
        </w:rPr>
      </w:pPr>
      <w:r w:rsidRPr="00463E5D">
        <w:rPr>
          <w:rFonts w:ascii="Times New Roman" w:hAnsi="Times New Roman" w:cs="Times New Roman"/>
          <w:b/>
          <w:sz w:val="24"/>
          <w:lang w:val="es-MX"/>
        </w:rPr>
        <w:lastRenderedPageBreak/>
        <w:t>Relación Deuda / PIB</w:t>
      </w:r>
    </w:p>
    <w:p w:rsidR="00364844" w:rsidRPr="00463E5D" w:rsidRDefault="00364844" w:rsidP="00364844">
      <w:pPr>
        <w:pStyle w:val="Sinespaciado"/>
        <w:jc w:val="center"/>
        <w:rPr>
          <w:rFonts w:ascii="Times New Roman" w:hAnsi="Times New Roman" w:cs="Times New Roman"/>
          <w:sz w:val="20"/>
          <w:lang w:val="es-MX"/>
        </w:rPr>
      </w:pPr>
      <w:r w:rsidRPr="00463E5D">
        <w:rPr>
          <w:rFonts w:ascii="Times New Roman" w:hAnsi="Times New Roman" w:cs="Times New Roman"/>
          <w:sz w:val="20"/>
          <w:lang w:val="es-MX"/>
        </w:rPr>
        <w:t>2007-2018</w:t>
      </w:r>
    </w:p>
    <w:p w:rsidR="00364844" w:rsidRPr="00463E5D" w:rsidRDefault="00364844" w:rsidP="00364844">
      <w:pPr>
        <w:pStyle w:val="Sinespaciado"/>
        <w:jc w:val="center"/>
        <w:rPr>
          <w:rFonts w:ascii="Times New Roman" w:hAnsi="Times New Roman" w:cs="Times New Roman"/>
          <w:sz w:val="20"/>
          <w:lang w:val="es-MX"/>
        </w:rPr>
      </w:pPr>
      <w:r w:rsidRPr="00463E5D">
        <w:rPr>
          <w:rFonts w:ascii="Times New Roman" w:hAnsi="Times New Roman" w:cs="Times New Roman"/>
          <w:sz w:val="20"/>
          <w:lang w:val="es-MX"/>
        </w:rPr>
        <w:t>Porcentajes</w:t>
      </w:r>
    </w:p>
    <w:p w:rsidR="00463E5D" w:rsidRPr="00463E5D" w:rsidRDefault="00917901" w:rsidP="00917901">
      <w:pPr>
        <w:jc w:val="center"/>
        <w:rPr>
          <w:rFonts w:ascii="Times New Roman" w:hAnsi="Times New Roman" w:cs="Times New Roman"/>
          <w:noProof/>
          <w:lang w:val="es-GT" w:eastAsia="es-GT"/>
        </w:rPr>
      </w:pPr>
      <w:r w:rsidRPr="00463E5D">
        <w:rPr>
          <w:rFonts w:ascii="Times New Roman" w:hAnsi="Times New Roman" w:cs="Times New Roman"/>
          <w:noProof/>
          <w:lang w:val="es-GT" w:eastAsia="es-GT"/>
        </w:rPr>
        <w:drawing>
          <wp:inline distT="0" distB="0" distL="0" distR="0" wp14:anchorId="3626D3BD" wp14:editId="0A95DD18">
            <wp:extent cx="4828540" cy="28003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28540" cy="2800350"/>
                    </a:xfrm>
                    <a:prstGeom prst="rect">
                      <a:avLst/>
                    </a:prstGeom>
                    <a:noFill/>
                  </pic:spPr>
                </pic:pic>
              </a:graphicData>
            </a:graphic>
          </wp:inline>
        </w:drawing>
      </w:r>
    </w:p>
    <w:p w:rsidR="00364844" w:rsidRDefault="00364844" w:rsidP="00917901">
      <w:pPr>
        <w:ind w:firstLine="708"/>
        <w:jc w:val="both"/>
        <w:rPr>
          <w:rFonts w:ascii="Times New Roman" w:hAnsi="Times New Roman" w:cs="Times New Roman"/>
          <w:sz w:val="16"/>
          <w:lang w:val="es-MX"/>
        </w:rPr>
      </w:pPr>
      <w:bookmarkStart w:id="54" w:name="_Toc411347499"/>
      <w:r w:rsidRPr="00463E5D">
        <w:rPr>
          <w:rFonts w:ascii="Times New Roman" w:hAnsi="Times New Roman" w:cs="Times New Roman"/>
          <w:sz w:val="16"/>
          <w:lang w:val="es-MX"/>
        </w:rPr>
        <w:t>Fuente: Dirección de Análisis y Política Fiscal</w:t>
      </w:r>
    </w:p>
    <w:p w:rsidR="00917901" w:rsidRPr="00917901" w:rsidRDefault="00917901" w:rsidP="00917901">
      <w:pPr>
        <w:ind w:firstLine="708"/>
        <w:jc w:val="both"/>
        <w:rPr>
          <w:rFonts w:ascii="Times New Roman" w:hAnsi="Times New Roman" w:cs="Times New Roman"/>
          <w:lang w:val="es-MX"/>
        </w:rPr>
      </w:pPr>
    </w:p>
    <w:p w:rsidR="00364844" w:rsidRPr="0008775B" w:rsidRDefault="00D40B20" w:rsidP="00917901">
      <w:pPr>
        <w:pStyle w:val="Ttulo2"/>
        <w:numPr>
          <w:ilvl w:val="1"/>
          <w:numId w:val="12"/>
        </w:numPr>
        <w:spacing w:before="0"/>
        <w:rPr>
          <w:rFonts w:ascii="Times New Roman" w:hAnsi="Times New Roman" w:cs="Times New Roman"/>
          <w:color w:val="FF0000"/>
          <w:sz w:val="24"/>
        </w:rPr>
      </w:pPr>
      <w:bookmarkStart w:id="55" w:name="_Toc534988236"/>
      <w:r w:rsidRPr="00D40B20">
        <w:rPr>
          <w:rFonts w:ascii="Times New Roman" w:hAnsi="Times New Roman" w:cs="Times New Roman"/>
          <w:color w:val="auto"/>
          <w:sz w:val="24"/>
        </w:rPr>
        <w:t>L</w:t>
      </w:r>
      <w:r w:rsidR="00364844" w:rsidRPr="00D40B20">
        <w:rPr>
          <w:rFonts w:ascii="Times New Roman" w:hAnsi="Times New Roman" w:cs="Times New Roman"/>
          <w:color w:val="auto"/>
          <w:sz w:val="24"/>
        </w:rPr>
        <w:t>a política fiscal fue expansiva</w:t>
      </w:r>
      <w:bookmarkEnd w:id="55"/>
      <w:r w:rsidR="00364844" w:rsidRPr="0008775B">
        <w:rPr>
          <w:rFonts w:ascii="Times New Roman" w:hAnsi="Times New Roman" w:cs="Times New Roman"/>
          <w:color w:val="FF0000"/>
          <w:sz w:val="24"/>
        </w:rPr>
        <w:t xml:space="preserve"> </w:t>
      </w:r>
      <w:bookmarkEnd w:id="54"/>
    </w:p>
    <w:p w:rsidR="00BC01B9" w:rsidRPr="0008775B" w:rsidRDefault="00BC01B9" w:rsidP="00BC01B9">
      <w:pPr>
        <w:rPr>
          <w:color w:val="FF0000"/>
        </w:rPr>
      </w:pPr>
    </w:p>
    <w:p w:rsidR="00364844" w:rsidRPr="0008775B" w:rsidRDefault="00D40B20" w:rsidP="00364844">
      <w:pPr>
        <w:jc w:val="both"/>
        <w:rPr>
          <w:rFonts w:ascii="Times New Roman" w:hAnsi="Times New Roman" w:cs="Times New Roman"/>
          <w:color w:val="FF0000"/>
          <w:lang w:val="es-MX"/>
        </w:rPr>
      </w:pPr>
      <w:r w:rsidRPr="00F563AF">
        <w:rPr>
          <w:rFonts w:ascii="Times New Roman" w:hAnsi="Times New Roman" w:cs="Times New Roman"/>
          <w:lang w:val="es-MX"/>
        </w:rPr>
        <w:t xml:space="preserve">Los resultados financieros </w:t>
      </w:r>
      <w:r>
        <w:rPr>
          <w:rFonts w:ascii="Times New Roman" w:hAnsi="Times New Roman" w:cs="Times New Roman"/>
          <w:lang w:val="es-MX"/>
        </w:rPr>
        <w:t>preliminares de</w:t>
      </w:r>
      <w:r w:rsidRPr="00F563AF">
        <w:rPr>
          <w:rFonts w:ascii="Times New Roman" w:hAnsi="Times New Roman" w:cs="Times New Roman"/>
          <w:lang w:val="es-MX"/>
        </w:rPr>
        <w:t xml:space="preserve"> 201</w:t>
      </w:r>
      <w:r>
        <w:rPr>
          <w:rFonts w:ascii="Times New Roman" w:hAnsi="Times New Roman" w:cs="Times New Roman"/>
          <w:lang w:val="es-MX"/>
        </w:rPr>
        <w:t>8</w:t>
      </w:r>
      <w:r w:rsidRPr="00F563AF">
        <w:rPr>
          <w:rFonts w:ascii="Times New Roman" w:hAnsi="Times New Roman" w:cs="Times New Roman"/>
          <w:lang w:val="es-MX"/>
        </w:rPr>
        <w:t xml:space="preserve">, sugieren que la política fiscal </w:t>
      </w:r>
      <w:r>
        <w:rPr>
          <w:rFonts w:ascii="Times New Roman" w:hAnsi="Times New Roman" w:cs="Times New Roman"/>
          <w:lang w:val="es-MX"/>
        </w:rPr>
        <w:t>fue</w:t>
      </w:r>
      <w:r w:rsidRPr="00F563AF">
        <w:rPr>
          <w:rFonts w:ascii="Times New Roman" w:hAnsi="Times New Roman" w:cs="Times New Roman"/>
          <w:lang w:val="es-MX"/>
        </w:rPr>
        <w:t xml:space="preserve"> levemente expansiva considerando </w:t>
      </w:r>
      <w:r>
        <w:rPr>
          <w:rFonts w:ascii="Times New Roman" w:hAnsi="Times New Roman" w:cs="Times New Roman"/>
          <w:lang w:val="es-MX"/>
        </w:rPr>
        <w:t>que</w:t>
      </w:r>
      <w:r w:rsidRPr="00F563AF">
        <w:rPr>
          <w:rFonts w:ascii="Times New Roman" w:hAnsi="Times New Roman" w:cs="Times New Roman"/>
          <w:lang w:val="es-MX"/>
        </w:rPr>
        <w:t xml:space="preserve"> los ingresos </w:t>
      </w:r>
      <w:r>
        <w:rPr>
          <w:rFonts w:ascii="Times New Roman" w:hAnsi="Times New Roman" w:cs="Times New Roman"/>
          <w:lang w:val="es-MX"/>
        </w:rPr>
        <w:t>mostraron una reducción en términos del PIB</w:t>
      </w:r>
      <w:r w:rsidRPr="00F563AF">
        <w:rPr>
          <w:rFonts w:ascii="Times New Roman" w:hAnsi="Times New Roman" w:cs="Times New Roman"/>
          <w:lang w:val="es-MX"/>
        </w:rPr>
        <w:t xml:space="preserve"> con respecto al año anterior</w:t>
      </w:r>
      <w:r>
        <w:rPr>
          <w:rFonts w:ascii="Times New Roman" w:hAnsi="Times New Roman" w:cs="Times New Roman"/>
          <w:lang w:val="es-MX"/>
        </w:rPr>
        <w:t>.  El</w:t>
      </w:r>
      <w:r w:rsidRPr="00F563AF">
        <w:rPr>
          <w:rFonts w:ascii="Times New Roman" w:hAnsi="Times New Roman" w:cs="Times New Roman"/>
          <w:lang w:val="es-MX"/>
        </w:rPr>
        <w:t xml:space="preserve"> gasto público</w:t>
      </w:r>
      <w:r>
        <w:rPr>
          <w:rFonts w:ascii="Times New Roman" w:hAnsi="Times New Roman" w:cs="Times New Roman"/>
          <w:lang w:val="es-MX"/>
        </w:rPr>
        <w:t>, por su parte, mostró</w:t>
      </w:r>
      <w:r w:rsidRPr="00F563AF">
        <w:rPr>
          <w:rFonts w:ascii="Times New Roman" w:hAnsi="Times New Roman" w:cs="Times New Roman"/>
          <w:lang w:val="es-MX"/>
        </w:rPr>
        <w:t xml:space="preserve"> </w:t>
      </w:r>
      <w:r>
        <w:rPr>
          <w:rFonts w:ascii="Times New Roman" w:hAnsi="Times New Roman" w:cs="Times New Roman"/>
          <w:lang w:val="es-MX"/>
        </w:rPr>
        <w:t xml:space="preserve">un </w:t>
      </w:r>
      <w:r w:rsidRPr="00F563AF">
        <w:rPr>
          <w:rFonts w:ascii="Times New Roman" w:hAnsi="Times New Roman" w:cs="Times New Roman"/>
          <w:lang w:val="es-MX"/>
        </w:rPr>
        <w:t xml:space="preserve">desempeño </w:t>
      </w:r>
      <w:r>
        <w:rPr>
          <w:rFonts w:ascii="Times New Roman" w:hAnsi="Times New Roman" w:cs="Times New Roman"/>
          <w:lang w:val="es-MX"/>
        </w:rPr>
        <w:t>más dinámico, ambos factores propiciaron</w:t>
      </w:r>
      <w:r w:rsidRPr="00F563AF">
        <w:rPr>
          <w:rFonts w:ascii="Times New Roman" w:hAnsi="Times New Roman" w:cs="Times New Roman"/>
          <w:lang w:val="es-MX"/>
        </w:rPr>
        <w:t xml:space="preserve"> que la actividad económica </w:t>
      </w:r>
      <w:r>
        <w:rPr>
          <w:rFonts w:ascii="Times New Roman" w:hAnsi="Times New Roman" w:cs="Times New Roman"/>
          <w:lang w:val="es-MX"/>
        </w:rPr>
        <w:t>tuviera una recuperación con respecto a lo observado en 2017, a este respecto es importante indicar el efecto que tuvo al aumento de gasto principalmente en la inversión pública en el último semestre del año.</w:t>
      </w:r>
      <w:r w:rsidRPr="00F563AF">
        <w:rPr>
          <w:rFonts w:ascii="Times New Roman" w:hAnsi="Times New Roman" w:cs="Times New Roman"/>
          <w:lang w:val="es-MX"/>
        </w:rPr>
        <w:t xml:space="preserve">   </w:t>
      </w:r>
      <w:r>
        <w:rPr>
          <w:rFonts w:ascii="Times New Roman" w:hAnsi="Times New Roman" w:cs="Times New Roman"/>
          <w:lang w:val="es-MX"/>
        </w:rPr>
        <w:t>Asimismo, se</w:t>
      </w:r>
      <w:r w:rsidRPr="00F563AF">
        <w:rPr>
          <w:rFonts w:ascii="Times New Roman" w:hAnsi="Times New Roman" w:cs="Times New Roman"/>
          <w:lang w:val="es-MX"/>
        </w:rPr>
        <w:t xml:space="preserve"> observa una política fiscal mejor definida ya que tanto la política de ingreso como la de gasto van </w:t>
      </w:r>
      <w:r>
        <w:rPr>
          <w:rFonts w:ascii="Times New Roman" w:hAnsi="Times New Roman" w:cs="Times New Roman"/>
          <w:lang w:val="es-MX"/>
        </w:rPr>
        <w:t>en la misma dirección hacia una</w:t>
      </w:r>
      <w:r w:rsidRPr="00F563AF">
        <w:rPr>
          <w:rFonts w:ascii="Times New Roman" w:hAnsi="Times New Roman" w:cs="Times New Roman"/>
          <w:lang w:val="es-MX"/>
        </w:rPr>
        <w:t xml:space="preserve"> la política expansiva, contrario a lo que </w:t>
      </w:r>
      <w:r>
        <w:rPr>
          <w:rFonts w:ascii="Times New Roman" w:hAnsi="Times New Roman" w:cs="Times New Roman"/>
          <w:lang w:val="es-MX"/>
        </w:rPr>
        <w:t xml:space="preserve">sucedió en </w:t>
      </w:r>
      <w:r w:rsidRPr="00F563AF">
        <w:rPr>
          <w:rFonts w:ascii="Times New Roman" w:hAnsi="Times New Roman" w:cs="Times New Roman"/>
          <w:lang w:val="es-MX"/>
        </w:rPr>
        <w:t>años</w:t>
      </w:r>
      <w:r>
        <w:rPr>
          <w:rFonts w:ascii="Times New Roman" w:hAnsi="Times New Roman" w:cs="Times New Roman"/>
          <w:lang w:val="es-MX"/>
        </w:rPr>
        <w:t xml:space="preserve"> anteriores en donde se observa una contracción de la políticas fiscal, en parte porque era prudente la aplicación de esta política debido a que la economía se encontraba por encima de su nivel potencial pero también a una política deliberada de contención de gasto por los problemas de liquides que se tuvieron principalmente en los años 2015-2016.   La necesidad de ampliar el gasto público para reactivar la economía se refleja en el impulso fiscal que se observa en 2018, que podría elevarse más al considerar un efecto extrapresupuestario importante como es el aumento de las devoluciones de crédito fiscal a los exportadores que implicó una inyección de liquidez adicional a la economía, situación que no consideró en el cálculo del impulso fiscal.</w:t>
      </w:r>
    </w:p>
    <w:p w:rsidR="00364844" w:rsidRDefault="00364844" w:rsidP="00364844">
      <w:pPr>
        <w:jc w:val="both"/>
        <w:rPr>
          <w:rFonts w:ascii="Times New Roman" w:hAnsi="Times New Roman" w:cs="Times New Roman"/>
          <w:color w:val="FF0000"/>
          <w:lang w:val="es-MX"/>
        </w:rPr>
      </w:pPr>
    </w:p>
    <w:p w:rsidR="00D40B20" w:rsidRDefault="00D40B20" w:rsidP="00364844">
      <w:pPr>
        <w:jc w:val="both"/>
        <w:rPr>
          <w:rFonts w:ascii="Times New Roman" w:hAnsi="Times New Roman" w:cs="Times New Roman"/>
          <w:color w:val="FF0000"/>
          <w:lang w:val="es-MX"/>
        </w:rPr>
      </w:pPr>
    </w:p>
    <w:p w:rsidR="00D40B20" w:rsidRDefault="00D40B20" w:rsidP="00364844">
      <w:pPr>
        <w:jc w:val="both"/>
        <w:rPr>
          <w:rFonts w:ascii="Times New Roman" w:hAnsi="Times New Roman" w:cs="Times New Roman"/>
          <w:color w:val="FF0000"/>
          <w:lang w:val="es-MX"/>
        </w:rPr>
      </w:pPr>
    </w:p>
    <w:p w:rsidR="00D40B20" w:rsidRDefault="00D40B20" w:rsidP="00364844">
      <w:pPr>
        <w:jc w:val="both"/>
        <w:rPr>
          <w:rFonts w:ascii="Times New Roman" w:hAnsi="Times New Roman" w:cs="Times New Roman"/>
          <w:color w:val="FF0000"/>
          <w:lang w:val="es-MX"/>
        </w:rPr>
      </w:pPr>
    </w:p>
    <w:p w:rsidR="00D40B20" w:rsidRDefault="00D40B20" w:rsidP="00364844">
      <w:pPr>
        <w:jc w:val="both"/>
        <w:rPr>
          <w:rFonts w:ascii="Times New Roman" w:hAnsi="Times New Roman" w:cs="Times New Roman"/>
          <w:color w:val="FF0000"/>
          <w:lang w:val="es-MX"/>
        </w:rPr>
      </w:pPr>
    </w:p>
    <w:p w:rsidR="00D40B20" w:rsidRDefault="00D40B20" w:rsidP="00364844">
      <w:pPr>
        <w:jc w:val="both"/>
        <w:rPr>
          <w:rFonts w:ascii="Times New Roman" w:hAnsi="Times New Roman" w:cs="Times New Roman"/>
          <w:color w:val="FF0000"/>
          <w:lang w:val="es-MX"/>
        </w:rPr>
      </w:pPr>
    </w:p>
    <w:p w:rsidR="00D40B20" w:rsidRDefault="00D40B20" w:rsidP="00364844">
      <w:pPr>
        <w:jc w:val="both"/>
        <w:rPr>
          <w:rFonts w:ascii="Times New Roman" w:hAnsi="Times New Roman" w:cs="Times New Roman"/>
          <w:color w:val="FF0000"/>
          <w:lang w:val="es-MX"/>
        </w:rPr>
      </w:pPr>
    </w:p>
    <w:p w:rsidR="00BC01B9" w:rsidRPr="0008775B" w:rsidRDefault="00BC01B9" w:rsidP="00364844">
      <w:pPr>
        <w:jc w:val="both"/>
        <w:rPr>
          <w:rFonts w:ascii="Times New Roman" w:hAnsi="Times New Roman" w:cs="Times New Roman"/>
          <w:color w:val="FF0000"/>
          <w:lang w:val="es-MX"/>
        </w:rPr>
      </w:pPr>
    </w:p>
    <w:p w:rsidR="00364844" w:rsidRPr="00D40B20" w:rsidRDefault="00364844" w:rsidP="00364844">
      <w:pPr>
        <w:pStyle w:val="Sinespaciado"/>
        <w:jc w:val="center"/>
        <w:rPr>
          <w:rFonts w:ascii="Times New Roman" w:hAnsi="Times New Roman" w:cs="Times New Roman"/>
          <w:b/>
          <w:sz w:val="24"/>
        </w:rPr>
      </w:pPr>
      <w:r w:rsidRPr="00D40B20">
        <w:rPr>
          <w:rFonts w:ascii="Times New Roman" w:hAnsi="Times New Roman" w:cs="Times New Roman"/>
          <w:b/>
          <w:sz w:val="24"/>
        </w:rPr>
        <w:lastRenderedPageBreak/>
        <w:t>Orientación de la Política Fiscal</w:t>
      </w:r>
      <w:r w:rsidR="00D40B20" w:rsidRPr="00D40B20">
        <w:rPr>
          <w:rFonts w:ascii="Times New Roman" w:hAnsi="Times New Roman" w:cs="Times New Roman"/>
          <w:b/>
          <w:sz w:val="24"/>
        </w:rPr>
        <w:t xml:space="preserve"> (impulso fiscal)</w:t>
      </w:r>
    </w:p>
    <w:p w:rsidR="00364844" w:rsidRPr="00D40B20" w:rsidRDefault="00D40B20" w:rsidP="00364844">
      <w:pPr>
        <w:pStyle w:val="Sinespaciado"/>
        <w:jc w:val="center"/>
        <w:rPr>
          <w:rFonts w:ascii="Times New Roman" w:hAnsi="Times New Roman" w:cs="Times New Roman"/>
          <w:sz w:val="18"/>
        </w:rPr>
      </w:pPr>
      <w:r w:rsidRPr="00D40B20">
        <w:rPr>
          <w:rFonts w:ascii="Times New Roman" w:hAnsi="Times New Roman" w:cs="Times New Roman"/>
          <w:sz w:val="18"/>
        </w:rPr>
        <w:t>2008-2018</w:t>
      </w:r>
    </w:p>
    <w:p w:rsidR="00364844" w:rsidRPr="00917901" w:rsidRDefault="00D40B20" w:rsidP="00917901">
      <w:pPr>
        <w:pStyle w:val="Sinespaciado"/>
        <w:jc w:val="center"/>
        <w:rPr>
          <w:rFonts w:ascii="Times New Roman" w:hAnsi="Times New Roman" w:cs="Times New Roman"/>
          <w:sz w:val="18"/>
        </w:rPr>
      </w:pPr>
      <w:r w:rsidRPr="00D40B20">
        <w:rPr>
          <w:rFonts w:ascii="Times New Roman" w:hAnsi="Times New Roman" w:cs="Times New Roman"/>
          <w:b/>
          <w:noProof/>
          <w:lang w:eastAsia="es-GT"/>
        </w:rPr>
        <w:drawing>
          <wp:inline distT="0" distB="0" distL="0" distR="0" wp14:anchorId="324F969F" wp14:editId="32520E61">
            <wp:extent cx="4619708" cy="3085365"/>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38854" cy="3098152"/>
                    </a:xfrm>
                    <a:prstGeom prst="rect">
                      <a:avLst/>
                    </a:prstGeom>
                    <a:noFill/>
                  </pic:spPr>
                </pic:pic>
              </a:graphicData>
            </a:graphic>
          </wp:inline>
        </w:drawing>
      </w:r>
    </w:p>
    <w:p w:rsidR="00364844" w:rsidRPr="00D40B20" w:rsidRDefault="00364844" w:rsidP="00917901">
      <w:pPr>
        <w:pStyle w:val="Sinespaciado"/>
        <w:spacing w:before="240"/>
        <w:ind w:firstLine="708"/>
        <w:jc w:val="both"/>
        <w:rPr>
          <w:rFonts w:ascii="Times New Roman" w:hAnsi="Times New Roman" w:cs="Times New Roman"/>
          <w:sz w:val="16"/>
        </w:rPr>
      </w:pPr>
      <w:r w:rsidRPr="00D40B20">
        <w:rPr>
          <w:rFonts w:ascii="Times New Roman" w:hAnsi="Times New Roman" w:cs="Times New Roman"/>
          <w:sz w:val="16"/>
        </w:rPr>
        <w:t xml:space="preserve">             Fuente: Dirección de Análisis y Política Fiscal</w:t>
      </w:r>
    </w:p>
    <w:p w:rsidR="00972718" w:rsidRPr="00917901" w:rsidRDefault="00972718" w:rsidP="001E7182">
      <w:pPr>
        <w:pStyle w:val="Sinespaciado"/>
        <w:jc w:val="both"/>
        <w:rPr>
          <w:rFonts w:ascii="Times New Roman" w:hAnsi="Times New Roman" w:cs="Times New Roman"/>
          <w:color w:val="FF0000"/>
          <w:sz w:val="24"/>
        </w:rPr>
      </w:pPr>
    </w:p>
    <w:p w:rsidR="00364844" w:rsidRPr="00E263F5" w:rsidRDefault="00E263F5" w:rsidP="00917901">
      <w:pPr>
        <w:pStyle w:val="Ttulo2"/>
        <w:numPr>
          <w:ilvl w:val="1"/>
          <w:numId w:val="12"/>
        </w:numPr>
        <w:spacing w:before="0"/>
        <w:rPr>
          <w:rFonts w:ascii="Times New Roman" w:hAnsi="Times New Roman" w:cs="Times New Roman"/>
          <w:color w:val="auto"/>
          <w:sz w:val="24"/>
        </w:rPr>
      </w:pPr>
      <w:bookmarkStart w:id="56" w:name="_Toc534988237"/>
      <w:r w:rsidRPr="00E263F5">
        <w:rPr>
          <w:rFonts w:ascii="Times New Roman" w:hAnsi="Times New Roman" w:cs="Times New Roman"/>
          <w:color w:val="auto"/>
          <w:sz w:val="24"/>
        </w:rPr>
        <w:t>En 2018 se impulsa la Estrategia Fiscal Ambiental (EFA)</w:t>
      </w:r>
      <w:bookmarkEnd w:id="56"/>
    </w:p>
    <w:p w:rsidR="00BC01B9" w:rsidRPr="0008775B" w:rsidRDefault="00BC01B9" w:rsidP="00BC01B9">
      <w:pPr>
        <w:rPr>
          <w:color w:val="FF0000"/>
        </w:rPr>
      </w:pPr>
    </w:p>
    <w:p w:rsidR="00E263F5" w:rsidRPr="00E263F5" w:rsidRDefault="00E263F5" w:rsidP="00364844">
      <w:pPr>
        <w:pStyle w:val="Sinespaciado"/>
        <w:jc w:val="both"/>
        <w:rPr>
          <w:rFonts w:ascii="Times New Roman" w:hAnsi="Times New Roman" w:cs="Times New Roman"/>
          <w:sz w:val="24"/>
          <w:szCs w:val="24"/>
          <w:lang w:val="es-MX"/>
        </w:rPr>
      </w:pPr>
      <w:r w:rsidRPr="00E263F5">
        <w:rPr>
          <w:rFonts w:ascii="Times New Roman" w:hAnsi="Times New Roman" w:cs="Times New Roman"/>
          <w:sz w:val="24"/>
          <w:szCs w:val="24"/>
          <w:lang w:val="es-MX"/>
        </w:rPr>
        <w:t>La Estrategia Fiscal Ambiental (EFA) es un esfuerzo que el Ministerio de Finanzas Públicas ha venido realizando desde hace algunos años, ha consistido en una serie de acciones de impacto fiscal, pero que, al mismo tiempo, tienen como objetivo reducir el impacto ambiental. A partir del año 2016, la EFA cobra un mayor impulso, aunque en un principio se le denomino Reforma Fiscal Verde o Estrategia Fiscal Verde, el objetivo de la misma se ha mantenido y en 2018, mediante el Acuerdo Ministerial 442-2018 de fecha 5 de septiembre, el Ministerio aprobó la Estrategia Fiscal Ambiental (EFA). Previamente, se elaboró un documento con los fundamentos técnicos que le dan sustento a la estrategia.</w:t>
      </w:r>
    </w:p>
    <w:p w:rsidR="00E263F5" w:rsidRPr="00E263F5" w:rsidRDefault="00E263F5" w:rsidP="00364844">
      <w:pPr>
        <w:pStyle w:val="Sinespaciado"/>
        <w:jc w:val="both"/>
        <w:rPr>
          <w:rFonts w:ascii="Times New Roman" w:hAnsi="Times New Roman" w:cs="Times New Roman"/>
          <w:sz w:val="24"/>
          <w:szCs w:val="24"/>
          <w:lang w:val="es-MX"/>
        </w:rPr>
      </w:pPr>
    </w:p>
    <w:p w:rsidR="00E263F5" w:rsidRPr="00E263F5" w:rsidRDefault="00E263F5" w:rsidP="00E263F5">
      <w:pPr>
        <w:jc w:val="both"/>
        <w:rPr>
          <w:rFonts w:ascii="Times New Roman" w:hAnsi="Times New Roman" w:cs="Times New Roman"/>
          <w:lang w:val="es-MX"/>
        </w:rPr>
      </w:pPr>
      <w:r w:rsidRPr="00E263F5">
        <w:rPr>
          <w:rFonts w:ascii="Times New Roman" w:hAnsi="Times New Roman" w:cs="Times New Roman"/>
          <w:lang w:val="es-MX"/>
        </w:rPr>
        <w:t xml:space="preserve">El objetivo de la EFA ha consistido en utilizar los instrumentos fiscales y económicos de los que dispone el Ministerio de Finanzas Públicas, para lograr prevenir la contaminación ambiental y mantener el equilibrio ecológico, logrando coadyuvar al cumplimiento de objetivos nacionales e internacionales en adaptación y mitigación al cambio climático y a la protección de los recursos naturales. </w:t>
      </w:r>
    </w:p>
    <w:p w:rsidR="00E263F5" w:rsidRPr="00E263F5" w:rsidRDefault="00E263F5" w:rsidP="00E263F5">
      <w:pPr>
        <w:jc w:val="both"/>
        <w:rPr>
          <w:rFonts w:ascii="Times New Roman" w:hAnsi="Times New Roman" w:cs="Times New Roman"/>
          <w:lang w:val="es-MX"/>
        </w:rPr>
      </w:pPr>
    </w:p>
    <w:p w:rsidR="00E263F5" w:rsidRPr="0008775B" w:rsidRDefault="00E263F5" w:rsidP="00E263F5">
      <w:pPr>
        <w:pStyle w:val="Sinespaciado"/>
        <w:jc w:val="both"/>
        <w:rPr>
          <w:rFonts w:ascii="Times New Roman" w:hAnsi="Times New Roman" w:cs="Times New Roman"/>
          <w:color w:val="FF0000"/>
          <w:sz w:val="24"/>
          <w:lang w:val="es-MX"/>
        </w:rPr>
      </w:pPr>
      <w:r w:rsidRPr="00E263F5">
        <w:rPr>
          <w:rFonts w:ascii="Times New Roman" w:hAnsi="Times New Roman" w:cs="Times New Roman"/>
          <w:sz w:val="24"/>
          <w:szCs w:val="24"/>
          <w:lang w:val="es-MX"/>
        </w:rPr>
        <w:t>El Ministerio de Finanzas Públicas de Guatemala como la institución encargada de cumplir y hacer cumplir con todo lo relativo al régimen jurídico hacendario del país, cuenta dentro de su ámbito de competencia con instrumentos como los ingresos fiscales, la ejecución presupuestaria, la calidad del gasto, la ejecución de las compras del Estado, el registro y el control de los bienes que constituyen el patrimonio estatal y la evaluación de los riesgos fiscales asociados a contingencias, de esa cuenta se definieron cinco ejes estratégicos para coadyuvar con la respuesta a la problemática ambiental desde una perspectiva fiscal.</w:t>
      </w:r>
    </w:p>
    <w:p w:rsidR="00364844" w:rsidRPr="00E263F5" w:rsidRDefault="00364844" w:rsidP="00364844">
      <w:pPr>
        <w:pStyle w:val="Sinespaciado"/>
        <w:jc w:val="both"/>
        <w:rPr>
          <w:rFonts w:ascii="Times New Roman" w:hAnsi="Times New Roman" w:cs="Times New Roman"/>
          <w:color w:val="FF0000"/>
          <w:sz w:val="24"/>
          <w:lang w:val="es-MX"/>
        </w:rPr>
      </w:pPr>
      <w:r w:rsidRPr="0008775B">
        <w:rPr>
          <w:rFonts w:ascii="Times New Roman" w:hAnsi="Times New Roman" w:cs="Times New Roman"/>
          <w:color w:val="FF0000"/>
          <w:sz w:val="24"/>
          <w:lang w:val="es-MX"/>
        </w:rPr>
        <w:t xml:space="preserve"> </w:t>
      </w:r>
      <w:r w:rsidR="00E263F5">
        <w:rPr>
          <w:rFonts w:ascii="Times New Roman" w:hAnsi="Times New Roman" w:cs="Times New Roman"/>
          <w:color w:val="FF0000"/>
          <w:sz w:val="24"/>
          <w:lang w:val="es-MX"/>
        </w:rPr>
        <w:t xml:space="preserve"> </w:t>
      </w:r>
    </w:p>
    <w:p w:rsidR="00364844" w:rsidRPr="00E263F5" w:rsidRDefault="00E263F5" w:rsidP="00364844">
      <w:pPr>
        <w:pStyle w:val="Sinespaciado"/>
        <w:jc w:val="center"/>
        <w:rPr>
          <w:rFonts w:ascii="Times New Roman" w:hAnsi="Times New Roman" w:cs="Times New Roman"/>
          <w:b/>
          <w:sz w:val="24"/>
          <w:lang w:val="es-MX"/>
        </w:rPr>
      </w:pPr>
      <w:r w:rsidRPr="00E263F5">
        <w:rPr>
          <w:rFonts w:ascii="Times New Roman" w:hAnsi="Times New Roman" w:cs="Times New Roman"/>
          <w:b/>
          <w:sz w:val="24"/>
          <w:lang w:val="es-MX"/>
        </w:rPr>
        <w:lastRenderedPageBreak/>
        <w:t>Ejes estratégicos de la EFA y principales impactos esperados</w:t>
      </w:r>
    </w:p>
    <w:p w:rsidR="00364844" w:rsidRPr="0008775B" w:rsidRDefault="00E263F5" w:rsidP="00E263F5">
      <w:pPr>
        <w:pStyle w:val="Sinespaciado"/>
        <w:tabs>
          <w:tab w:val="left" w:pos="5812"/>
        </w:tabs>
        <w:rPr>
          <w:rFonts w:ascii="Times New Roman" w:hAnsi="Times New Roman" w:cs="Times New Roman"/>
          <w:color w:val="FF0000"/>
          <w:lang w:val="es-MX"/>
        </w:rPr>
      </w:pPr>
      <w:r>
        <w:rPr>
          <w:rFonts w:ascii="Times New Roman" w:hAnsi="Times New Roman" w:cs="Times New Roman"/>
          <w:noProof/>
          <w:lang w:eastAsia="es-GT"/>
        </w:rPr>
        <w:drawing>
          <wp:anchor distT="0" distB="0" distL="114300" distR="114300" simplePos="0" relativeHeight="251665408" behindDoc="0" locked="0" layoutInCell="1" allowOverlap="1" wp14:anchorId="10FE770F" wp14:editId="0D2A296F">
            <wp:simplePos x="0" y="0"/>
            <wp:positionH relativeFrom="margin">
              <wp:posOffset>0</wp:posOffset>
            </wp:positionH>
            <wp:positionV relativeFrom="paragraph">
              <wp:posOffset>166370</wp:posOffset>
            </wp:positionV>
            <wp:extent cx="5590540" cy="3197225"/>
            <wp:effectExtent l="0" t="0" r="0" b="3175"/>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7">
                      <a:extLst>
                        <a:ext uri="{28A0092B-C50C-407E-A947-70E740481C1C}">
                          <a14:useLocalDpi xmlns:a14="http://schemas.microsoft.com/office/drawing/2010/main" val="0"/>
                        </a:ext>
                      </a:extLst>
                    </a:blip>
                    <a:srcRect l="18552"/>
                    <a:stretch/>
                  </pic:blipFill>
                  <pic:spPr bwMode="auto">
                    <a:xfrm>
                      <a:off x="0" y="0"/>
                      <a:ext cx="5590540" cy="319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656D" w:rsidRPr="00E263F5" w:rsidRDefault="000C0470" w:rsidP="000C0470">
      <w:pPr>
        <w:spacing w:after="200" w:line="276" w:lineRule="auto"/>
        <w:ind w:left="1" w:firstLine="708"/>
        <w:rPr>
          <w:rFonts w:ascii="Times New Roman" w:hAnsi="Times New Roman" w:cs="Times New Roman"/>
          <w:sz w:val="16"/>
          <w:lang w:val="es-MX"/>
        </w:rPr>
      </w:pPr>
      <w:r w:rsidRPr="00E263F5">
        <w:rPr>
          <w:rFonts w:ascii="Times New Roman" w:hAnsi="Times New Roman" w:cs="Times New Roman"/>
          <w:sz w:val="16"/>
          <w:lang w:val="es-MX"/>
        </w:rPr>
        <w:t xml:space="preserve">      Dirección de Análisis y Política Fiscal</w:t>
      </w:r>
    </w:p>
    <w:p w:rsidR="001E7182" w:rsidRPr="00E263F5" w:rsidRDefault="00E263F5" w:rsidP="00E263F5">
      <w:pPr>
        <w:jc w:val="both"/>
        <w:rPr>
          <w:rFonts w:ascii="Times New Roman" w:eastAsiaTheme="minorHAnsi" w:hAnsi="Times New Roman" w:cs="Times New Roman"/>
          <w:lang w:val="es-MX" w:eastAsia="en-US"/>
        </w:rPr>
      </w:pPr>
      <w:r w:rsidRPr="00E263F5">
        <w:rPr>
          <w:rFonts w:ascii="Times New Roman" w:eastAsiaTheme="minorHAnsi" w:hAnsi="Times New Roman" w:cs="Times New Roman"/>
          <w:lang w:val="es-MX" w:eastAsia="en-US"/>
        </w:rPr>
        <w:t>Para el año 2018, además de la aprobación de la EFA por medio del Acuerdo Ministerial, se realizó el lanzamiento oficial de la misma con sociedad civil, tanques de pensamiento, gremiales y medios de comunicación, acto que se llevó a cabo el 20 de septiembre. Como resultado del proceso de institucionalización y socialización se creó la Mesa Interinstitucional de la Estrategia Fiscal Ambiental, sosteniendo una primera reunión con las distintas instituciones del sector público involucradas, esto con el objetivo de crear una ruta de trabajo conjunta para la implementación y formulación de acciones que coadyuven al cumplimiento de los objetivos de la EFA.</w:t>
      </w:r>
    </w:p>
    <w:p w:rsidR="00E263F5" w:rsidRDefault="00E263F5" w:rsidP="00E263F5">
      <w:pPr>
        <w:jc w:val="both"/>
        <w:rPr>
          <w:rFonts w:ascii="Times New Roman" w:hAnsi="Times New Roman" w:cs="Times New Roman"/>
          <w:color w:val="FF0000"/>
          <w:lang w:val="es-MX"/>
        </w:rPr>
      </w:pPr>
    </w:p>
    <w:p w:rsidR="00E263F5" w:rsidRDefault="00E263F5" w:rsidP="00E263F5">
      <w:pPr>
        <w:jc w:val="both"/>
        <w:rPr>
          <w:rFonts w:ascii="Times New Roman" w:hAnsi="Times New Roman" w:cs="Times New Roman"/>
          <w:lang w:val="es-MX"/>
        </w:rPr>
      </w:pPr>
      <w:r>
        <w:rPr>
          <w:rFonts w:ascii="Times New Roman" w:hAnsi="Times New Roman" w:cs="Times New Roman"/>
          <w:lang w:val="es-MX"/>
        </w:rPr>
        <w:t>Asi</w:t>
      </w:r>
      <w:r w:rsidRPr="00E52A7D">
        <w:rPr>
          <w:rFonts w:ascii="Times New Roman" w:hAnsi="Times New Roman" w:cs="Times New Roman"/>
          <w:lang w:val="es-MX"/>
        </w:rPr>
        <w:t>mismo</w:t>
      </w:r>
      <w:r>
        <w:rPr>
          <w:rFonts w:ascii="Times New Roman" w:hAnsi="Times New Roman" w:cs="Times New Roman"/>
          <w:lang w:val="es-MX"/>
        </w:rPr>
        <w:t>,</w:t>
      </w:r>
      <w:r w:rsidRPr="00E52A7D">
        <w:rPr>
          <w:rFonts w:ascii="Times New Roman" w:hAnsi="Times New Roman" w:cs="Times New Roman"/>
          <w:lang w:val="es-MX"/>
        </w:rPr>
        <w:t xml:space="preserve"> el Ministerio de Finanzas ha trabajado en el fortalecimiento de las capacidades de las distintas Direcciones involucradas en las acciones de la EFA a través de reuniones informativas y muestra de ello es la creación del Comité Interno de la Estrategia Fiscal Ambiental</w:t>
      </w:r>
      <w:r>
        <w:rPr>
          <w:rFonts w:ascii="Times New Roman" w:hAnsi="Times New Roman" w:cs="Times New Roman"/>
          <w:lang w:val="es-MX"/>
        </w:rPr>
        <w:t xml:space="preserve">, mismo que aún se encuentra en proceso. Con la creación del Comité Interno se busca darle operatividad a la EFA a través de las diferentes Direcciones que son rectoras en los temas desarrollados en los ejes estratégicos. </w:t>
      </w:r>
    </w:p>
    <w:p w:rsidR="00E263F5" w:rsidRDefault="00E263F5" w:rsidP="00E263F5">
      <w:pPr>
        <w:jc w:val="both"/>
        <w:rPr>
          <w:rFonts w:ascii="Times New Roman" w:hAnsi="Times New Roman" w:cs="Times New Roman"/>
          <w:lang w:val="es-MX"/>
        </w:rPr>
      </w:pPr>
    </w:p>
    <w:p w:rsidR="00E263F5" w:rsidRPr="00E52A7D" w:rsidRDefault="00E263F5" w:rsidP="00E263F5">
      <w:pPr>
        <w:jc w:val="both"/>
        <w:rPr>
          <w:rFonts w:ascii="Times New Roman" w:hAnsi="Times New Roman" w:cs="Times New Roman"/>
          <w:lang w:val="es-MX"/>
        </w:rPr>
      </w:pPr>
      <w:r>
        <w:rPr>
          <w:rFonts w:ascii="Times New Roman" w:hAnsi="Times New Roman" w:cs="Times New Roman"/>
          <w:lang w:val="es-MX"/>
        </w:rPr>
        <w:t xml:space="preserve">Para finalizar, la EFA ha contado con el apoyo de la cooperación internacional, la más importante ha sido canalizada a través de la Cooperación Alemana (GIZ) </w:t>
      </w:r>
      <w:r w:rsidRPr="00E52A7D">
        <w:rPr>
          <w:rFonts w:ascii="Times New Roman" w:hAnsi="Times New Roman" w:cs="Times New Roman"/>
          <w:lang w:val="es-MX"/>
        </w:rPr>
        <w:t xml:space="preserve">y el </w:t>
      </w:r>
      <w:r>
        <w:rPr>
          <w:rFonts w:ascii="Times New Roman" w:hAnsi="Times New Roman" w:cs="Times New Roman"/>
          <w:lang w:val="es-MX"/>
        </w:rPr>
        <w:t xml:space="preserve">Fondo de Reformas Estructurales, con la </w:t>
      </w:r>
      <w:r w:rsidRPr="00E52A7D">
        <w:rPr>
          <w:rFonts w:ascii="Times New Roman" w:hAnsi="Times New Roman" w:cs="Times New Roman"/>
          <w:lang w:val="es-MX"/>
        </w:rPr>
        <w:t xml:space="preserve">formulación de consultorías que apoyaran a la generación de insumos y línea base para los cinco ejes estratégicos y para el desarrollo de la Segunda Conferencia Internacional de Fiscalidad Ambiental, la cual se llevará a cabo en el </w:t>
      </w:r>
      <w:r>
        <w:rPr>
          <w:rFonts w:ascii="Times New Roman" w:hAnsi="Times New Roman" w:cs="Times New Roman"/>
          <w:lang w:val="es-MX"/>
        </w:rPr>
        <w:t>primer trimestre del</w:t>
      </w:r>
      <w:r w:rsidRPr="00E52A7D">
        <w:rPr>
          <w:rFonts w:ascii="Times New Roman" w:hAnsi="Times New Roman" w:cs="Times New Roman"/>
          <w:lang w:val="es-MX"/>
        </w:rPr>
        <w:t xml:space="preserve"> 2019.</w:t>
      </w:r>
    </w:p>
    <w:p w:rsidR="00E263F5" w:rsidRDefault="00E263F5">
      <w:pPr>
        <w:spacing w:after="200" w:line="276" w:lineRule="auto"/>
        <w:rPr>
          <w:rFonts w:ascii="Times New Roman" w:hAnsi="Times New Roman" w:cs="Times New Roman"/>
          <w:color w:val="FF0000"/>
          <w:lang w:val="es-MX"/>
        </w:rPr>
      </w:pPr>
    </w:p>
    <w:p w:rsidR="00917901" w:rsidRDefault="00917901">
      <w:pPr>
        <w:spacing w:after="200" w:line="276" w:lineRule="auto"/>
        <w:rPr>
          <w:rFonts w:ascii="Times New Roman" w:hAnsi="Times New Roman" w:cs="Times New Roman"/>
          <w:color w:val="FF0000"/>
          <w:lang w:val="es-MX"/>
        </w:rPr>
      </w:pPr>
    </w:p>
    <w:p w:rsidR="00917901" w:rsidRPr="0008775B" w:rsidRDefault="00917901">
      <w:pPr>
        <w:spacing w:after="200" w:line="276" w:lineRule="auto"/>
        <w:rPr>
          <w:rFonts w:ascii="Times New Roman" w:hAnsi="Times New Roman" w:cs="Times New Roman"/>
          <w:color w:val="FF0000"/>
          <w:lang w:val="es-MX"/>
        </w:rPr>
      </w:pPr>
    </w:p>
    <w:p w:rsidR="0012656D" w:rsidRPr="00864A8B" w:rsidRDefault="0012656D" w:rsidP="0012656D">
      <w:pPr>
        <w:pStyle w:val="Prrafodelista"/>
        <w:numPr>
          <w:ilvl w:val="0"/>
          <w:numId w:val="1"/>
        </w:numPr>
        <w:ind w:left="709" w:hanging="709"/>
        <w:jc w:val="both"/>
        <w:outlineLvl w:val="0"/>
        <w:rPr>
          <w:rFonts w:ascii="Times New Roman" w:eastAsiaTheme="majorEastAsia" w:hAnsi="Times New Roman" w:cs="Times New Roman"/>
          <w:b/>
          <w:bCs/>
          <w:sz w:val="24"/>
          <w:szCs w:val="26"/>
          <w:lang w:val="es-ES_tradnl" w:eastAsia="es-ES"/>
        </w:rPr>
      </w:pPr>
      <w:bookmarkStart w:id="57" w:name="_Toc534988238"/>
      <w:r w:rsidRPr="00864A8B">
        <w:rPr>
          <w:rFonts w:ascii="Times New Roman" w:eastAsiaTheme="majorEastAsia" w:hAnsi="Times New Roman" w:cs="Times New Roman"/>
          <w:b/>
          <w:bCs/>
          <w:sz w:val="24"/>
          <w:szCs w:val="26"/>
          <w:lang w:val="es-ES_tradnl" w:eastAsia="es-ES"/>
        </w:rPr>
        <w:lastRenderedPageBreak/>
        <w:t>Apéndice contexto macroeconómico</w:t>
      </w:r>
      <w:bookmarkEnd w:id="57"/>
      <w:r w:rsidRPr="00864A8B">
        <w:rPr>
          <w:rFonts w:ascii="Times New Roman" w:eastAsiaTheme="majorEastAsia" w:hAnsi="Times New Roman" w:cs="Times New Roman"/>
          <w:b/>
          <w:bCs/>
          <w:sz w:val="24"/>
          <w:szCs w:val="26"/>
          <w:lang w:val="es-ES_tradnl" w:eastAsia="es-ES"/>
        </w:rPr>
        <w:t xml:space="preserve"> </w:t>
      </w:r>
    </w:p>
    <w:p w:rsidR="00770433" w:rsidRPr="0008775B" w:rsidRDefault="00770433" w:rsidP="00770433">
      <w:pPr>
        <w:pStyle w:val="Prrafodelista"/>
        <w:keepNext/>
        <w:keepLines/>
        <w:numPr>
          <w:ilvl w:val="0"/>
          <w:numId w:val="10"/>
        </w:numPr>
        <w:spacing w:before="200"/>
        <w:contextualSpacing w:val="0"/>
        <w:outlineLvl w:val="1"/>
        <w:rPr>
          <w:rFonts w:ascii="Times New Roman" w:eastAsiaTheme="majorEastAsia" w:hAnsi="Times New Roman" w:cs="Times New Roman"/>
          <w:b/>
          <w:bCs/>
          <w:vanish/>
          <w:color w:val="FF0000"/>
          <w:sz w:val="24"/>
          <w:szCs w:val="26"/>
          <w:lang w:val="es-ES_tradnl" w:eastAsia="es-ES"/>
        </w:rPr>
      </w:pPr>
      <w:bookmarkStart w:id="58" w:name="_Toc472082170"/>
      <w:bookmarkStart w:id="59" w:name="_Toc472082202"/>
      <w:bookmarkStart w:id="60" w:name="_Toc472089918"/>
      <w:bookmarkStart w:id="61" w:name="_Toc472089941"/>
      <w:bookmarkStart w:id="62" w:name="_Toc505346073"/>
      <w:bookmarkStart w:id="63" w:name="_Toc505349888"/>
      <w:bookmarkStart w:id="64" w:name="_Toc534985846"/>
      <w:bookmarkStart w:id="65" w:name="_Toc534988239"/>
      <w:bookmarkStart w:id="66" w:name="_Toc457550819"/>
      <w:bookmarkEnd w:id="58"/>
      <w:bookmarkEnd w:id="59"/>
      <w:bookmarkEnd w:id="60"/>
      <w:bookmarkEnd w:id="61"/>
      <w:bookmarkEnd w:id="62"/>
      <w:bookmarkEnd w:id="63"/>
      <w:bookmarkEnd w:id="64"/>
      <w:bookmarkEnd w:id="65"/>
    </w:p>
    <w:p w:rsidR="00770433" w:rsidRPr="0008775B" w:rsidRDefault="00770433" w:rsidP="00770433">
      <w:pPr>
        <w:pStyle w:val="Prrafodelista"/>
        <w:keepNext/>
        <w:keepLines/>
        <w:numPr>
          <w:ilvl w:val="0"/>
          <w:numId w:val="10"/>
        </w:numPr>
        <w:spacing w:before="200"/>
        <w:contextualSpacing w:val="0"/>
        <w:outlineLvl w:val="1"/>
        <w:rPr>
          <w:rFonts w:ascii="Times New Roman" w:eastAsiaTheme="majorEastAsia" w:hAnsi="Times New Roman" w:cs="Times New Roman"/>
          <w:b/>
          <w:bCs/>
          <w:vanish/>
          <w:color w:val="FF0000"/>
          <w:sz w:val="24"/>
          <w:szCs w:val="26"/>
          <w:lang w:val="es-ES_tradnl" w:eastAsia="es-ES"/>
        </w:rPr>
      </w:pPr>
      <w:bookmarkStart w:id="67" w:name="_Toc472082171"/>
      <w:bookmarkStart w:id="68" w:name="_Toc472082203"/>
      <w:bookmarkStart w:id="69" w:name="_Toc472089919"/>
      <w:bookmarkStart w:id="70" w:name="_Toc472089942"/>
      <w:bookmarkStart w:id="71" w:name="_Toc505346074"/>
      <w:bookmarkStart w:id="72" w:name="_Toc505349889"/>
      <w:bookmarkStart w:id="73" w:name="_Toc534985847"/>
      <w:bookmarkStart w:id="74" w:name="_Toc534988240"/>
      <w:bookmarkEnd w:id="67"/>
      <w:bookmarkEnd w:id="68"/>
      <w:bookmarkEnd w:id="69"/>
      <w:bookmarkEnd w:id="70"/>
      <w:bookmarkEnd w:id="71"/>
      <w:bookmarkEnd w:id="72"/>
      <w:bookmarkEnd w:id="73"/>
      <w:bookmarkEnd w:id="74"/>
    </w:p>
    <w:p w:rsidR="00770433" w:rsidRPr="0008775B" w:rsidRDefault="00770433" w:rsidP="00770433">
      <w:pPr>
        <w:pStyle w:val="Prrafodelista"/>
        <w:keepNext/>
        <w:keepLines/>
        <w:numPr>
          <w:ilvl w:val="0"/>
          <w:numId w:val="10"/>
        </w:numPr>
        <w:spacing w:before="200"/>
        <w:contextualSpacing w:val="0"/>
        <w:outlineLvl w:val="1"/>
        <w:rPr>
          <w:rFonts w:ascii="Times New Roman" w:eastAsiaTheme="majorEastAsia" w:hAnsi="Times New Roman" w:cs="Times New Roman"/>
          <w:b/>
          <w:bCs/>
          <w:vanish/>
          <w:color w:val="FF0000"/>
          <w:sz w:val="24"/>
          <w:szCs w:val="26"/>
          <w:lang w:val="es-ES_tradnl" w:eastAsia="es-ES"/>
        </w:rPr>
      </w:pPr>
      <w:bookmarkStart w:id="75" w:name="_Toc472082172"/>
      <w:bookmarkStart w:id="76" w:name="_Toc472082204"/>
      <w:bookmarkStart w:id="77" w:name="_Toc472089920"/>
      <w:bookmarkStart w:id="78" w:name="_Toc472089943"/>
      <w:bookmarkStart w:id="79" w:name="_Toc505346075"/>
      <w:bookmarkStart w:id="80" w:name="_Toc505349890"/>
      <w:bookmarkStart w:id="81" w:name="_Toc534985848"/>
      <w:bookmarkStart w:id="82" w:name="_Toc534988241"/>
      <w:bookmarkEnd w:id="75"/>
      <w:bookmarkEnd w:id="76"/>
      <w:bookmarkEnd w:id="77"/>
      <w:bookmarkEnd w:id="78"/>
      <w:bookmarkEnd w:id="79"/>
      <w:bookmarkEnd w:id="80"/>
      <w:bookmarkEnd w:id="81"/>
      <w:bookmarkEnd w:id="82"/>
    </w:p>
    <w:p w:rsidR="0012656D" w:rsidRPr="00864A8B" w:rsidRDefault="0012656D" w:rsidP="00770433">
      <w:pPr>
        <w:pStyle w:val="Ttulo2"/>
        <w:numPr>
          <w:ilvl w:val="1"/>
          <w:numId w:val="10"/>
        </w:numPr>
        <w:rPr>
          <w:rFonts w:ascii="Times New Roman" w:hAnsi="Times New Roman" w:cs="Times New Roman"/>
          <w:color w:val="auto"/>
          <w:sz w:val="24"/>
        </w:rPr>
      </w:pPr>
      <w:bookmarkStart w:id="83" w:name="_Toc534988242"/>
      <w:r w:rsidRPr="00864A8B">
        <w:rPr>
          <w:rFonts w:ascii="Times New Roman" w:hAnsi="Times New Roman" w:cs="Times New Roman"/>
          <w:color w:val="auto"/>
          <w:sz w:val="24"/>
        </w:rPr>
        <w:t>Entorno Macroeconómico Internacional</w:t>
      </w:r>
      <w:bookmarkEnd w:id="66"/>
      <w:bookmarkEnd w:id="83"/>
      <w:r w:rsidRPr="00864A8B">
        <w:rPr>
          <w:rFonts w:ascii="Times New Roman" w:hAnsi="Times New Roman" w:cs="Times New Roman"/>
          <w:color w:val="auto"/>
          <w:sz w:val="24"/>
        </w:rPr>
        <w:t xml:space="preserve"> </w:t>
      </w:r>
    </w:p>
    <w:p w:rsidR="0012656D" w:rsidRPr="0008775B" w:rsidRDefault="0012656D" w:rsidP="0012656D">
      <w:pPr>
        <w:pStyle w:val="Default"/>
        <w:jc w:val="both"/>
        <w:rPr>
          <w:color w:val="FF0000"/>
          <w:sz w:val="22"/>
          <w:szCs w:val="22"/>
        </w:rPr>
      </w:pPr>
    </w:p>
    <w:p w:rsidR="001D2C47" w:rsidRPr="00E263F5" w:rsidRDefault="001D2C47" w:rsidP="001D2C47">
      <w:pPr>
        <w:jc w:val="both"/>
        <w:rPr>
          <w:rFonts w:ascii="Times New Roman" w:hAnsi="Times New Roman" w:cs="Times New Roman"/>
        </w:rPr>
      </w:pPr>
      <w:r w:rsidRPr="00E263F5">
        <w:rPr>
          <w:rFonts w:ascii="Times New Roman" w:hAnsi="Times New Roman" w:cs="Times New Roman"/>
        </w:rPr>
        <w:t>El panorama económico y financiero sigue siendo positivo a nivel global en el que no se prevé ninguna recesión importante a lo largo del próximo año, pero se espera cierta desaceleración del crecimiento económico mundial. En el transcurso del 2018 se observó un debilitamiento económico en la mayoría de países, los precios del petróleo estuvieron y continúan a la baja y los pedidos de las fábricas se han visto disminuidos, lo cual refleja menor demanda de mercancías.   Alemania y Japón se han contraído en los meses recientes, China se está desacelerando más de lo que los expertos esperaban, e incluso se espera que Estados Unidos experimente una desaceleración en el corto plazo cuando desaparezcan los efectos del estímulo del recorte fiscal por US$1.5 billones del presidente Donald Trump y resulte en una enorme deuda pública.  De todo lo acontecido, factores que han sido clave durante el año y que marcarán seguramente el devenir económico mundial durante el próximo ejercicio serán:</w:t>
      </w:r>
    </w:p>
    <w:p w:rsidR="001D2C47" w:rsidRPr="00E263F5" w:rsidRDefault="001D2C47" w:rsidP="001D2C47">
      <w:pPr>
        <w:jc w:val="both"/>
        <w:rPr>
          <w:rFonts w:ascii="Times New Roman" w:hAnsi="Times New Roman" w:cs="Times New Roman"/>
        </w:rPr>
      </w:pPr>
    </w:p>
    <w:p w:rsidR="001D2C47" w:rsidRPr="00E263F5" w:rsidRDefault="001D2C47" w:rsidP="001D2C47">
      <w:pPr>
        <w:pStyle w:val="Prrafodelista"/>
        <w:numPr>
          <w:ilvl w:val="0"/>
          <w:numId w:val="29"/>
        </w:numPr>
        <w:jc w:val="both"/>
        <w:rPr>
          <w:rFonts w:ascii="Times New Roman" w:hAnsi="Times New Roman" w:cs="Times New Roman"/>
          <w:sz w:val="24"/>
        </w:rPr>
      </w:pPr>
      <w:r w:rsidRPr="00E263F5">
        <w:rPr>
          <w:rFonts w:ascii="Times New Roman" w:hAnsi="Times New Roman" w:cs="Times New Roman"/>
          <w:sz w:val="24"/>
        </w:rPr>
        <w:t>Los tipos de interés en Estados Unidos. Factores como la solidez del crecimiento de la economía estadounidense, la elevada rigidez del mercado laboral y una inflación acorde con el objetivo fijado hacen improbable que la Reserva Federal se desvíe de la senda de endurecimiento de tipos que proyectó. El organismo planea subir los tipos en tres ocasiones en 2019 y continuará normalizando su balance de situación, lo que incrementará la presión que ya sufren los agentes económicos más vulnerables. El mayor riesgo afecta a los países emergentes con amplios desajustes monetarios y a las empresas fuertemente endeudadas.</w:t>
      </w:r>
    </w:p>
    <w:p w:rsidR="001D2C47" w:rsidRPr="00E263F5" w:rsidRDefault="001D2C47" w:rsidP="001D2C47">
      <w:pPr>
        <w:ind w:left="360"/>
        <w:jc w:val="both"/>
        <w:rPr>
          <w:rFonts w:ascii="Times New Roman" w:hAnsi="Times New Roman" w:cs="Times New Roman"/>
        </w:rPr>
      </w:pPr>
    </w:p>
    <w:p w:rsidR="001D2C47" w:rsidRPr="00E263F5" w:rsidRDefault="001D2C47" w:rsidP="001D2C47">
      <w:pPr>
        <w:pStyle w:val="Prrafodelista"/>
        <w:numPr>
          <w:ilvl w:val="0"/>
          <w:numId w:val="29"/>
        </w:numPr>
        <w:jc w:val="both"/>
        <w:rPr>
          <w:rFonts w:ascii="Times New Roman" w:hAnsi="Times New Roman" w:cs="Times New Roman"/>
          <w:sz w:val="24"/>
        </w:rPr>
      </w:pPr>
      <w:r w:rsidRPr="00E263F5">
        <w:rPr>
          <w:rFonts w:ascii="Times New Roman" w:hAnsi="Times New Roman" w:cs="Times New Roman"/>
          <w:sz w:val="24"/>
        </w:rPr>
        <w:t>La guerra comercial. La medida anunciada en septiembre por la administración estadounidense del arancel del 10% sobre la mayoría de los productos chinos superó las expectativas a pesar de que el nivel del arancel era inferior, impidiendo de cierta forma el efecto negativo inmediato sobre los mercados financieros. Tras las represalias que tomó China, sin embargo, esta cifra podría aumentar al 25% en 2019 en más productos chinos, un aspecto que, podría dejar entrever que no se espera una rápida resolución, aunque las elecciones de mitad de legislatura podrían cambiar el escenario y revertir las políticas económicas del presidente de Estados Unidos.</w:t>
      </w:r>
    </w:p>
    <w:p w:rsidR="001D2C47" w:rsidRPr="00E263F5" w:rsidRDefault="001D2C47" w:rsidP="001D2C47">
      <w:pPr>
        <w:jc w:val="both"/>
        <w:rPr>
          <w:rFonts w:ascii="Times New Roman" w:hAnsi="Times New Roman" w:cs="Times New Roman"/>
        </w:rPr>
      </w:pPr>
    </w:p>
    <w:p w:rsidR="001D2C47" w:rsidRPr="00E263F5" w:rsidRDefault="001D2C47" w:rsidP="001D2C47">
      <w:pPr>
        <w:pStyle w:val="Prrafodelista"/>
        <w:numPr>
          <w:ilvl w:val="0"/>
          <w:numId w:val="29"/>
        </w:numPr>
        <w:jc w:val="both"/>
        <w:rPr>
          <w:rFonts w:ascii="Times New Roman" w:hAnsi="Times New Roman" w:cs="Times New Roman"/>
          <w:sz w:val="24"/>
        </w:rPr>
      </w:pPr>
      <w:r w:rsidRPr="00E263F5">
        <w:rPr>
          <w:rFonts w:ascii="Times New Roman" w:hAnsi="Times New Roman" w:cs="Times New Roman"/>
          <w:sz w:val="24"/>
        </w:rPr>
        <w:t>La ralentización en Europa. El crecimiento económico se ha ralentizado este año en la zona euro, pero sus bases continúan siendo sólidas y todos los países participan en el ciclo expansivo, muy por encima del crecimiento potencial. De acuerdo con una encuesta de la Comisión Europea, las expectativas en relación con el IPC han alcanzado su nivel máximo desde 2013. A su vez, el repunte de las presiones sobre la inflación subyacente reduce la justificación de un estímulo monetario masivo y, al parecer, el Banco Central Europeo planea poner fin a su política de tipos de interés negativos a finales de 2019.</w:t>
      </w:r>
    </w:p>
    <w:p w:rsidR="001D2C47" w:rsidRPr="00E263F5" w:rsidRDefault="001D2C47" w:rsidP="001D2C47">
      <w:pPr>
        <w:jc w:val="both"/>
        <w:rPr>
          <w:rFonts w:ascii="Times New Roman" w:hAnsi="Times New Roman" w:cs="Times New Roman"/>
        </w:rPr>
      </w:pPr>
    </w:p>
    <w:p w:rsidR="001D2C47" w:rsidRPr="00E263F5" w:rsidRDefault="001D2C47" w:rsidP="001D2C47">
      <w:pPr>
        <w:pStyle w:val="Prrafodelista"/>
        <w:numPr>
          <w:ilvl w:val="0"/>
          <w:numId w:val="29"/>
        </w:numPr>
        <w:jc w:val="both"/>
        <w:rPr>
          <w:rFonts w:ascii="Times New Roman" w:hAnsi="Times New Roman" w:cs="Times New Roman"/>
          <w:sz w:val="24"/>
        </w:rPr>
      </w:pPr>
      <w:r w:rsidRPr="00E263F5">
        <w:rPr>
          <w:rFonts w:ascii="Times New Roman" w:hAnsi="Times New Roman" w:cs="Times New Roman"/>
          <w:sz w:val="24"/>
        </w:rPr>
        <w:t>La situación en Italia y la salida de Reino Unido de la Unión Europea. Con sus Presupuestos Generales ya rechazados por la Comisión Europea, su plan está centrado en la demanda interna en lugar de en la inversión productiva, motivo por el cual es probable que las tensiones con Bruselas se intensifiquen.  Por su parte, una posible salida de Reino Unido de la Unión Europea resultaría en el debilitamiento del mercado único europeo y su peso relativo en la economía mundial.</w:t>
      </w:r>
    </w:p>
    <w:p w:rsidR="001D2C47" w:rsidRPr="00E263F5" w:rsidRDefault="001D2C47" w:rsidP="001D2C47">
      <w:pPr>
        <w:jc w:val="both"/>
        <w:rPr>
          <w:rFonts w:ascii="Times New Roman" w:hAnsi="Times New Roman" w:cs="Times New Roman"/>
        </w:rPr>
      </w:pPr>
    </w:p>
    <w:p w:rsidR="001D2C47" w:rsidRPr="00E263F5" w:rsidRDefault="001D2C47" w:rsidP="001D2C47">
      <w:pPr>
        <w:jc w:val="both"/>
        <w:rPr>
          <w:rFonts w:ascii="Times New Roman" w:hAnsi="Times New Roman" w:cs="Times New Roman"/>
          <w:color w:val="FF0000"/>
          <w:sz w:val="28"/>
          <w:lang w:val="es-MX"/>
        </w:rPr>
      </w:pPr>
      <w:r w:rsidRPr="00E263F5">
        <w:rPr>
          <w:rFonts w:ascii="Times New Roman" w:hAnsi="Times New Roman" w:cs="Times New Roman"/>
        </w:rPr>
        <w:t>Los mercados emergentes. Al término del 2018, los mercados emergentes están atravesando el año más complicado desde el colapso de las materias primas de 2014-2015, en un contexto de aumento de los tipos de interés en EEUU, una mayor fortaleza del dólar, la escalada de las tensiones comerciales y la acumulación de riesgos políticos en el plano nacional. En términos globales, los fundamentos económicos indican que la mayoría de los mercados emergentes presentan todavía sólidas bases estructurales, sin embargo, el endurecimiento de las condiciones de financiación en dólares estadounidenses, las tensiones comerciales y el aumento de los tipos de interés influirán en el crecimiento a lo largo del 2019.</w:t>
      </w:r>
    </w:p>
    <w:p w:rsidR="0012656D" w:rsidRPr="0008775B" w:rsidRDefault="0012656D" w:rsidP="0012656D">
      <w:pPr>
        <w:jc w:val="both"/>
        <w:rPr>
          <w:rFonts w:ascii="Times New Roman" w:hAnsi="Times New Roman" w:cs="Times New Roman"/>
          <w:color w:val="FF0000"/>
          <w:lang w:val="es-MX"/>
        </w:rPr>
      </w:pPr>
    </w:p>
    <w:p w:rsidR="0012656D" w:rsidRPr="001D2C47" w:rsidRDefault="0012656D" w:rsidP="0012656D">
      <w:pPr>
        <w:pStyle w:val="Ttulo2"/>
        <w:numPr>
          <w:ilvl w:val="1"/>
          <w:numId w:val="10"/>
        </w:numPr>
        <w:spacing w:before="0"/>
        <w:rPr>
          <w:rFonts w:ascii="Times New Roman" w:hAnsi="Times New Roman" w:cs="Times New Roman"/>
          <w:color w:val="auto"/>
          <w:sz w:val="24"/>
        </w:rPr>
      </w:pPr>
      <w:bookmarkStart w:id="84" w:name="_Toc457550823"/>
      <w:bookmarkStart w:id="85" w:name="_Toc534988243"/>
      <w:r w:rsidRPr="001D2C47">
        <w:rPr>
          <w:rFonts w:ascii="Times New Roman" w:hAnsi="Times New Roman" w:cs="Times New Roman"/>
          <w:color w:val="auto"/>
          <w:sz w:val="24"/>
        </w:rPr>
        <w:t>Entorno macroeconómico Nacional</w:t>
      </w:r>
      <w:bookmarkEnd w:id="84"/>
      <w:bookmarkEnd w:id="85"/>
    </w:p>
    <w:p w:rsidR="0012656D" w:rsidRPr="0008775B" w:rsidRDefault="0012656D" w:rsidP="0012656D">
      <w:pPr>
        <w:jc w:val="both"/>
        <w:rPr>
          <w:rFonts w:ascii="Times New Roman" w:hAnsi="Times New Roman" w:cs="Times New Roman"/>
          <w:color w:val="FF0000"/>
          <w:lang w:val="es-MX"/>
        </w:rPr>
      </w:pPr>
    </w:p>
    <w:p w:rsidR="001D2C47" w:rsidRPr="00E263F5" w:rsidRDefault="001D2C47" w:rsidP="001D2C47">
      <w:pPr>
        <w:jc w:val="both"/>
        <w:rPr>
          <w:rFonts w:ascii="Times New Roman" w:hAnsi="Times New Roman" w:cs="Times New Roman"/>
        </w:rPr>
      </w:pPr>
      <w:r w:rsidRPr="00E263F5">
        <w:rPr>
          <w:rFonts w:ascii="Times New Roman" w:hAnsi="Times New Roman" w:cs="Times New Roman"/>
        </w:rPr>
        <w:t>La economía guatemalteca, como años atrás, continúa abriéndose camino entre las tensiones políticas internas y un escenario externo no tan favorable.  Tal como muchos organismos internacionales y calificadoras de riesgo señalan, continúa con un panorama en un marco macroeconómico sólido, el cual indica que para 2018 existirá un ritmo de crecimiento económico moderado del 3% como resultado de un deterioro de los términos de intercambio que está afectando a productos de exportación tradicionales y la debilidad de la inversión. Entre los aspectos más relevantes del escenario económico interno están:</w:t>
      </w:r>
    </w:p>
    <w:p w:rsidR="001D2C47" w:rsidRPr="00E263F5" w:rsidRDefault="001D2C47" w:rsidP="001D2C47">
      <w:pPr>
        <w:jc w:val="both"/>
        <w:rPr>
          <w:rFonts w:ascii="Times New Roman" w:hAnsi="Times New Roman" w:cs="Times New Roman"/>
        </w:rPr>
      </w:pPr>
    </w:p>
    <w:p w:rsidR="001D2C47" w:rsidRPr="00E263F5" w:rsidRDefault="001D2C47" w:rsidP="001D2C47">
      <w:pPr>
        <w:pStyle w:val="Prrafodelista"/>
        <w:numPr>
          <w:ilvl w:val="0"/>
          <w:numId w:val="30"/>
        </w:numPr>
        <w:jc w:val="both"/>
        <w:rPr>
          <w:rFonts w:ascii="Times New Roman" w:hAnsi="Times New Roman" w:cs="Times New Roman"/>
          <w:sz w:val="24"/>
        </w:rPr>
      </w:pPr>
      <w:r w:rsidRPr="00E263F5">
        <w:rPr>
          <w:rFonts w:ascii="Times New Roman" w:hAnsi="Times New Roman" w:cs="Times New Roman"/>
          <w:sz w:val="24"/>
        </w:rPr>
        <w:t xml:space="preserve">Ingreso de divisas al país por concepto de remesas familiares. En diciembre de 2018 el país recibió por concepto de remesas $843 millones, monto que supera en 17% los $720 millones registrados en el mismo mes de 2017; entre 2011 y 2018 los ingresos por remesas prácticamente se han duplicado, pues las cifras subieron de $4.378 millones a $9.287 millones en 2018.  El alza interanual de 13.3% registrada en 2018, representa una desaceleración del crecimiento del flujo de remesas, puesto que para los años 2016 y 2017 se reportaron crecimientos de 14% y 15%, respectivamente, atribuido principalmente a la decisión del Presidente de Estados Unidos de expulsar del país a los extranjeros que incumplen las leyes de inmigración.  </w:t>
      </w:r>
    </w:p>
    <w:p w:rsidR="001D2C47" w:rsidRPr="00E263F5" w:rsidRDefault="001D2C47" w:rsidP="001D2C47">
      <w:pPr>
        <w:pStyle w:val="Prrafodelista"/>
        <w:jc w:val="both"/>
        <w:rPr>
          <w:rFonts w:ascii="Times New Roman" w:hAnsi="Times New Roman" w:cs="Times New Roman"/>
          <w:sz w:val="24"/>
        </w:rPr>
      </w:pPr>
    </w:p>
    <w:p w:rsidR="001D2C47" w:rsidRPr="006227DA" w:rsidRDefault="001D2C47" w:rsidP="001D2C47">
      <w:pPr>
        <w:pStyle w:val="Prrafodelista"/>
        <w:numPr>
          <w:ilvl w:val="0"/>
          <w:numId w:val="30"/>
        </w:numPr>
        <w:jc w:val="both"/>
        <w:rPr>
          <w:rFonts w:ascii="Times New Roman" w:hAnsi="Times New Roman" w:cs="Times New Roman"/>
        </w:rPr>
      </w:pPr>
      <w:r w:rsidRPr="00E263F5">
        <w:rPr>
          <w:rFonts w:ascii="Times New Roman" w:hAnsi="Times New Roman" w:cs="Times New Roman"/>
          <w:sz w:val="24"/>
          <w:lang w:val="es-MX"/>
        </w:rPr>
        <w:t xml:space="preserve">Confianza en la actividad económica.  Factores como la trayectoria el tipo de cambio nominal, el comportamiento en los precios de los combustibles, el precio internacional del petróleo, el desempeño de la política fiscal, y la evolución de los precios de las materias primas ayudaron a mantener estable en diciembre la percepción sobre la situación económica actual y el ambiente para los negocios; el Banco de Guatemala consideró en base a esto, una proyección del ritmo inflacionario de 4.01% para diciembre, 3.93% para enero y 3.96% para febrero del presente año y se esperaría que se registre un crecimiento de 2.9% en el Producto Interno Bruto Real en 2018 y 3.1% en 2019.  El nivel del Índice de Confianza de la Actividad Económica se situó en 36.11 puntos en diciembre, superior en 13.80% con el registrado en noviembre 2018. </w:t>
      </w:r>
    </w:p>
    <w:p w:rsidR="006227DA" w:rsidRPr="006227DA" w:rsidRDefault="006227DA" w:rsidP="006227DA">
      <w:pPr>
        <w:pStyle w:val="Prrafodelista"/>
        <w:rPr>
          <w:rFonts w:ascii="Times New Roman" w:hAnsi="Times New Roman" w:cs="Times New Roman"/>
        </w:rPr>
      </w:pPr>
    </w:p>
    <w:p w:rsidR="001D2C47" w:rsidRPr="006227DA" w:rsidRDefault="001D2C47" w:rsidP="001D2C47">
      <w:pPr>
        <w:pStyle w:val="Prrafodelista"/>
        <w:numPr>
          <w:ilvl w:val="0"/>
          <w:numId w:val="30"/>
        </w:numPr>
        <w:jc w:val="both"/>
        <w:rPr>
          <w:rFonts w:ascii="Times New Roman" w:hAnsi="Times New Roman" w:cs="Times New Roman"/>
        </w:rPr>
      </w:pPr>
      <w:r w:rsidRPr="006227DA">
        <w:rPr>
          <w:rFonts w:ascii="Times New Roman" w:hAnsi="Times New Roman" w:cs="Times New Roman"/>
          <w:sz w:val="24"/>
        </w:rPr>
        <w:t>Actividad económica. El comportamiento de la actividad económica medida a través del IMAE, muestra que existió un crecimiento de 3.4% en noviembre 2018, bastante mejor que el 2.4% del mismo mes del 2017; el resultado, de acuerdo a la publicación más reciente del Banco de Guatemala, estuvo impulsado por el desempeño positivo de las actividades económicas como Transporte, almacenamiento y comunicaciones, Servicios privados, Comercio al por mayor y menor y Agricultura, ganadería, caza, silvicultura y pesca.</w:t>
      </w:r>
    </w:p>
    <w:p w:rsidR="0032588B" w:rsidRPr="001D2C47" w:rsidRDefault="0032588B" w:rsidP="000B5E1C">
      <w:pPr>
        <w:rPr>
          <w:rFonts w:ascii="Times New Roman" w:hAnsi="Times New Roman" w:cs="Times New Roman"/>
          <w:color w:val="FF0000"/>
          <w:sz w:val="22"/>
          <w:lang w:val="es-MX"/>
        </w:rPr>
      </w:pPr>
    </w:p>
    <w:p w:rsidR="001D2C47" w:rsidRDefault="001D2C47" w:rsidP="001D2C47">
      <w:pPr>
        <w:pStyle w:val="Ttulo2"/>
        <w:numPr>
          <w:ilvl w:val="1"/>
          <w:numId w:val="10"/>
        </w:numPr>
        <w:spacing w:before="0"/>
        <w:rPr>
          <w:rFonts w:ascii="Times New Roman" w:hAnsi="Times New Roman" w:cs="Times New Roman"/>
          <w:color w:val="auto"/>
          <w:sz w:val="24"/>
        </w:rPr>
      </w:pPr>
      <w:bookmarkStart w:id="86" w:name="_Toc534988245"/>
      <w:r>
        <w:rPr>
          <w:rFonts w:ascii="Times New Roman" w:hAnsi="Times New Roman" w:cs="Times New Roman"/>
          <w:color w:val="auto"/>
          <w:sz w:val="24"/>
        </w:rPr>
        <w:t>Principales indicadores Macroeconómicos y Fiscales de la región</w:t>
      </w:r>
      <w:bookmarkEnd w:id="86"/>
      <w:r>
        <w:rPr>
          <w:rFonts w:ascii="Times New Roman" w:hAnsi="Times New Roman" w:cs="Times New Roman"/>
          <w:color w:val="auto"/>
          <w:sz w:val="24"/>
        </w:rPr>
        <w:t xml:space="preserve"> </w:t>
      </w:r>
    </w:p>
    <w:p w:rsidR="001D2C47" w:rsidRDefault="001D2C47" w:rsidP="001D2C47"/>
    <w:p w:rsidR="001D2C47" w:rsidRPr="00E263F5" w:rsidRDefault="001D2C47" w:rsidP="001D2C47">
      <w:pPr>
        <w:jc w:val="both"/>
        <w:rPr>
          <w:rFonts w:ascii="Times New Roman" w:hAnsi="Times New Roman" w:cs="Times New Roman"/>
        </w:rPr>
      </w:pPr>
      <w:r w:rsidRPr="00E263F5">
        <w:rPr>
          <w:rFonts w:ascii="Times New Roman" w:hAnsi="Times New Roman" w:cs="Times New Roman"/>
        </w:rPr>
        <w:t>Los países de América Latina y el Caribe han enfrentado un escenario económico mundial complejo en el cual se observa una reducción de la dinámica del crecimiento, tanto de los países desarrollados como de las economías emergentes, acompañada por un aumento en la volatilidad de los mercados financieros internacionales. A esto se suma el debilitamiento estructural del comercio internacional, agravado por las tensiones comerciales entre los Estados Unidos y China.  En este contexto, el crecimiento económico de Centroamérica alcanzó al tercer trimestre de 2018 una tasa de crecimiento del 3.7%, dos décimas mayores que el mismo periodo de 2017.</w:t>
      </w:r>
      <w:r w:rsidRPr="00E263F5">
        <w:rPr>
          <w:sz w:val="28"/>
        </w:rPr>
        <w:t xml:space="preserve">  </w:t>
      </w:r>
      <w:r w:rsidRPr="00E263F5">
        <w:rPr>
          <w:rFonts w:ascii="Times New Roman" w:hAnsi="Times New Roman" w:cs="Times New Roman"/>
        </w:rPr>
        <w:t xml:space="preserve">La sostenibilidad fiscal en la región sigue siendo un reto para la mayoría de países, reflejo de esto en 2018 los esfuerzos se centraron en frenar el déficit fiscal a través de políticas de austeridad, quedando pendientes reformas tributarias encaminadas a mejorar la carga tributaria de la región mientras persiste el aumento de la deuda pública.  </w:t>
      </w:r>
    </w:p>
    <w:p w:rsidR="001D2C47" w:rsidRPr="00E263F5" w:rsidRDefault="001D2C47" w:rsidP="001D2C47">
      <w:pPr>
        <w:jc w:val="both"/>
        <w:rPr>
          <w:rFonts w:ascii="Times New Roman" w:hAnsi="Times New Roman" w:cs="Times New Roman"/>
        </w:rPr>
      </w:pPr>
    </w:p>
    <w:p w:rsidR="001D2C47" w:rsidRPr="00E263F5" w:rsidRDefault="001D2C47" w:rsidP="001D2C47">
      <w:pPr>
        <w:jc w:val="both"/>
        <w:rPr>
          <w:rFonts w:ascii="Times New Roman" w:hAnsi="Times New Roman" w:cs="Times New Roman"/>
        </w:rPr>
      </w:pPr>
      <w:r w:rsidRPr="00E263F5">
        <w:rPr>
          <w:rFonts w:ascii="Times New Roman" w:hAnsi="Times New Roman" w:cs="Times New Roman"/>
        </w:rPr>
        <w:t>Con excepción de Panamá, Guatemala es el país con la mayor economía expresada por medio del PIB, con una macroeconomía estable, aspecto positivo que han destacado las principales calificadoras de riesgo soberano y organismo como el Fondo Monetario Internacional.</w:t>
      </w:r>
    </w:p>
    <w:p w:rsidR="001D2C47" w:rsidRPr="00A761F4" w:rsidRDefault="001D2C47" w:rsidP="001D2C47">
      <w:pPr>
        <w:rPr>
          <w:rFonts w:ascii="Times New Roman" w:hAnsi="Times New Roman" w:cs="Times New Roman"/>
        </w:rPr>
      </w:pPr>
    </w:p>
    <w:p w:rsidR="001D2C47" w:rsidRPr="00A761F4" w:rsidRDefault="001D2C47" w:rsidP="001D2C47">
      <w:pPr>
        <w:jc w:val="center"/>
        <w:rPr>
          <w:rFonts w:ascii="Times New Roman" w:hAnsi="Times New Roman" w:cs="Times New Roman"/>
          <w:b/>
        </w:rPr>
      </w:pPr>
      <w:r w:rsidRPr="00A761F4">
        <w:rPr>
          <w:rFonts w:ascii="Times New Roman" w:hAnsi="Times New Roman" w:cs="Times New Roman"/>
          <w:b/>
        </w:rPr>
        <w:t>Principales indicadores Macroeconómicos y Fiscales de la región</w:t>
      </w:r>
    </w:p>
    <w:p w:rsidR="001D2C47" w:rsidRPr="00A761F4" w:rsidRDefault="001D2C47" w:rsidP="001D2C47">
      <w:pPr>
        <w:jc w:val="center"/>
        <w:rPr>
          <w:rFonts w:ascii="Times New Roman" w:hAnsi="Times New Roman" w:cs="Times New Roman"/>
          <w:sz w:val="18"/>
        </w:rPr>
      </w:pPr>
      <w:r w:rsidRPr="00A761F4">
        <w:rPr>
          <w:rFonts w:ascii="Times New Roman" w:hAnsi="Times New Roman" w:cs="Times New Roman"/>
          <w:sz w:val="18"/>
        </w:rPr>
        <w:t>Millones de US$ y variación interanual</w:t>
      </w:r>
    </w:p>
    <w:p w:rsidR="001D2C47" w:rsidRPr="00A761F4" w:rsidRDefault="001D2C47" w:rsidP="001D2C47">
      <w:pPr>
        <w:jc w:val="center"/>
        <w:rPr>
          <w:rFonts w:ascii="Times New Roman" w:hAnsi="Times New Roman" w:cs="Times New Roman"/>
          <w:sz w:val="18"/>
        </w:rPr>
      </w:pPr>
      <w:r w:rsidRPr="00A761F4">
        <w:rPr>
          <w:rFonts w:ascii="Times New Roman" w:hAnsi="Times New Roman" w:cs="Times New Roman"/>
          <w:sz w:val="18"/>
        </w:rPr>
        <w:t>Cifras al III trimestre 2018</w:t>
      </w:r>
    </w:p>
    <w:p w:rsidR="001D2C47" w:rsidRPr="00A761F4" w:rsidRDefault="001D2C47" w:rsidP="001D2C47">
      <w:pPr>
        <w:rPr>
          <w:rFonts w:ascii="Times New Roman" w:hAnsi="Times New Roman" w:cs="Times New Roman"/>
        </w:rPr>
      </w:pPr>
    </w:p>
    <w:p w:rsidR="001D2C47" w:rsidRPr="00A761F4" w:rsidRDefault="000F0DA3" w:rsidP="00E263F5">
      <w:pPr>
        <w:jc w:val="center"/>
        <w:rPr>
          <w:rFonts w:ascii="Times New Roman" w:hAnsi="Times New Roman" w:cs="Times New Roman"/>
          <w:lang w:val="es-GT"/>
        </w:rPr>
      </w:pPr>
      <w:r w:rsidRPr="000F0DA3">
        <w:rPr>
          <w:noProof/>
          <w:lang w:val="es-GT" w:eastAsia="es-GT"/>
        </w:rPr>
        <w:drawing>
          <wp:inline distT="0" distB="0" distL="0" distR="0" wp14:anchorId="5DACF6C3" wp14:editId="4F838BE1">
            <wp:extent cx="5971540" cy="210004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1540" cy="2100041"/>
                    </a:xfrm>
                    <a:prstGeom prst="rect">
                      <a:avLst/>
                    </a:prstGeom>
                    <a:noFill/>
                    <a:ln>
                      <a:noFill/>
                    </a:ln>
                  </pic:spPr>
                </pic:pic>
              </a:graphicData>
            </a:graphic>
          </wp:inline>
        </w:drawing>
      </w:r>
    </w:p>
    <w:p w:rsidR="001D2C47" w:rsidRPr="00A761F4" w:rsidRDefault="001D2C47" w:rsidP="001D2C47">
      <w:pPr>
        <w:rPr>
          <w:rFonts w:ascii="Times New Roman" w:hAnsi="Times New Roman" w:cs="Times New Roman"/>
          <w:sz w:val="16"/>
          <w:lang w:val="es-GT"/>
        </w:rPr>
      </w:pPr>
      <w:r w:rsidRPr="00A761F4">
        <w:rPr>
          <w:rFonts w:ascii="Times New Roman" w:hAnsi="Times New Roman" w:cs="Times New Roman"/>
          <w:sz w:val="16"/>
          <w:lang w:val="es-GT"/>
        </w:rPr>
        <w:t>Fuente: Banco Central de cada país, Consejo Monetario Centroamericano.</w:t>
      </w:r>
    </w:p>
    <w:p w:rsidR="001D2C47" w:rsidRDefault="001D2C47" w:rsidP="001D2C47">
      <w:pPr>
        <w:rPr>
          <w:rFonts w:ascii="Times New Roman" w:hAnsi="Times New Roman" w:cs="Times New Roman"/>
          <w:sz w:val="16"/>
          <w:lang w:val="es-GT"/>
        </w:rPr>
      </w:pPr>
      <w:r w:rsidRPr="00A761F4">
        <w:rPr>
          <w:rFonts w:ascii="Times New Roman" w:hAnsi="Times New Roman" w:cs="Times New Roman"/>
          <w:sz w:val="16"/>
          <w:lang w:val="es-GT"/>
        </w:rPr>
        <w:t>*De acuerdo al PIB del III trimestre e ingresos a septiembre 2018.</w:t>
      </w:r>
    </w:p>
    <w:p w:rsidR="001D2C47" w:rsidRDefault="001D2C47" w:rsidP="001D2C47">
      <w:pPr>
        <w:rPr>
          <w:lang w:val="es-GT"/>
        </w:rPr>
      </w:pPr>
    </w:p>
    <w:p w:rsidR="001D2C47" w:rsidRDefault="001D2C47" w:rsidP="001D2C47">
      <w:pPr>
        <w:pStyle w:val="Ttulo2"/>
        <w:numPr>
          <w:ilvl w:val="1"/>
          <w:numId w:val="10"/>
        </w:numPr>
        <w:spacing w:before="0"/>
        <w:rPr>
          <w:rFonts w:ascii="Times New Roman" w:hAnsi="Times New Roman" w:cs="Times New Roman"/>
          <w:color w:val="auto"/>
          <w:sz w:val="24"/>
        </w:rPr>
      </w:pPr>
      <w:bookmarkStart w:id="87" w:name="_Toc534988246"/>
      <w:r>
        <w:rPr>
          <w:rFonts w:ascii="Times New Roman" w:hAnsi="Times New Roman" w:cs="Times New Roman"/>
          <w:color w:val="auto"/>
          <w:sz w:val="24"/>
        </w:rPr>
        <w:t>Calificación de riesgo del país</w:t>
      </w:r>
      <w:bookmarkEnd w:id="87"/>
    </w:p>
    <w:p w:rsidR="001D2C47" w:rsidRDefault="001D2C47" w:rsidP="001D2C47">
      <w:pPr>
        <w:pStyle w:val="Ttulo2"/>
        <w:spacing w:before="0"/>
        <w:rPr>
          <w:rFonts w:ascii="Times New Roman" w:hAnsi="Times New Roman" w:cs="Times New Roman"/>
          <w:color w:val="auto"/>
          <w:sz w:val="24"/>
        </w:rPr>
      </w:pPr>
    </w:p>
    <w:p w:rsidR="001D2C47" w:rsidRPr="00E263F5" w:rsidRDefault="001D2C47" w:rsidP="001D2C47">
      <w:pPr>
        <w:jc w:val="both"/>
        <w:rPr>
          <w:rFonts w:ascii="Times New Roman" w:hAnsi="Times New Roman" w:cs="Times New Roman"/>
          <w:lang w:val="es-GT"/>
        </w:rPr>
      </w:pPr>
      <w:r w:rsidRPr="00E263F5">
        <w:rPr>
          <w:rFonts w:ascii="Times New Roman" w:hAnsi="Times New Roman" w:cs="Times New Roman"/>
          <w:lang w:val="es-GT"/>
        </w:rPr>
        <w:t>Las principales calificadoras de riesgo que evaluaron durante el año el récord crediticio de Guatemala como destino de inversión, capacidad de pago de deuda y capacidad para afrontar eventuales problemas o cambios en el entorno coincidieron en mantener sin cambios y reafirmar sus calificaciones desde la revisión correspondientes al primer semestre del 2018.</w:t>
      </w:r>
    </w:p>
    <w:p w:rsidR="001D2C47" w:rsidRPr="00E263F5" w:rsidRDefault="001D2C47" w:rsidP="001D2C47">
      <w:pPr>
        <w:jc w:val="both"/>
        <w:rPr>
          <w:rFonts w:ascii="Times New Roman" w:hAnsi="Times New Roman" w:cs="Times New Roman"/>
          <w:lang w:val="es-GT"/>
        </w:rPr>
      </w:pPr>
    </w:p>
    <w:p w:rsidR="001D2C47" w:rsidRPr="00E263F5" w:rsidRDefault="001D2C47" w:rsidP="001D2C47">
      <w:pPr>
        <w:jc w:val="both"/>
        <w:rPr>
          <w:rFonts w:ascii="Times New Roman" w:hAnsi="Times New Roman" w:cs="Times New Roman"/>
          <w:lang w:val="es-GT"/>
        </w:rPr>
      </w:pPr>
      <w:r w:rsidRPr="00E263F5">
        <w:rPr>
          <w:rFonts w:ascii="Times New Roman" w:hAnsi="Times New Roman" w:cs="Times New Roman"/>
          <w:lang w:val="es-GT"/>
        </w:rPr>
        <w:t xml:space="preserve">Standard &amp; Poor´s al confirmar la calificación de riesgo crediticio indicó que dicha decisión es resultado déficits fiscales moderados, un bajo nivel de endeudamiento público, una política monetaria sólida y una mejora en la posición externa del país, que se refleja en el superávit de la </w:t>
      </w:r>
      <w:r w:rsidRPr="00E263F5">
        <w:rPr>
          <w:rFonts w:ascii="Times New Roman" w:hAnsi="Times New Roman" w:cs="Times New Roman"/>
          <w:lang w:val="es-GT"/>
        </w:rPr>
        <w:lastRenderedPageBreak/>
        <w:t>cuenta corriente de la balanza de pagos. No obstante, S&amp;P indicó que la calificación también tomó en cuenta la inestabilidad política afectando el crecimiento económico, el cual, aunque se mantendría alrededor de 3.3% en el periodo 2018-2020, sería insuficiente para reducir, de manera consistente, el nivel de pobreza en el país.</w:t>
      </w:r>
    </w:p>
    <w:p w:rsidR="001D2C47" w:rsidRPr="00E263F5" w:rsidRDefault="001D2C47" w:rsidP="001D2C47">
      <w:pPr>
        <w:jc w:val="both"/>
        <w:rPr>
          <w:rFonts w:ascii="Times New Roman" w:hAnsi="Times New Roman" w:cs="Times New Roman"/>
          <w:lang w:val="es-GT"/>
        </w:rPr>
      </w:pPr>
    </w:p>
    <w:p w:rsidR="001D2C47" w:rsidRPr="00E263F5" w:rsidRDefault="001D2C47" w:rsidP="001D2C47">
      <w:pPr>
        <w:jc w:val="both"/>
        <w:rPr>
          <w:rFonts w:ascii="Times New Roman" w:hAnsi="Times New Roman" w:cs="Times New Roman"/>
          <w:lang w:val="es-GT"/>
        </w:rPr>
      </w:pPr>
      <w:r w:rsidRPr="00E263F5">
        <w:rPr>
          <w:rFonts w:ascii="Times New Roman" w:hAnsi="Times New Roman" w:cs="Times New Roman"/>
          <w:lang w:val="es-GT"/>
        </w:rPr>
        <w:t>Moody´s por su parte, indicó que la confirmación de su calificación de riesgo para la deuda soberana de Guatemala se explica por dos factores, un récord de prudencia en el manejo fiscal y la resiliencia de la economía a shocks internos y externos; y a las limitaciones debido a las débiles instituciones y el bajo nivel de riqueza del país.</w:t>
      </w:r>
    </w:p>
    <w:p w:rsidR="001D2C47" w:rsidRPr="00E263F5" w:rsidRDefault="001D2C47" w:rsidP="001D2C47">
      <w:pPr>
        <w:jc w:val="both"/>
        <w:rPr>
          <w:rFonts w:ascii="Times New Roman" w:hAnsi="Times New Roman" w:cs="Times New Roman"/>
          <w:lang w:val="es-GT"/>
        </w:rPr>
      </w:pPr>
    </w:p>
    <w:p w:rsidR="001D2C47" w:rsidRPr="002B107D" w:rsidRDefault="001D2C47" w:rsidP="001D2C47">
      <w:pPr>
        <w:jc w:val="both"/>
        <w:rPr>
          <w:rFonts w:ascii="Times New Roman" w:hAnsi="Times New Roman" w:cs="Times New Roman"/>
          <w:sz w:val="22"/>
          <w:lang w:val="es-GT"/>
        </w:rPr>
      </w:pPr>
      <w:r w:rsidRPr="00E263F5">
        <w:rPr>
          <w:rFonts w:ascii="Times New Roman" w:hAnsi="Times New Roman" w:cs="Times New Roman"/>
          <w:lang w:val="es-GT"/>
        </w:rPr>
        <w:t>Fitch Ratings fundamentó su confirmación en el largo historial de estabilidad macroeconómica del país, la disciplina de las políticas monetaria y fiscal, los bajos niveles de deuda pública respecto del producto interno bruto y una sólida posición del sector externo, reflejada en bajos niveles de déficit en la cuenta corriente de la balanza de pagos.  La calificadora indicó que valora significativamente el compromiso de las autoridades con el cumplimiento de las obligaciones de deuda pública, y resalta la continuidad y resiliencia del crecimiento económico interno.</w:t>
      </w:r>
    </w:p>
    <w:p w:rsidR="001D2C47" w:rsidRDefault="001D2C47" w:rsidP="001D2C47">
      <w:pPr>
        <w:rPr>
          <w:rFonts w:ascii="Times New Roman" w:hAnsi="Times New Roman" w:cs="Times New Roman"/>
          <w:sz w:val="22"/>
          <w:lang w:val="es-GT"/>
        </w:rPr>
      </w:pPr>
    </w:p>
    <w:p w:rsidR="001D2C47" w:rsidRPr="002B107D" w:rsidRDefault="001D2C47" w:rsidP="001D2C47">
      <w:pPr>
        <w:rPr>
          <w:rFonts w:ascii="Times New Roman" w:hAnsi="Times New Roman" w:cs="Times New Roman"/>
          <w:sz w:val="22"/>
          <w:lang w:val="es-GT"/>
        </w:rPr>
      </w:pPr>
    </w:p>
    <w:p w:rsidR="001D2C47" w:rsidRDefault="001D2C47" w:rsidP="001D2C47">
      <w:pPr>
        <w:jc w:val="center"/>
        <w:rPr>
          <w:rFonts w:ascii="Times New Roman" w:hAnsi="Times New Roman" w:cs="Times New Roman"/>
          <w:b/>
        </w:rPr>
      </w:pPr>
      <w:r>
        <w:rPr>
          <w:rFonts w:ascii="Times New Roman" w:hAnsi="Times New Roman" w:cs="Times New Roman"/>
          <w:b/>
        </w:rPr>
        <w:t>Historial de calificaciones de riesgo de Guatemala</w:t>
      </w:r>
    </w:p>
    <w:p w:rsidR="001D2C47" w:rsidRPr="002B107D" w:rsidRDefault="001D2C47" w:rsidP="001D2C47">
      <w:pPr>
        <w:jc w:val="center"/>
        <w:rPr>
          <w:rFonts w:ascii="Times New Roman" w:hAnsi="Times New Roman" w:cs="Times New Roman"/>
          <w:sz w:val="18"/>
        </w:rPr>
      </w:pPr>
      <w:r>
        <w:rPr>
          <w:rFonts w:ascii="Times New Roman" w:hAnsi="Times New Roman" w:cs="Times New Roman"/>
          <w:sz w:val="18"/>
        </w:rPr>
        <w:t>2009-2018</w:t>
      </w:r>
    </w:p>
    <w:p w:rsidR="001D2C47" w:rsidRDefault="001D2C47" w:rsidP="001D2C47">
      <w:pPr>
        <w:jc w:val="center"/>
        <w:rPr>
          <w:rFonts w:ascii="Times New Roman" w:hAnsi="Times New Roman" w:cs="Times New Roman"/>
          <w:sz w:val="16"/>
          <w:lang w:val="es-GT"/>
        </w:rPr>
      </w:pPr>
      <w:r w:rsidRPr="00CF0247">
        <w:rPr>
          <w:noProof/>
          <w:lang w:val="es-GT" w:eastAsia="es-GT"/>
        </w:rPr>
        <w:drawing>
          <wp:inline distT="0" distB="0" distL="0" distR="0" wp14:anchorId="049A05F1" wp14:editId="23E2A1CE">
            <wp:extent cx="5091652" cy="3140765"/>
            <wp:effectExtent l="0" t="0" r="0" b="2540"/>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65664" cy="3186419"/>
                    </a:xfrm>
                    <a:prstGeom prst="rect">
                      <a:avLst/>
                    </a:prstGeom>
                    <a:noFill/>
                    <a:ln>
                      <a:noFill/>
                    </a:ln>
                  </pic:spPr>
                </pic:pic>
              </a:graphicData>
            </a:graphic>
          </wp:inline>
        </w:drawing>
      </w:r>
    </w:p>
    <w:p w:rsidR="001D2C47" w:rsidRPr="00416915" w:rsidRDefault="001D2C47" w:rsidP="001D2C47">
      <w:pPr>
        <w:ind w:left="1416"/>
        <w:rPr>
          <w:rFonts w:ascii="Times New Roman" w:hAnsi="Times New Roman" w:cs="Times New Roman"/>
          <w:sz w:val="16"/>
          <w:lang w:val="en-US"/>
        </w:rPr>
      </w:pPr>
      <w:r w:rsidRPr="00416915">
        <w:rPr>
          <w:rFonts w:ascii="Times New Roman" w:hAnsi="Times New Roman" w:cs="Times New Roman"/>
          <w:sz w:val="16"/>
          <w:lang w:val="en-US"/>
        </w:rPr>
        <w:t xml:space="preserve">Fuente: Fitch Ratings, Moody´s Investors, </w:t>
      </w:r>
      <w:proofErr w:type="spellStart"/>
      <w:r w:rsidRPr="00416915">
        <w:rPr>
          <w:rFonts w:ascii="Times New Roman" w:hAnsi="Times New Roman" w:cs="Times New Roman"/>
          <w:sz w:val="16"/>
          <w:lang w:val="en-US"/>
        </w:rPr>
        <w:t>Estandar</w:t>
      </w:r>
      <w:proofErr w:type="spellEnd"/>
      <w:r w:rsidRPr="00416915">
        <w:rPr>
          <w:rFonts w:ascii="Times New Roman" w:hAnsi="Times New Roman" w:cs="Times New Roman"/>
          <w:sz w:val="16"/>
          <w:lang w:val="en-US"/>
        </w:rPr>
        <w:t xml:space="preserve"> &amp; Poor´s, OCDE. </w:t>
      </w:r>
    </w:p>
    <w:p w:rsidR="001D2C47" w:rsidRPr="00A761F4" w:rsidRDefault="001D2C47" w:rsidP="001D2C47">
      <w:pPr>
        <w:ind w:left="1416"/>
        <w:rPr>
          <w:rFonts w:ascii="Times New Roman" w:hAnsi="Times New Roman" w:cs="Times New Roman"/>
          <w:sz w:val="16"/>
          <w:lang w:val="es-GT"/>
        </w:rPr>
      </w:pPr>
      <w:r>
        <w:rPr>
          <w:rFonts w:ascii="Times New Roman" w:hAnsi="Times New Roman" w:cs="Times New Roman"/>
          <w:sz w:val="16"/>
          <w:lang w:val="es-GT"/>
        </w:rPr>
        <w:t>*Datos vigentes a diciembre 2018, reiterados en octubre 2018.</w:t>
      </w:r>
    </w:p>
    <w:p w:rsidR="001D2C47" w:rsidRDefault="001D2C47" w:rsidP="001D2C47">
      <w:pPr>
        <w:rPr>
          <w:rFonts w:ascii="Times New Roman" w:hAnsi="Times New Roman" w:cs="Times New Roman"/>
          <w:sz w:val="16"/>
          <w:lang w:val="es-GT"/>
        </w:rPr>
      </w:pPr>
    </w:p>
    <w:p w:rsidR="001D2C47" w:rsidRPr="00E263F5" w:rsidRDefault="001D2C47" w:rsidP="001D2C47">
      <w:pPr>
        <w:jc w:val="both"/>
        <w:rPr>
          <w:rFonts w:ascii="Times New Roman" w:hAnsi="Times New Roman" w:cs="Times New Roman"/>
          <w:bCs/>
          <w:lang w:val="es-GT"/>
        </w:rPr>
      </w:pPr>
      <w:r w:rsidRPr="00E263F5">
        <w:rPr>
          <w:rFonts w:ascii="Times New Roman" w:hAnsi="Times New Roman" w:cs="Times New Roman"/>
          <w:bCs/>
          <w:lang w:val="es-GT"/>
        </w:rPr>
        <w:t xml:space="preserve">Todas las calificadoras coincidieron en que pueden disminuir la calificación de Guatemala si conflictos políticos afectan el crecimiento económico y la sostenibilidad de las finanzas públicas; si existe una continua erosión en la base tributaria que restrinja la flexibilidad de la política fiscal; o un estancamiento político que ponga en riesgo el financiamiento del gobierno. </w:t>
      </w:r>
    </w:p>
    <w:p w:rsidR="001D2C47" w:rsidRPr="001D2C47" w:rsidRDefault="001D2C47" w:rsidP="001D2C47"/>
    <w:p w:rsidR="00D5619D" w:rsidRPr="001D2C47" w:rsidRDefault="00D5619D" w:rsidP="000B5E1C">
      <w:pPr>
        <w:rPr>
          <w:rFonts w:ascii="Times New Roman" w:hAnsi="Times New Roman" w:cs="Times New Roman"/>
          <w:color w:val="FF0000"/>
          <w:sz w:val="14"/>
        </w:rPr>
      </w:pPr>
    </w:p>
    <w:p w:rsidR="00D5619D" w:rsidRPr="0008775B" w:rsidRDefault="00D5619D" w:rsidP="000B5E1C">
      <w:pPr>
        <w:rPr>
          <w:rFonts w:ascii="Times New Roman" w:hAnsi="Times New Roman" w:cs="Times New Roman"/>
          <w:color w:val="FF0000"/>
          <w:sz w:val="14"/>
          <w:lang w:val="es-MX"/>
        </w:rPr>
      </w:pPr>
    </w:p>
    <w:p w:rsidR="00D5619D" w:rsidRPr="0008775B" w:rsidRDefault="00D5619D" w:rsidP="000B5E1C">
      <w:pPr>
        <w:rPr>
          <w:rFonts w:ascii="Times New Roman" w:hAnsi="Times New Roman" w:cs="Times New Roman"/>
          <w:color w:val="FF0000"/>
          <w:sz w:val="14"/>
          <w:lang w:val="es-MX"/>
        </w:rPr>
      </w:pPr>
    </w:p>
    <w:p w:rsidR="00D5619D" w:rsidRDefault="00D5619D" w:rsidP="000B5E1C">
      <w:pPr>
        <w:rPr>
          <w:rFonts w:ascii="Times New Roman" w:hAnsi="Times New Roman" w:cs="Times New Roman"/>
          <w:color w:val="FF0000"/>
          <w:sz w:val="14"/>
          <w:lang w:val="es-MX"/>
        </w:rPr>
      </w:pPr>
    </w:p>
    <w:p w:rsidR="00D5619D" w:rsidRPr="0008775B" w:rsidRDefault="00D5619D" w:rsidP="000B5E1C">
      <w:pPr>
        <w:rPr>
          <w:rFonts w:ascii="Times New Roman" w:hAnsi="Times New Roman" w:cs="Times New Roman"/>
          <w:color w:val="FF0000"/>
          <w:sz w:val="16"/>
          <w:lang w:val="es-MX"/>
        </w:rPr>
      </w:pPr>
    </w:p>
    <w:p w:rsidR="000B5E1C" w:rsidRPr="00E263F5" w:rsidRDefault="0032588B" w:rsidP="0032588B">
      <w:pPr>
        <w:pStyle w:val="Prrafodelista"/>
        <w:numPr>
          <w:ilvl w:val="0"/>
          <w:numId w:val="1"/>
        </w:numPr>
        <w:ind w:left="709" w:hanging="709"/>
        <w:jc w:val="both"/>
        <w:outlineLvl w:val="0"/>
        <w:rPr>
          <w:rFonts w:ascii="Times New Roman" w:eastAsiaTheme="majorEastAsia" w:hAnsi="Times New Roman" w:cs="Times New Roman"/>
          <w:b/>
          <w:bCs/>
          <w:sz w:val="24"/>
          <w:szCs w:val="26"/>
          <w:lang w:val="es-ES_tradnl" w:eastAsia="es-ES"/>
        </w:rPr>
      </w:pPr>
      <w:bookmarkStart w:id="88" w:name="_Toc534988247"/>
      <w:r w:rsidRPr="00E263F5">
        <w:rPr>
          <w:rFonts w:ascii="Times New Roman" w:eastAsiaTheme="majorEastAsia" w:hAnsi="Times New Roman" w:cs="Times New Roman"/>
          <w:b/>
          <w:bCs/>
          <w:sz w:val="24"/>
          <w:szCs w:val="26"/>
          <w:lang w:val="es-ES_tradnl" w:eastAsia="es-ES"/>
        </w:rPr>
        <w:t>A</w:t>
      </w:r>
      <w:r w:rsidR="00F3006C" w:rsidRPr="00E263F5">
        <w:rPr>
          <w:rFonts w:ascii="Times New Roman" w:eastAsiaTheme="majorEastAsia" w:hAnsi="Times New Roman" w:cs="Times New Roman"/>
          <w:b/>
          <w:bCs/>
          <w:sz w:val="24"/>
          <w:szCs w:val="26"/>
          <w:lang w:val="es-ES_tradnl" w:eastAsia="es-ES"/>
        </w:rPr>
        <w:t>nexo</w:t>
      </w:r>
      <w:bookmarkEnd w:id="88"/>
    </w:p>
    <w:p w:rsidR="0032588B" w:rsidRPr="0008775B" w:rsidRDefault="0032588B" w:rsidP="0032588B">
      <w:pPr>
        <w:jc w:val="both"/>
        <w:outlineLvl w:val="0"/>
        <w:rPr>
          <w:rFonts w:ascii="Times New Roman" w:eastAsiaTheme="majorEastAsia" w:hAnsi="Times New Roman" w:cs="Times New Roman"/>
          <w:b/>
          <w:bCs/>
          <w:color w:val="FF0000"/>
          <w:szCs w:val="26"/>
        </w:rPr>
      </w:pPr>
    </w:p>
    <w:p w:rsidR="000B5E1C" w:rsidRPr="0008775B" w:rsidRDefault="00E14CCD" w:rsidP="00972718">
      <w:pPr>
        <w:jc w:val="center"/>
        <w:rPr>
          <w:rFonts w:ascii="Times New Roman" w:hAnsi="Times New Roman" w:cs="Times New Roman"/>
          <w:color w:val="FF0000"/>
          <w:lang w:val="es-MX"/>
        </w:rPr>
      </w:pPr>
      <w:r w:rsidRPr="00E14CCD">
        <w:rPr>
          <w:noProof/>
          <w:lang w:val="es-GT" w:eastAsia="es-GT"/>
        </w:rPr>
        <w:drawing>
          <wp:inline distT="0" distB="0" distL="0" distR="0">
            <wp:extent cx="4467225" cy="77724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81151" cy="7796630"/>
                    </a:xfrm>
                    <a:prstGeom prst="rect">
                      <a:avLst/>
                    </a:prstGeom>
                    <a:noFill/>
                    <a:ln>
                      <a:noFill/>
                    </a:ln>
                  </pic:spPr>
                </pic:pic>
              </a:graphicData>
            </a:graphic>
          </wp:inline>
        </w:drawing>
      </w:r>
    </w:p>
    <w:sectPr w:rsidR="000B5E1C" w:rsidRPr="0008775B" w:rsidSect="005329C2">
      <w:headerReference w:type="default" r:id="rId31"/>
      <w:footerReference w:type="default" r:id="rId32"/>
      <w:headerReference w:type="first" r:id="rId33"/>
      <w:footerReference w:type="first" r:id="rId34"/>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0E2" w:rsidRDefault="00A020E2" w:rsidP="000B5E1C">
      <w:r>
        <w:separator/>
      </w:r>
    </w:p>
  </w:endnote>
  <w:endnote w:type="continuationSeparator" w:id="0">
    <w:p w:rsidR="00A020E2" w:rsidRDefault="00A020E2" w:rsidP="000B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color w:val="1F497D" w:themeColor="text2"/>
        <w:lang w:val="es-ES"/>
      </w:rPr>
      <w:id w:val="1089358670"/>
      <w:docPartObj>
        <w:docPartGallery w:val="Page Numbers (Bottom of Page)"/>
        <w:docPartUnique/>
      </w:docPartObj>
    </w:sdtPr>
    <w:sdtEndPr/>
    <w:sdtContent>
      <w:p w:rsidR="00713598" w:rsidRPr="00AC45C7" w:rsidRDefault="00713598">
        <w:pPr>
          <w:pStyle w:val="Piedepgina"/>
          <w:jc w:val="right"/>
          <w:rPr>
            <w:rFonts w:ascii="Times New Roman" w:hAnsi="Times New Roman" w:cs="Times New Roman"/>
            <w:i/>
            <w:color w:val="1F497D" w:themeColor="text2"/>
          </w:rPr>
        </w:pPr>
        <w:r>
          <w:rPr>
            <w:rFonts w:ascii="Times New Roman" w:hAnsi="Times New Roman" w:cs="Times New Roman"/>
            <w:i/>
            <w:noProof/>
            <w:color w:val="1F497D" w:themeColor="text2"/>
            <w:lang w:val="es-GT" w:eastAsia="es-GT"/>
          </w:rPr>
          <mc:AlternateContent>
            <mc:Choice Requires="wps">
              <w:drawing>
                <wp:anchor distT="0" distB="0" distL="114300" distR="114300" simplePos="0" relativeHeight="251660288" behindDoc="0" locked="0" layoutInCell="1" allowOverlap="1" wp14:anchorId="710459B9" wp14:editId="4EF2F130">
                  <wp:simplePos x="0" y="0"/>
                  <wp:positionH relativeFrom="column">
                    <wp:posOffset>77580</wp:posOffset>
                  </wp:positionH>
                  <wp:positionV relativeFrom="paragraph">
                    <wp:posOffset>-55162</wp:posOffset>
                  </wp:positionV>
                  <wp:extent cx="6798366" cy="47708"/>
                  <wp:effectExtent l="0" t="0" r="21590" b="28575"/>
                  <wp:wrapNone/>
                  <wp:docPr id="43" name="43 Rectángulo"/>
                  <wp:cNvGraphicFramePr/>
                  <a:graphic xmlns:a="http://schemas.openxmlformats.org/drawingml/2006/main">
                    <a:graphicData uri="http://schemas.microsoft.com/office/word/2010/wordprocessingShape">
                      <wps:wsp>
                        <wps:cNvSpPr/>
                        <wps:spPr>
                          <a:xfrm>
                            <a:off x="0" y="0"/>
                            <a:ext cx="6798366" cy="47708"/>
                          </a:xfrm>
                          <a:prstGeom prst="rect">
                            <a:avLst/>
                          </a:prstGeom>
                          <a:gradFill flip="none" rotWithShape="1">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0" scaled="0"/>
                            <a:tileRect/>
                          </a:gradFill>
                          <a:ln>
                            <a:gradFill>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478B8" id="43 Rectángulo" o:spid="_x0000_s1026" style="position:absolute;margin-left:6.1pt;margin-top:-4.35pt;width:535.3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" fillcolor="#8aabd3 [2132]" strokeweight="2pt">
                  <v:fill color2="#f2f2f2 [3052]" rotate="t" angle="90" colors="0 #9ab5e4;50463f #c2d1ed;58327f #e1e8f5;64881f #f2f2f2" focus="100%" type="gradient">
                    <o:fill v:ext="view" type="gradientUnscaled"/>
                  </v:fill>
                </v:rect>
              </w:pict>
            </mc:Fallback>
          </mc:AlternateContent>
        </w:r>
        <w:r w:rsidRPr="00AC45C7">
          <w:rPr>
            <w:rFonts w:ascii="Times New Roman" w:hAnsi="Times New Roman" w:cs="Times New Roman"/>
            <w:i/>
            <w:color w:val="1F497D" w:themeColor="text2"/>
            <w:lang w:val="es-ES"/>
          </w:rPr>
          <w:t xml:space="preserve">Página | </w:t>
        </w:r>
        <w:r w:rsidRPr="00AC45C7">
          <w:rPr>
            <w:rFonts w:ascii="Times New Roman" w:hAnsi="Times New Roman" w:cs="Times New Roman"/>
            <w:i/>
            <w:color w:val="1F497D" w:themeColor="text2"/>
          </w:rPr>
          <w:fldChar w:fldCharType="begin"/>
        </w:r>
        <w:r w:rsidRPr="00AC45C7">
          <w:rPr>
            <w:rFonts w:ascii="Times New Roman" w:hAnsi="Times New Roman" w:cs="Times New Roman"/>
            <w:i/>
            <w:color w:val="1F497D" w:themeColor="text2"/>
          </w:rPr>
          <w:instrText>PAGE   \* MERGEFORMAT</w:instrText>
        </w:r>
        <w:r w:rsidRPr="00AC45C7">
          <w:rPr>
            <w:rFonts w:ascii="Times New Roman" w:hAnsi="Times New Roman" w:cs="Times New Roman"/>
            <w:i/>
            <w:color w:val="1F497D" w:themeColor="text2"/>
          </w:rPr>
          <w:fldChar w:fldCharType="separate"/>
        </w:r>
        <w:r w:rsidR="00B10811" w:rsidRPr="00B10811">
          <w:rPr>
            <w:rFonts w:ascii="Times New Roman" w:hAnsi="Times New Roman" w:cs="Times New Roman"/>
            <w:i/>
            <w:noProof/>
            <w:color w:val="1F497D" w:themeColor="text2"/>
            <w:lang w:val="es-ES"/>
          </w:rPr>
          <w:t>21</w:t>
        </w:r>
        <w:r w:rsidRPr="00AC45C7">
          <w:rPr>
            <w:rFonts w:ascii="Times New Roman" w:hAnsi="Times New Roman" w:cs="Times New Roman"/>
            <w:i/>
            <w:color w:val="1F497D" w:themeColor="text2"/>
          </w:rPr>
          <w:fldChar w:fldCharType="end"/>
        </w:r>
        <w:r w:rsidRPr="00AC45C7">
          <w:rPr>
            <w:rFonts w:ascii="Times New Roman" w:hAnsi="Times New Roman" w:cs="Times New Roman"/>
            <w:i/>
            <w:color w:val="1F497D" w:themeColor="text2"/>
            <w:lang w:val="es-ES"/>
          </w:rPr>
          <w:t xml:space="preserve"> </w:t>
        </w:r>
      </w:p>
    </w:sdtContent>
  </w:sdt>
  <w:p w:rsidR="00713598" w:rsidRPr="00D5619D" w:rsidRDefault="00713598">
    <w:pPr>
      <w:pStyle w:val="Piedepgina"/>
      <w:rPr>
        <w:rFonts w:ascii="Times New Roman" w:hAnsi="Times New Roman" w:cs="Times New Roman"/>
        <w:i/>
        <w:color w:val="1F497D" w:themeColor="text2"/>
      </w:rPr>
    </w:pPr>
    <w:r w:rsidRPr="00D5619D">
      <w:rPr>
        <w:rFonts w:ascii="Times New Roman" w:hAnsi="Times New Roman" w:cs="Times New Roman"/>
        <w:i/>
        <w:color w:val="1F497D" w:themeColor="text2"/>
      </w:rPr>
      <w:t>Informe de desempeño de la Política Fiscal 201</w:t>
    </w:r>
    <w:r>
      <w:rPr>
        <w:rFonts w:ascii="Times New Roman" w:hAnsi="Times New Roman" w:cs="Times New Roman"/>
        <w:i/>
        <w:color w:val="1F497D" w:themeColor="text2"/>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98" w:rsidRDefault="00713598">
    <w:pPr>
      <w:pStyle w:val="Piedepgina"/>
    </w:pPr>
    <w:r>
      <w:rPr>
        <w:rFonts w:ascii="Times New Roman" w:hAnsi="Times New Roman" w:cs="Times New Roman"/>
        <w:i/>
        <w:noProof/>
        <w:color w:val="1F497D" w:themeColor="text2"/>
        <w:lang w:val="es-GT" w:eastAsia="es-GT"/>
      </w:rPr>
      <mc:AlternateContent>
        <mc:Choice Requires="wps">
          <w:drawing>
            <wp:anchor distT="0" distB="0" distL="114300" distR="114300" simplePos="0" relativeHeight="251664384" behindDoc="0" locked="0" layoutInCell="1" allowOverlap="1" wp14:anchorId="77C3C7BA" wp14:editId="2CD22B60">
              <wp:simplePos x="0" y="0"/>
              <wp:positionH relativeFrom="column">
                <wp:posOffset>78740</wp:posOffset>
              </wp:positionH>
              <wp:positionV relativeFrom="paragraph">
                <wp:posOffset>-205105</wp:posOffset>
              </wp:positionV>
              <wp:extent cx="6798310" cy="47625"/>
              <wp:effectExtent l="0" t="0" r="21590" b="28575"/>
              <wp:wrapNone/>
              <wp:docPr id="45" name="45 Rectángulo"/>
              <wp:cNvGraphicFramePr/>
              <a:graphic xmlns:a="http://schemas.openxmlformats.org/drawingml/2006/main">
                <a:graphicData uri="http://schemas.microsoft.com/office/word/2010/wordprocessingShape">
                  <wps:wsp>
                    <wps:cNvSpPr/>
                    <wps:spPr>
                      <a:xfrm>
                        <a:off x="0" y="0"/>
                        <a:ext cx="6798310" cy="47625"/>
                      </a:xfrm>
                      <a:prstGeom prst="rect">
                        <a:avLst/>
                      </a:prstGeom>
                      <a:gradFill flip="none" rotWithShape="1">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0" scaled="0"/>
                        <a:tileRect/>
                      </a:gradFill>
                      <a:ln>
                        <a:gradFill>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9B837" id="45 Rectángulo" o:spid="_x0000_s1026" style="position:absolute;margin-left:6.2pt;margin-top:-16.15pt;width:535.3pt;height: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" fillcolor="#8aabd3 [2132]" strokeweight="2pt">
              <v:fill color2="#f2f2f2 [3052]" rotate="t" angle="90" colors="0 #9ab5e4;50463f #c2d1ed;58327f #e1e8f5;64881f #f2f2f2" focus="100%" type="gradient">
                <o:fill v:ext="view" type="gradientUnscaled"/>
              </v:fill>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0E2" w:rsidRDefault="00A020E2" w:rsidP="000B5E1C">
      <w:r>
        <w:separator/>
      </w:r>
    </w:p>
  </w:footnote>
  <w:footnote w:type="continuationSeparator" w:id="0">
    <w:p w:rsidR="00A020E2" w:rsidRDefault="00A020E2" w:rsidP="000B5E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98" w:rsidRPr="00AC45C7" w:rsidRDefault="00713598" w:rsidP="00AC45C7">
    <w:pPr>
      <w:pStyle w:val="Encabezado"/>
      <w:jc w:val="right"/>
      <w:rPr>
        <w:rFonts w:ascii="Times New Roman" w:hAnsi="Times New Roman" w:cs="Times New Roman"/>
        <w:i/>
        <w:color w:val="1F497D" w:themeColor="text2"/>
      </w:rPr>
    </w:pPr>
    <w:r>
      <w:rPr>
        <w:rFonts w:ascii="Times New Roman" w:hAnsi="Times New Roman" w:cs="Times New Roman"/>
        <w:i/>
        <w:noProof/>
        <w:color w:val="1F497D" w:themeColor="text2"/>
        <w:lang w:val="es-GT" w:eastAsia="es-GT"/>
      </w:rPr>
      <mc:AlternateContent>
        <mc:Choice Requires="wps">
          <w:drawing>
            <wp:anchor distT="0" distB="0" distL="114300" distR="114300" simplePos="0" relativeHeight="251662336" behindDoc="0" locked="0" layoutInCell="1" allowOverlap="1" wp14:anchorId="7B3376D9" wp14:editId="006369A2">
              <wp:simplePos x="0" y="0"/>
              <wp:positionH relativeFrom="column">
                <wp:posOffset>1421352</wp:posOffset>
              </wp:positionH>
              <wp:positionV relativeFrom="paragraph">
                <wp:posOffset>313110</wp:posOffset>
              </wp:positionV>
              <wp:extent cx="5454236" cy="47625"/>
              <wp:effectExtent l="0" t="0" r="13335" b="28575"/>
              <wp:wrapNone/>
              <wp:docPr id="44" name="44 Rectángulo"/>
              <wp:cNvGraphicFramePr/>
              <a:graphic xmlns:a="http://schemas.openxmlformats.org/drawingml/2006/main">
                <a:graphicData uri="http://schemas.microsoft.com/office/word/2010/wordprocessingShape">
                  <wps:wsp>
                    <wps:cNvSpPr/>
                    <wps:spPr>
                      <a:xfrm>
                        <a:off x="0" y="0"/>
                        <a:ext cx="5454236" cy="47625"/>
                      </a:xfrm>
                      <a:prstGeom prst="rect">
                        <a:avLst/>
                      </a:prstGeom>
                      <a:gradFill flip="none" rotWithShape="1">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0" scaled="0"/>
                        <a:tileRect/>
                      </a:gradFill>
                      <a:ln>
                        <a:gradFill>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5B5A63" id="44 Rectángulo" o:spid="_x0000_s1026" style="position:absolute;margin-left:111.9pt;margin-top:24.65pt;width:429.45pt;height: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" fillcolor="#8aabd3 [2132]" strokeweight="2pt">
              <v:fill color2="#f2f2f2 [3052]" rotate="t" angle="90" colors="0 #9ab5e4;50463f #c2d1ed;58327f #e1e8f5;64881f #f2f2f2" focus="100%" type="gradient">
                <o:fill v:ext="view" type="gradientUnscaled"/>
              </v:fill>
            </v:rect>
          </w:pict>
        </mc:Fallback>
      </mc:AlternateContent>
    </w:r>
    <w:r w:rsidRPr="00AC45C7">
      <w:rPr>
        <w:rFonts w:ascii="Times New Roman" w:hAnsi="Times New Roman" w:cs="Times New Roman"/>
        <w:i/>
        <w:noProof/>
        <w:color w:val="1F497D" w:themeColor="text2"/>
        <w:lang w:val="es-GT" w:eastAsia="es-GT"/>
      </w:rPr>
      <w:drawing>
        <wp:anchor distT="0" distB="0" distL="114300" distR="114300" simplePos="0" relativeHeight="251659264" behindDoc="1" locked="0" layoutInCell="1" allowOverlap="1" wp14:anchorId="00D816A4" wp14:editId="7CE93A30">
          <wp:simplePos x="0" y="0"/>
          <wp:positionH relativeFrom="column">
            <wp:posOffset>-1905</wp:posOffset>
          </wp:positionH>
          <wp:positionV relativeFrom="paragraph">
            <wp:posOffset>-306401</wp:posOffset>
          </wp:positionV>
          <wp:extent cx="1423284" cy="766466"/>
          <wp:effectExtent l="0" t="0" r="5715" b="0"/>
          <wp:wrapNone/>
          <wp:docPr id="41" name="Imagen 41"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284" cy="7664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45C7">
      <w:rPr>
        <w:rFonts w:ascii="Times New Roman" w:hAnsi="Times New Roman" w:cs="Times New Roman"/>
        <w:i/>
        <w:color w:val="1F497D" w:themeColor="text2"/>
      </w:rPr>
      <w:t>Dirección de Análisis y Política Fiscal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98" w:rsidRPr="005329C2" w:rsidRDefault="00713598" w:rsidP="005329C2">
    <w:pPr>
      <w:pStyle w:val="Encabezado"/>
      <w:jc w:val="right"/>
      <w:rPr>
        <w:rFonts w:ascii="Times New Roman" w:hAnsi="Times New Roman" w:cs="Times New Roman"/>
        <w:i/>
        <w:color w:val="1F497D" w:themeColor="text2"/>
      </w:rPr>
    </w:pPr>
    <w:r w:rsidRPr="00D5619D">
      <w:rPr>
        <w:rFonts w:ascii="Times New Roman" w:hAnsi="Times New Roman" w:cs="Times New Roman"/>
        <w:i/>
        <w:noProof/>
        <w:color w:val="1F497D" w:themeColor="text2"/>
        <w:sz w:val="28"/>
        <w:lang w:val="es-GT" w:eastAsia="es-GT"/>
      </w:rPr>
      <w:drawing>
        <wp:anchor distT="0" distB="0" distL="114300" distR="114300" simplePos="0" relativeHeight="251668480" behindDoc="1" locked="0" layoutInCell="1" allowOverlap="1" wp14:anchorId="35C6EC84" wp14:editId="2B6C466B">
          <wp:simplePos x="0" y="0"/>
          <wp:positionH relativeFrom="column">
            <wp:posOffset>-6985</wp:posOffset>
          </wp:positionH>
          <wp:positionV relativeFrom="paragraph">
            <wp:posOffset>-312751</wp:posOffset>
          </wp:positionV>
          <wp:extent cx="1423035" cy="766445"/>
          <wp:effectExtent l="0" t="0" r="5715" b="0"/>
          <wp:wrapNone/>
          <wp:docPr id="47" name="Imagen 4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766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619D">
      <w:rPr>
        <w:rFonts w:ascii="Times New Roman" w:hAnsi="Times New Roman" w:cs="Times New Roman"/>
        <w:i/>
        <w:color w:val="1F497D" w:themeColor="text2"/>
        <w:sz w:val="28"/>
      </w:rPr>
      <w:t>Dirección de Análisis y Política Fiscal</w:t>
    </w:r>
    <w:r>
      <w:rPr>
        <w:rFonts w:ascii="Times New Roman" w:hAnsi="Times New Roman" w:cs="Times New Roman"/>
        <w:i/>
        <w:noProof/>
        <w:color w:val="1F497D" w:themeColor="text2"/>
        <w:lang w:val="es-GT" w:eastAsia="es-GT"/>
      </w:rPr>
      <mc:AlternateContent>
        <mc:Choice Requires="wps">
          <w:drawing>
            <wp:anchor distT="0" distB="0" distL="114300" distR="114300" simplePos="0" relativeHeight="251666432" behindDoc="0" locked="0" layoutInCell="1" allowOverlap="1" wp14:anchorId="6601A641" wp14:editId="6853EC45">
              <wp:simplePos x="0" y="0"/>
              <wp:positionH relativeFrom="column">
                <wp:posOffset>1414449</wp:posOffset>
              </wp:positionH>
              <wp:positionV relativeFrom="paragraph">
                <wp:posOffset>345440</wp:posOffset>
              </wp:positionV>
              <wp:extent cx="5454236" cy="47625"/>
              <wp:effectExtent l="0" t="0" r="13335" b="28575"/>
              <wp:wrapNone/>
              <wp:docPr id="46" name="46 Rectángulo"/>
              <wp:cNvGraphicFramePr/>
              <a:graphic xmlns:a="http://schemas.openxmlformats.org/drawingml/2006/main">
                <a:graphicData uri="http://schemas.microsoft.com/office/word/2010/wordprocessingShape">
                  <wps:wsp>
                    <wps:cNvSpPr/>
                    <wps:spPr>
                      <a:xfrm>
                        <a:off x="0" y="0"/>
                        <a:ext cx="5454236" cy="47625"/>
                      </a:xfrm>
                      <a:prstGeom prst="rect">
                        <a:avLst/>
                      </a:prstGeom>
                      <a:gradFill flip="none" rotWithShape="1">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0" scaled="0"/>
                        <a:tileRect/>
                      </a:gradFill>
                      <a:ln>
                        <a:gradFill>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5A1DC2" id="46 Rectángulo" o:spid="_x0000_s1026" style="position:absolute;margin-left:111.35pt;margin-top:27.2pt;width:429.45pt;height: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" fillcolor="#8aabd3 [2132]" strokeweight="2pt">
              <v:fill color2="#f2f2f2 [3052]" rotate="t" angle="90" colors="0 #9ab5e4;50463f #c2d1ed;58327f #e1e8f5;64881f #f2f2f2" focus="100%" type="gradient">
                <o:fill v:ext="view" type="gradientUnscaled"/>
              </v:fill>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60D"/>
    <w:multiLevelType w:val="hybridMultilevel"/>
    <w:tmpl w:val="5652F5FA"/>
    <w:lvl w:ilvl="0" w:tplc="47281706">
      <w:start w:val="1"/>
      <w:numFmt w:val="bullet"/>
      <w:lvlText w:val="•"/>
      <w:lvlJc w:val="left"/>
      <w:pPr>
        <w:tabs>
          <w:tab w:val="num" w:pos="720"/>
        </w:tabs>
        <w:ind w:left="720" w:hanging="360"/>
      </w:pPr>
      <w:rPr>
        <w:rFonts w:ascii="Arial" w:hAnsi="Arial" w:hint="default"/>
      </w:rPr>
    </w:lvl>
    <w:lvl w:ilvl="1" w:tplc="100A0017">
      <w:start w:val="1"/>
      <w:numFmt w:val="lowerLetter"/>
      <w:lvlText w:val="%2)"/>
      <w:lvlJc w:val="left"/>
      <w:pPr>
        <w:tabs>
          <w:tab w:val="num" w:pos="1440"/>
        </w:tabs>
        <w:ind w:left="1440" w:hanging="360"/>
      </w:pPr>
      <w:rPr>
        <w:rFonts w:hint="default"/>
      </w:rPr>
    </w:lvl>
    <w:lvl w:ilvl="2" w:tplc="1C30B89C" w:tentative="1">
      <w:start w:val="1"/>
      <w:numFmt w:val="bullet"/>
      <w:lvlText w:val="•"/>
      <w:lvlJc w:val="left"/>
      <w:pPr>
        <w:tabs>
          <w:tab w:val="num" w:pos="2160"/>
        </w:tabs>
        <w:ind w:left="2160" w:hanging="360"/>
      </w:pPr>
      <w:rPr>
        <w:rFonts w:ascii="Arial" w:hAnsi="Arial" w:hint="default"/>
      </w:rPr>
    </w:lvl>
    <w:lvl w:ilvl="3" w:tplc="BC8E2AC2" w:tentative="1">
      <w:start w:val="1"/>
      <w:numFmt w:val="bullet"/>
      <w:lvlText w:val="•"/>
      <w:lvlJc w:val="left"/>
      <w:pPr>
        <w:tabs>
          <w:tab w:val="num" w:pos="2880"/>
        </w:tabs>
        <w:ind w:left="2880" w:hanging="360"/>
      </w:pPr>
      <w:rPr>
        <w:rFonts w:ascii="Arial" w:hAnsi="Arial" w:hint="default"/>
      </w:rPr>
    </w:lvl>
    <w:lvl w:ilvl="4" w:tplc="A130603C" w:tentative="1">
      <w:start w:val="1"/>
      <w:numFmt w:val="bullet"/>
      <w:lvlText w:val="•"/>
      <w:lvlJc w:val="left"/>
      <w:pPr>
        <w:tabs>
          <w:tab w:val="num" w:pos="3600"/>
        </w:tabs>
        <w:ind w:left="3600" w:hanging="360"/>
      </w:pPr>
      <w:rPr>
        <w:rFonts w:ascii="Arial" w:hAnsi="Arial" w:hint="default"/>
      </w:rPr>
    </w:lvl>
    <w:lvl w:ilvl="5" w:tplc="347CF7B6" w:tentative="1">
      <w:start w:val="1"/>
      <w:numFmt w:val="bullet"/>
      <w:lvlText w:val="•"/>
      <w:lvlJc w:val="left"/>
      <w:pPr>
        <w:tabs>
          <w:tab w:val="num" w:pos="4320"/>
        </w:tabs>
        <w:ind w:left="4320" w:hanging="360"/>
      </w:pPr>
      <w:rPr>
        <w:rFonts w:ascii="Arial" w:hAnsi="Arial" w:hint="default"/>
      </w:rPr>
    </w:lvl>
    <w:lvl w:ilvl="6" w:tplc="9580CE46" w:tentative="1">
      <w:start w:val="1"/>
      <w:numFmt w:val="bullet"/>
      <w:lvlText w:val="•"/>
      <w:lvlJc w:val="left"/>
      <w:pPr>
        <w:tabs>
          <w:tab w:val="num" w:pos="5040"/>
        </w:tabs>
        <w:ind w:left="5040" w:hanging="360"/>
      </w:pPr>
      <w:rPr>
        <w:rFonts w:ascii="Arial" w:hAnsi="Arial" w:hint="default"/>
      </w:rPr>
    </w:lvl>
    <w:lvl w:ilvl="7" w:tplc="1304CE74" w:tentative="1">
      <w:start w:val="1"/>
      <w:numFmt w:val="bullet"/>
      <w:lvlText w:val="•"/>
      <w:lvlJc w:val="left"/>
      <w:pPr>
        <w:tabs>
          <w:tab w:val="num" w:pos="5760"/>
        </w:tabs>
        <w:ind w:left="5760" w:hanging="360"/>
      </w:pPr>
      <w:rPr>
        <w:rFonts w:ascii="Arial" w:hAnsi="Arial" w:hint="default"/>
      </w:rPr>
    </w:lvl>
    <w:lvl w:ilvl="8" w:tplc="EBA260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0B3E59"/>
    <w:multiLevelType w:val="hybridMultilevel"/>
    <w:tmpl w:val="F832278A"/>
    <w:lvl w:ilvl="0" w:tplc="4142F532">
      <w:start w:val="1"/>
      <w:numFmt w:val="lowerLetter"/>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45536B5"/>
    <w:multiLevelType w:val="hybridMultilevel"/>
    <w:tmpl w:val="02E2FB34"/>
    <w:lvl w:ilvl="0" w:tplc="2E828656">
      <w:start w:val="1"/>
      <w:numFmt w:val="decimal"/>
      <w:lvlText w:val="%1.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6811248"/>
    <w:multiLevelType w:val="hybridMultilevel"/>
    <w:tmpl w:val="2E12EF8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20E5232B"/>
    <w:multiLevelType w:val="hybridMultilevel"/>
    <w:tmpl w:val="E06C4B02"/>
    <w:lvl w:ilvl="0" w:tplc="47281706">
      <w:start w:val="1"/>
      <w:numFmt w:val="bullet"/>
      <w:lvlText w:val="•"/>
      <w:lvlJc w:val="left"/>
      <w:pPr>
        <w:tabs>
          <w:tab w:val="num" w:pos="720"/>
        </w:tabs>
        <w:ind w:left="720" w:hanging="360"/>
      </w:pPr>
      <w:rPr>
        <w:rFonts w:ascii="Arial" w:hAnsi="Arial" w:hint="default"/>
      </w:rPr>
    </w:lvl>
    <w:lvl w:ilvl="1" w:tplc="100A0017">
      <w:start w:val="1"/>
      <w:numFmt w:val="lowerLetter"/>
      <w:lvlText w:val="%2)"/>
      <w:lvlJc w:val="left"/>
      <w:pPr>
        <w:tabs>
          <w:tab w:val="num" w:pos="1440"/>
        </w:tabs>
        <w:ind w:left="1440" w:hanging="360"/>
      </w:pPr>
      <w:rPr>
        <w:rFonts w:hint="default"/>
      </w:rPr>
    </w:lvl>
    <w:lvl w:ilvl="2" w:tplc="1C30B89C" w:tentative="1">
      <w:start w:val="1"/>
      <w:numFmt w:val="bullet"/>
      <w:lvlText w:val="•"/>
      <w:lvlJc w:val="left"/>
      <w:pPr>
        <w:tabs>
          <w:tab w:val="num" w:pos="2160"/>
        </w:tabs>
        <w:ind w:left="2160" w:hanging="360"/>
      </w:pPr>
      <w:rPr>
        <w:rFonts w:ascii="Arial" w:hAnsi="Arial" w:hint="default"/>
      </w:rPr>
    </w:lvl>
    <w:lvl w:ilvl="3" w:tplc="BC8E2AC2" w:tentative="1">
      <w:start w:val="1"/>
      <w:numFmt w:val="bullet"/>
      <w:lvlText w:val="•"/>
      <w:lvlJc w:val="left"/>
      <w:pPr>
        <w:tabs>
          <w:tab w:val="num" w:pos="2880"/>
        </w:tabs>
        <w:ind w:left="2880" w:hanging="360"/>
      </w:pPr>
      <w:rPr>
        <w:rFonts w:ascii="Arial" w:hAnsi="Arial" w:hint="default"/>
      </w:rPr>
    </w:lvl>
    <w:lvl w:ilvl="4" w:tplc="A130603C" w:tentative="1">
      <w:start w:val="1"/>
      <w:numFmt w:val="bullet"/>
      <w:lvlText w:val="•"/>
      <w:lvlJc w:val="left"/>
      <w:pPr>
        <w:tabs>
          <w:tab w:val="num" w:pos="3600"/>
        </w:tabs>
        <w:ind w:left="3600" w:hanging="360"/>
      </w:pPr>
      <w:rPr>
        <w:rFonts w:ascii="Arial" w:hAnsi="Arial" w:hint="default"/>
      </w:rPr>
    </w:lvl>
    <w:lvl w:ilvl="5" w:tplc="347CF7B6" w:tentative="1">
      <w:start w:val="1"/>
      <w:numFmt w:val="bullet"/>
      <w:lvlText w:val="•"/>
      <w:lvlJc w:val="left"/>
      <w:pPr>
        <w:tabs>
          <w:tab w:val="num" w:pos="4320"/>
        </w:tabs>
        <w:ind w:left="4320" w:hanging="360"/>
      </w:pPr>
      <w:rPr>
        <w:rFonts w:ascii="Arial" w:hAnsi="Arial" w:hint="default"/>
      </w:rPr>
    </w:lvl>
    <w:lvl w:ilvl="6" w:tplc="9580CE46" w:tentative="1">
      <w:start w:val="1"/>
      <w:numFmt w:val="bullet"/>
      <w:lvlText w:val="•"/>
      <w:lvlJc w:val="left"/>
      <w:pPr>
        <w:tabs>
          <w:tab w:val="num" w:pos="5040"/>
        </w:tabs>
        <w:ind w:left="5040" w:hanging="360"/>
      </w:pPr>
      <w:rPr>
        <w:rFonts w:ascii="Arial" w:hAnsi="Arial" w:hint="default"/>
      </w:rPr>
    </w:lvl>
    <w:lvl w:ilvl="7" w:tplc="1304CE74" w:tentative="1">
      <w:start w:val="1"/>
      <w:numFmt w:val="bullet"/>
      <w:lvlText w:val="•"/>
      <w:lvlJc w:val="left"/>
      <w:pPr>
        <w:tabs>
          <w:tab w:val="num" w:pos="5760"/>
        </w:tabs>
        <w:ind w:left="5760" w:hanging="360"/>
      </w:pPr>
      <w:rPr>
        <w:rFonts w:ascii="Arial" w:hAnsi="Arial" w:hint="default"/>
      </w:rPr>
    </w:lvl>
    <w:lvl w:ilvl="8" w:tplc="EBA260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605102"/>
    <w:multiLevelType w:val="hybridMultilevel"/>
    <w:tmpl w:val="FEA4A058"/>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6" w15:restartNumberingAfterBreak="0">
    <w:nsid w:val="2B756652"/>
    <w:multiLevelType w:val="hybridMultilevel"/>
    <w:tmpl w:val="4C3CF3C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2D3D32D9"/>
    <w:multiLevelType w:val="hybridMultilevel"/>
    <w:tmpl w:val="D6B8F3D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2D5A09C0"/>
    <w:multiLevelType w:val="hybridMultilevel"/>
    <w:tmpl w:val="92F073A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2F3A7D94"/>
    <w:multiLevelType w:val="hybridMultilevel"/>
    <w:tmpl w:val="D4A4493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31A24AD2"/>
    <w:multiLevelType w:val="multilevel"/>
    <w:tmpl w:val="0C0A0025"/>
    <w:lvl w:ilvl="0">
      <w:start w:val="1"/>
      <w:numFmt w:val="decimal"/>
      <w:pStyle w:val="Ttulo11"/>
      <w:lvlText w:val="%1"/>
      <w:lvlJc w:val="left"/>
      <w:pPr>
        <w:ind w:left="432" w:hanging="432"/>
      </w:pPr>
    </w:lvl>
    <w:lvl w:ilvl="1">
      <w:start w:val="1"/>
      <w:numFmt w:val="decimal"/>
      <w:pStyle w:val="Ttulo21"/>
      <w:lvlText w:val="%1.%2"/>
      <w:lvlJc w:val="left"/>
      <w:pPr>
        <w:ind w:left="576" w:hanging="576"/>
      </w:pPr>
    </w:lvl>
    <w:lvl w:ilvl="2">
      <w:start w:val="1"/>
      <w:numFmt w:val="decimal"/>
      <w:pStyle w:val="Ttulo31"/>
      <w:lvlText w:val="%1.%2.%3"/>
      <w:lvlJc w:val="left"/>
      <w:pPr>
        <w:ind w:left="720" w:hanging="720"/>
      </w:pPr>
    </w:lvl>
    <w:lvl w:ilvl="3">
      <w:start w:val="1"/>
      <w:numFmt w:val="decimal"/>
      <w:pStyle w:val="Ttulo41"/>
      <w:lvlText w:val="%1.%2.%3.%4"/>
      <w:lvlJc w:val="left"/>
      <w:pPr>
        <w:ind w:left="864" w:hanging="864"/>
      </w:p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abstractNum w:abstractNumId="11" w15:restartNumberingAfterBreak="0">
    <w:nsid w:val="38E61988"/>
    <w:multiLevelType w:val="hybridMultilevel"/>
    <w:tmpl w:val="7D04A81C"/>
    <w:lvl w:ilvl="0" w:tplc="A1F83D42">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2" w15:restartNumberingAfterBreak="0">
    <w:nsid w:val="39344CF8"/>
    <w:multiLevelType w:val="hybridMultilevel"/>
    <w:tmpl w:val="39F4D9A0"/>
    <w:lvl w:ilvl="0" w:tplc="100A0017">
      <w:start w:val="1"/>
      <w:numFmt w:val="lowerLetter"/>
      <w:lvlText w:val="%1)"/>
      <w:lvlJc w:val="left"/>
      <w:pPr>
        <w:tabs>
          <w:tab w:val="num" w:pos="1428"/>
        </w:tabs>
        <w:ind w:left="1428" w:hanging="360"/>
      </w:pPr>
      <w:rPr>
        <w:rFonts w:hint="default"/>
      </w:rPr>
    </w:lvl>
    <w:lvl w:ilvl="1" w:tplc="88A822C4" w:tentative="1">
      <w:start w:val="1"/>
      <w:numFmt w:val="bullet"/>
      <w:lvlText w:val="•"/>
      <w:lvlJc w:val="left"/>
      <w:pPr>
        <w:tabs>
          <w:tab w:val="num" w:pos="2148"/>
        </w:tabs>
        <w:ind w:left="2148" w:hanging="360"/>
      </w:pPr>
      <w:rPr>
        <w:rFonts w:ascii="Arial" w:hAnsi="Arial" w:hint="default"/>
      </w:rPr>
    </w:lvl>
    <w:lvl w:ilvl="2" w:tplc="0A663566" w:tentative="1">
      <w:start w:val="1"/>
      <w:numFmt w:val="bullet"/>
      <w:lvlText w:val="•"/>
      <w:lvlJc w:val="left"/>
      <w:pPr>
        <w:tabs>
          <w:tab w:val="num" w:pos="2868"/>
        </w:tabs>
        <w:ind w:left="2868" w:hanging="360"/>
      </w:pPr>
      <w:rPr>
        <w:rFonts w:ascii="Arial" w:hAnsi="Arial" w:hint="default"/>
      </w:rPr>
    </w:lvl>
    <w:lvl w:ilvl="3" w:tplc="FC0AC50E" w:tentative="1">
      <w:start w:val="1"/>
      <w:numFmt w:val="bullet"/>
      <w:lvlText w:val="•"/>
      <w:lvlJc w:val="left"/>
      <w:pPr>
        <w:tabs>
          <w:tab w:val="num" w:pos="3588"/>
        </w:tabs>
        <w:ind w:left="3588" w:hanging="360"/>
      </w:pPr>
      <w:rPr>
        <w:rFonts w:ascii="Arial" w:hAnsi="Arial" w:hint="default"/>
      </w:rPr>
    </w:lvl>
    <w:lvl w:ilvl="4" w:tplc="2F2C20D6" w:tentative="1">
      <w:start w:val="1"/>
      <w:numFmt w:val="bullet"/>
      <w:lvlText w:val="•"/>
      <w:lvlJc w:val="left"/>
      <w:pPr>
        <w:tabs>
          <w:tab w:val="num" w:pos="4308"/>
        </w:tabs>
        <w:ind w:left="4308" w:hanging="360"/>
      </w:pPr>
      <w:rPr>
        <w:rFonts w:ascii="Arial" w:hAnsi="Arial" w:hint="default"/>
      </w:rPr>
    </w:lvl>
    <w:lvl w:ilvl="5" w:tplc="3D765614" w:tentative="1">
      <w:start w:val="1"/>
      <w:numFmt w:val="bullet"/>
      <w:lvlText w:val="•"/>
      <w:lvlJc w:val="left"/>
      <w:pPr>
        <w:tabs>
          <w:tab w:val="num" w:pos="5028"/>
        </w:tabs>
        <w:ind w:left="5028" w:hanging="360"/>
      </w:pPr>
      <w:rPr>
        <w:rFonts w:ascii="Arial" w:hAnsi="Arial" w:hint="default"/>
      </w:rPr>
    </w:lvl>
    <w:lvl w:ilvl="6" w:tplc="D7B4C0EE" w:tentative="1">
      <w:start w:val="1"/>
      <w:numFmt w:val="bullet"/>
      <w:lvlText w:val="•"/>
      <w:lvlJc w:val="left"/>
      <w:pPr>
        <w:tabs>
          <w:tab w:val="num" w:pos="5748"/>
        </w:tabs>
        <w:ind w:left="5748" w:hanging="360"/>
      </w:pPr>
      <w:rPr>
        <w:rFonts w:ascii="Arial" w:hAnsi="Arial" w:hint="default"/>
      </w:rPr>
    </w:lvl>
    <w:lvl w:ilvl="7" w:tplc="FFBC65E4" w:tentative="1">
      <w:start w:val="1"/>
      <w:numFmt w:val="bullet"/>
      <w:lvlText w:val="•"/>
      <w:lvlJc w:val="left"/>
      <w:pPr>
        <w:tabs>
          <w:tab w:val="num" w:pos="6468"/>
        </w:tabs>
        <w:ind w:left="6468" w:hanging="360"/>
      </w:pPr>
      <w:rPr>
        <w:rFonts w:ascii="Arial" w:hAnsi="Arial" w:hint="default"/>
      </w:rPr>
    </w:lvl>
    <w:lvl w:ilvl="8" w:tplc="7AD008E2" w:tentative="1">
      <w:start w:val="1"/>
      <w:numFmt w:val="bullet"/>
      <w:lvlText w:val="•"/>
      <w:lvlJc w:val="left"/>
      <w:pPr>
        <w:tabs>
          <w:tab w:val="num" w:pos="7188"/>
        </w:tabs>
        <w:ind w:left="7188" w:hanging="360"/>
      </w:pPr>
      <w:rPr>
        <w:rFonts w:ascii="Arial" w:hAnsi="Arial" w:hint="default"/>
      </w:rPr>
    </w:lvl>
  </w:abstractNum>
  <w:abstractNum w:abstractNumId="13" w15:restartNumberingAfterBreak="0">
    <w:nsid w:val="41F878AD"/>
    <w:multiLevelType w:val="multilevel"/>
    <w:tmpl w:val="6BE6B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3772FF"/>
    <w:multiLevelType w:val="multilevel"/>
    <w:tmpl w:val="8960C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587C29"/>
    <w:multiLevelType w:val="hybridMultilevel"/>
    <w:tmpl w:val="21D2FB3A"/>
    <w:lvl w:ilvl="0" w:tplc="100A0017">
      <w:start w:val="1"/>
      <w:numFmt w:val="lowerLetter"/>
      <w:lvlText w:val="%1)"/>
      <w:lvlJc w:val="left"/>
      <w:pPr>
        <w:ind w:left="1776" w:hanging="360"/>
      </w:pPr>
    </w:lvl>
    <w:lvl w:ilvl="1" w:tplc="100A0019" w:tentative="1">
      <w:start w:val="1"/>
      <w:numFmt w:val="lowerLetter"/>
      <w:lvlText w:val="%2."/>
      <w:lvlJc w:val="left"/>
      <w:pPr>
        <w:ind w:left="2496" w:hanging="360"/>
      </w:pPr>
    </w:lvl>
    <w:lvl w:ilvl="2" w:tplc="100A001B" w:tentative="1">
      <w:start w:val="1"/>
      <w:numFmt w:val="lowerRoman"/>
      <w:lvlText w:val="%3."/>
      <w:lvlJc w:val="right"/>
      <w:pPr>
        <w:ind w:left="3216" w:hanging="180"/>
      </w:pPr>
    </w:lvl>
    <w:lvl w:ilvl="3" w:tplc="100A000F" w:tentative="1">
      <w:start w:val="1"/>
      <w:numFmt w:val="decimal"/>
      <w:lvlText w:val="%4."/>
      <w:lvlJc w:val="left"/>
      <w:pPr>
        <w:ind w:left="3936" w:hanging="360"/>
      </w:pPr>
    </w:lvl>
    <w:lvl w:ilvl="4" w:tplc="100A0019" w:tentative="1">
      <w:start w:val="1"/>
      <w:numFmt w:val="lowerLetter"/>
      <w:lvlText w:val="%5."/>
      <w:lvlJc w:val="left"/>
      <w:pPr>
        <w:ind w:left="4656" w:hanging="360"/>
      </w:pPr>
    </w:lvl>
    <w:lvl w:ilvl="5" w:tplc="100A001B" w:tentative="1">
      <w:start w:val="1"/>
      <w:numFmt w:val="lowerRoman"/>
      <w:lvlText w:val="%6."/>
      <w:lvlJc w:val="right"/>
      <w:pPr>
        <w:ind w:left="5376" w:hanging="180"/>
      </w:pPr>
    </w:lvl>
    <w:lvl w:ilvl="6" w:tplc="100A000F" w:tentative="1">
      <w:start w:val="1"/>
      <w:numFmt w:val="decimal"/>
      <w:lvlText w:val="%7."/>
      <w:lvlJc w:val="left"/>
      <w:pPr>
        <w:ind w:left="6096" w:hanging="360"/>
      </w:pPr>
    </w:lvl>
    <w:lvl w:ilvl="7" w:tplc="100A0019" w:tentative="1">
      <w:start w:val="1"/>
      <w:numFmt w:val="lowerLetter"/>
      <w:lvlText w:val="%8."/>
      <w:lvlJc w:val="left"/>
      <w:pPr>
        <w:ind w:left="6816" w:hanging="360"/>
      </w:pPr>
    </w:lvl>
    <w:lvl w:ilvl="8" w:tplc="100A001B" w:tentative="1">
      <w:start w:val="1"/>
      <w:numFmt w:val="lowerRoman"/>
      <w:lvlText w:val="%9."/>
      <w:lvlJc w:val="right"/>
      <w:pPr>
        <w:ind w:left="7536" w:hanging="180"/>
      </w:pPr>
    </w:lvl>
  </w:abstractNum>
  <w:abstractNum w:abstractNumId="16" w15:restartNumberingAfterBreak="0">
    <w:nsid w:val="523C077D"/>
    <w:multiLevelType w:val="multilevel"/>
    <w:tmpl w:val="C11A7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777B9E"/>
    <w:multiLevelType w:val="hybridMultilevel"/>
    <w:tmpl w:val="3F00470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58741E90"/>
    <w:multiLevelType w:val="multilevel"/>
    <w:tmpl w:val="58DEA22A"/>
    <w:lvl w:ilvl="0">
      <w:start w:val="1"/>
      <w:numFmt w:val="upperRoman"/>
      <w:lvlText w:val="%1."/>
      <w:lvlJc w:val="left"/>
      <w:pPr>
        <w:ind w:left="720" w:hanging="720"/>
      </w:pPr>
      <w:rPr>
        <w:rFonts w:hint="default"/>
      </w:rPr>
    </w:lvl>
    <w:lvl w:ilvl="1">
      <w:start w:val="3"/>
      <w:numFmt w:val="decimal"/>
      <w:isLgl/>
      <w:lvlText w:val="%1.%2"/>
      <w:lvlJc w:val="left"/>
      <w:pPr>
        <w:ind w:left="660" w:hanging="66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8B02801"/>
    <w:multiLevelType w:val="hybridMultilevel"/>
    <w:tmpl w:val="CDF23244"/>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5CE5754F"/>
    <w:multiLevelType w:val="hybridMultilevel"/>
    <w:tmpl w:val="66D0A53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5D1A7293"/>
    <w:multiLevelType w:val="hybridMultilevel"/>
    <w:tmpl w:val="574693B0"/>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5E9B22BF"/>
    <w:multiLevelType w:val="hybridMultilevel"/>
    <w:tmpl w:val="7D0EE6BA"/>
    <w:lvl w:ilvl="0" w:tplc="FD3A4A76">
      <w:start w:val="1"/>
      <w:numFmt w:val="lowerLetter"/>
      <w:lvlText w:val="%1."/>
      <w:lvlJc w:val="left"/>
      <w:pPr>
        <w:ind w:left="720" w:hanging="360"/>
      </w:pPr>
      <w:rPr>
        <w:sz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629C3A2A"/>
    <w:multiLevelType w:val="hybridMultilevel"/>
    <w:tmpl w:val="36860404"/>
    <w:lvl w:ilvl="0" w:tplc="46F0C8B4">
      <w:start w:val="1"/>
      <w:numFmt w:val="bullet"/>
      <w:lvlText w:val="•"/>
      <w:lvlJc w:val="left"/>
      <w:pPr>
        <w:tabs>
          <w:tab w:val="num" w:pos="720"/>
        </w:tabs>
        <w:ind w:left="720" w:hanging="360"/>
      </w:pPr>
      <w:rPr>
        <w:rFonts w:ascii="Arial" w:hAnsi="Arial" w:hint="default"/>
      </w:rPr>
    </w:lvl>
    <w:lvl w:ilvl="1" w:tplc="3640B6EE">
      <w:start w:val="82"/>
      <w:numFmt w:val="bullet"/>
      <w:lvlText w:val=""/>
      <w:lvlJc w:val="left"/>
      <w:pPr>
        <w:tabs>
          <w:tab w:val="num" w:pos="1440"/>
        </w:tabs>
        <w:ind w:left="1440" w:hanging="360"/>
      </w:pPr>
      <w:rPr>
        <w:rFonts w:ascii="Wingdings" w:hAnsi="Wingdings" w:hint="default"/>
      </w:rPr>
    </w:lvl>
    <w:lvl w:ilvl="2" w:tplc="803E46F8">
      <w:start w:val="82"/>
      <w:numFmt w:val="bullet"/>
      <w:lvlText w:val=""/>
      <w:lvlJc w:val="left"/>
      <w:pPr>
        <w:tabs>
          <w:tab w:val="num" w:pos="2160"/>
        </w:tabs>
        <w:ind w:left="2160" w:hanging="360"/>
      </w:pPr>
      <w:rPr>
        <w:rFonts w:ascii="Wingdings" w:hAnsi="Wingdings" w:hint="default"/>
      </w:rPr>
    </w:lvl>
    <w:lvl w:ilvl="3" w:tplc="E9BEBE16" w:tentative="1">
      <w:start w:val="1"/>
      <w:numFmt w:val="bullet"/>
      <w:lvlText w:val="•"/>
      <w:lvlJc w:val="left"/>
      <w:pPr>
        <w:tabs>
          <w:tab w:val="num" w:pos="2880"/>
        </w:tabs>
        <w:ind w:left="2880" w:hanging="360"/>
      </w:pPr>
      <w:rPr>
        <w:rFonts w:ascii="Arial" w:hAnsi="Arial" w:hint="default"/>
      </w:rPr>
    </w:lvl>
    <w:lvl w:ilvl="4" w:tplc="E7928B86" w:tentative="1">
      <w:start w:val="1"/>
      <w:numFmt w:val="bullet"/>
      <w:lvlText w:val="•"/>
      <w:lvlJc w:val="left"/>
      <w:pPr>
        <w:tabs>
          <w:tab w:val="num" w:pos="3600"/>
        </w:tabs>
        <w:ind w:left="3600" w:hanging="360"/>
      </w:pPr>
      <w:rPr>
        <w:rFonts w:ascii="Arial" w:hAnsi="Arial" w:hint="default"/>
      </w:rPr>
    </w:lvl>
    <w:lvl w:ilvl="5" w:tplc="FA6205C2" w:tentative="1">
      <w:start w:val="1"/>
      <w:numFmt w:val="bullet"/>
      <w:lvlText w:val="•"/>
      <w:lvlJc w:val="left"/>
      <w:pPr>
        <w:tabs>
          <w:tab w:val="num" w:pos="4320"/>
        </w:tabs>
        <w:ind w:left="4320" w:hanging="360"/>
      </w:pPr>
      <w:rPr>
        <w:rFonts w:ascii="Arial" w:hAnsi="Arial" w:hint="default"/>
      </w:rPr>
    </w:lvl>
    <w:lvl w:ilvl="6" w:tplc="3B56D9A4" w:tentative="1">
      <w:start w:val="1"/>
      <w:numFmt w:val="bullet"/>
      <w:lvlText w:val="•"/>
      <w:lvlJc w:val="left"/>
      <w:pPr>
        <w:tabs>
          <w:tab w:val="num" w:pos="5040"/>
        </w:tabs>
        <w:ind w:left="5040" w:hanging="360"/>
      </w:pPr>
      <w:rPr>
        <w:rFonts w:ascii="Arial" w:hAnsi="Arial" w:hint="default"/>
      </w:rPr>
    </w:lvl>
    <w:lvl w:ilvl="7" w:tplc="FF32ECCC" w:tentative="1">
      <w:start w:val="1"/>
      <w:numFmt w:val="bullet"/>
      <w:lvlText w:val="•"/>
      <w:lvlJc w:val="left"/>
      <w:pPr>
        <w:tabs>
          <w:tab w:val="num" w:pos="5760"/>
        </w:tabs>
        <w:ind w:left="5760" w:hanging="360"/>
      </w:pPr>
      <w:rPr>
        <w:rFonts w:ascii="Arial" w:hAnsi="Arial" w:hint="default"/>
      </w:rPr>
    </w:lvl>
    <w:lvl w:ilvl="8" w:tplc="DE920C2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3E5119"/>
    <w:multiLevelType w:val="hybridMultilevel"/>
    <w:tmpl w:val="D05E2C2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15:restartNumberingAfterBreak="0">
    <w:nsid w:val="70CB5DA4"/>
    <w:multiLevelType w:val="hybridMultilevel"/>
    <w:tmpl w:val="E174D1C4"/>
    <w:lvl w:ilvl="0" w:tplc="80D2798C">
      <w:start w:val="1"/>
      <w:numFmt w:val="decimal"/>
      <w:lvlText w:val="%1."/>
      <w:lvlJc w:val="left"/>
      <w:pPr>
        <w:ind w:left="720" w:hanging="360"/>
      </w:pPr>
      <w:rPr>
        <w:b/>
      </w:rPr>
    </w:lvl>
    <w:lvl w:ilvl="1" w:tplc="100A0017">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73985C45"/>
    <w:multiLevelType w:val="hybridMultilevel"/>
    <w:tmpl w:val="0C14AC04"/>
    <w:lvl w:ilvl="0" w:tplc="100A0017">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27" w15:restartNumberingAfterBreak="0">
    <w:nsid w:val="75050691"/>
    <w:multiLevelType w:val="hybridMultilevel"/>
    <w:tmpl w:val="2ECCC13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8" w15:restartNumberingAfterBreak="0">
    <w:nsid w:val="7BD86473"/>
    <w:multiLevelType w:val="hybridMultilevel"/>
    <w:tmpl w:val="AFA85F1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8"/>
  </w:num>
  <w:num w:numId="4">
    <w:abstractNumId w:val="7"/>
  </w:num>
  <w:num w:numId="5">
    <w:abstractNumId w:val="20"/>
  </w:num>
  <w:num w:numId="6">
    <w:abstractNumId w:val="28"/>
  </w:num>
  <w:num w:numId="7">
    <w:abstractNumId w:val="21"/>
  </w:num>
  <w:num w:numId="8">
    <w:abstractNumId w:val="3"/>
  </w:num>
  <w:num w:numId="9">
    <w:abstractNumId w:val="2"/>
  </w:num>
  <w:num w:numId="10">
    <w:abstractNumId w:val="13"/>
  </w:num>
  <w:num w:numId="11">
    <w:abstractNumId w:val="14"/>
  </w:num>
  <w:num w:numId="12">
    <w:abstractNumId w:val="16"/>
  </w:num>
  <w:num w:numId="13">
    <w:abstractNumId w:val="22"/>
  </w:num>
  <w:num w:numId="14">
    <w:abstractNumId w:val="19"/>
  </w:num>
  <w:num w:numId="15">
    <w:abstractNumId w:val="4"/>
  </w:num>
  <w:num w:numId="16">
    <w:abstractNumId w:val="0"/>
  </w:num>
  <w:num w:numId="17">
    <w:abstractNumId w:val="12"/>
  </w:num>
  <w:num w:numId="18">
    <w:abstractNumId w:val="15"/>
  </w:num>
  <w:num w:numId="19">
    <w:abstractNumId w:val="23"/>
  </w:num>
  <w:num w:numId="20">
    <w:abstractNumId w:val="11"/>
  </w:num>
  <w:num w:numId="21">
    <w:abstractNumId w:val="25"/>
  </w:num>
  <w:num w:numId="22">
    <w:abstractNumId w:val="26"/>
  </w:num>
  <w:num w:numId="23">
    <w:abstractNumId w:val="10"/>
  </w:num>
  <w:num w:numId="24">
    <w:abstractNumId w:val="10"/>
  </w:num>
  <w:num w:numId="25">
    <w:abstractNumId w:val="5"/>
  </w:num>
  <w:num w:numId="26">
    <w:abstractNumId w:val="1"/>
  </w:num>
  <w:num w:numId="27">
    <w:abstractNumId w:val="24"/>
  </w:num>
  <w:num w:numId="28">
    <w:abstractNumId w:val="6"/>
  </w:num>
  <w:num w:numId="29">
    <w:abstractNumId w:val="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98"/>
    <w:rsid w:val="00000530"/>
    <w:rsid w:val="00023DC8"/>
    <w:rsid w:val="00033312"/>
    <w:rsid w:val="00045570"/>
    <w:rsid w:val="0008775B"/>
    <w:rsid w:val="00090AF4"/>
    <w:rsid w:val="000B5E1C"/>
    <w:rsid w:val="000C0470"/>
    <w:rsid w:val="000C5BDD"/>
    <w:rsid w:val="000D29F4"/>
    <w:rsid w:val="000D2F4D"/>
    <w:rsid w:val="000D58D6"/>
    <w:rsid w:val="000F0DA3"/>
    <w:rsid w:val="001111A3"/>
    <w:rsid w:val="00112A52"/>
    <w:rsid w:val="0012656D"/>
    <w:rsid w:val="001B2958"/>
    <w:rsid w:val="001D2C47"/>
    <w:rsid w:val="001E7182"/>
    <w:rsid w:val="001F67A2"/>
    <w:rsid w:val="00206BA3"/>
    <w:rsid w:val="002171B6"/>
    <w:rsid w:val="00241428"/>
    <w:rsid w:val="00243DA8"/>
    <w:rsid w:val="00244A1B"/>
    <w:rsid w:val="002663D9"/>
    <w:rsid w:val="002B7931"/>
    <w:rsid w:val="00300F2D"/>
    <w:rsid w:val="0032588B"/>
    <w:rsid w:val="0033184E"/>
    <w:rsid w:val="00333816"/>
    <w:rsid w:val="00364844"/>
    <w:rsid w:val="003B560F"/>
    <w:rsid w:val="003C0FB9"/>
    <w:rsid w:val="003C338B"/>
    <w:rsid w:val="003F28D0"/>
    <w:rsid w:val="003F5841"/>
    <w:rsid w:val="003F6C74"/>
    <w:rsid w:val="00406A74"/>
    <w:rsid w:val="00421AD9"/>
    <w:rsid w:val="00432E87"/>
    <w:rsid w:val="00457E5B"/>
    <w:rsid w:val="00463E5D"/>
    <w:rsid w:val="00476B36"/>
    <w:rsid w:val="00504C85"/>
    <w:rsid w:val="005176B4"/>
    <w:rsid w:val="00522E54"/>
    <w:rsid w:val="005329C2"/>
    <w:rsid w:val="00534328"/>
    <w:rsid w:val="005360E7"/>
    <w:rsid w:val="00541296"/>
    <w:rsid w:val="005460B1"/>
    <w:rsid w:val="005639BA"/>
    <w:rsid w:val="00574C98"/>
    <w:rsid w:val="005C2BD0"/>
    <w:rsid w:val="005C5656"/>
    <w:rsid w:val="005E6093"/>
    <w:rsid w:val="006227DA"/>
    <w:rsid w:val="00624E2C"/>
    <w:rsid w:val="0063193D"/>
    <w:rsid w:val="00653100"/>
    <w:rsid w:val="00660FB3"/>
    <w:rsid w:val="00694C06"/>
    <w:rsid w:val="00694C5F"/>
    <w:rsid w:val="006A7A0B"/>
    <w:rsid w:val="006D1884"/>
    <w:rsid w:val="006E1820"/>
    <w:rsid w:val="00705989"/>
    <w:rsid w:val="00713598"/>
    <w:rsid w:val="00724C04"/>
    <w:rsid w:val="00725702"/>
    <w:rsid w:val="00731678"/>
    <w:rsid w:val="00741476"/>
    <w:rsid w:val="00754057"/>
    <w:rsid w:val="00770433"/>
    <w:rsid w:val="00785371"/>
    <w:rsid w:val="00785922"/>
    <w:rsid w:val="00796C04"/>
    <w:rsid w:val="007A47E6"/>
    <w:rsid w:val="007C04D7"/>
    <w:rsid w:val="007C418C"/>
    <w:rsid w:val="007D29A4"/>
    <w:rsid w:val="007E3BA0"/>
    <w:rsid w:val="007E7F22"/>
    <w:rsid w:val="007F4A25"/>
    <w:rsid w:val="007F6D2F"/>
    <w:rsid w:val="00847B8D"/>
    <w:rsid w:val="00864A8B"/>
    <w:rsid w:val="00892DE1"/>
    <w:rsid w:val="00895C38"/>
    <w:rsid w:val="008B6DDB"/>
    <w:rsid w:val="008C0B31"/>
    <w:rsid w:val="008C5A14"/>
    <w:rsid w:val="008D1935"/>
    <w:rsid w:val="0091511B"/>
    <w:rsid w:val="00917901"/>
    <w:rsid w:val="009421FB"/>
    <w:rsid w:val="00943DE6"/>
    <w:rsid w:val="00961634"/>
    <w:rsid w:val="00972718"/>
    <w:rsid w:val="00977BE7"/>
    <w:rsid w:val="00984A5F"/>
    <w:rsid w:val="00985B25"/>
    <w:rsid w:val="009A2F32"/>
    <w:rsid w:val="009D769A"/>
    <w:rsid w:val="009E0D8B"/>
    <w:rsid w:val="00A020E2"/>
    <w:rsid w:val="00A43CC4"/>
    <w:rsid w:val="00A75A8C"/>
    <w:rsid w:val="00A80087"/>
    <w:rsid w:val="00A84E2D"/>
    <w:rsid w:val="00A86B20"/>
    <w:rsid w:val="00AB13A0"/>
    <w:rsid w:val="00AC2EA5"/>
    <w:rsid w:val="00AC45C7"/>
    <w:rsid w:val="00AD458F"/>
    <w:rsid w:val="00AD4A33"/>
    <w:rsid w:val="00AD7B47"/>
    <w:rsid w:val="00AE00A2"/>
    <w:rsid w:val="00AE3BB3"/>
    <w:rsid w:val="00B10811"/>
    <w:rsid w:val="00B2083B"/>
    <w:rsid w:val="00B40FD8"/>
    <w:rsid w:val="00B46A75"/>
    <w:rsid w:val="00BA51FA"/>
    <w:rsid w:val="00BA57FB"/>
    <w:rsid w:val="00BB0EF5"/>
    <w:rsid w:val="00BC01B9"/>
    <w:rsid w:val="00BC48EA"/>
    <w:rsid w:val="00BE7C94"/>
    <w:rsid w:val="00C21EC0"/>
    <w:rsid w:val="00C57558"/>
    <w:rsid w:val="00C84639"/>
    <w:rsid w:val="00CA7EF3"/>
    <w:rsid w:val="00CC4A96"/>
    <w:rsid w:val="00CD22B8"/>
    <w:rsid w:val="00D40B20"/>
    <w:rsid w:val="00D428D4"/>
    <w:rsid w:val="00D43598"/>
    <w:rsid w:val="00D54885"/>
    <w:rsid w:val="00D5619D"/>
    <w:rsid w:val="00D66D34"/>
    <w:rsid w:val="00D8619A"/>
    <w:rsid w:val="00DA2B77"/>
    <w:rsid w:val="00DC3569"/>
    <w:rsid w:val="00DD1859"/>
    <w:rsid w:val="00DD5841"/>
    <w:rsid w:val="00E11F2E"/>
    <w:rsid w:val="00E14CCD"/>
    <w:rsid w:val="00E2009B"/>
    <w:rsid w:val="00E20F9B"/>
    <w:rsid w:val="00E263F5"/>
    <w:rsid w:val="00E3771E"/>
    <w:rsid w:val="00E4611D"/>
    <w:rsid w:val="00E520CE"/>
    <w:rsid w:val="00E56C87"/>
    <w:rsid w:val="00E6019E"/>
    <w:rsid w:val="00E64612"/>
    <w:rsid w:val="00EA37AC"/>
    <w:rsid w:val="00EB2532"/>
    <w:rsid w:val="00F00B41"/>
    <w:rsid w:val="00F15F18"/>
    <w:rsid w:val="00F3006C"/>
    <w:rsid w:val="00F34A58"/>
    <w:rsid w:val="00F474A5"/>
    <w:rsid w:val="00F75211"/>
    <w:rsid w:val="00F76322"/>
    <w:rsid w:val="00FA3597"/>
    <w:rsid w:val="00FC61AD"/>
    <w:rsid w:val="00FD05D9"/>
    <w:rsid w:val="00FD68C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7F8B5"/>
  <w15:docId w15:val="{61CD01E2-7B0B-49EC-AB7B-2BE9A3A3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598"/>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3258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435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C047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43598"/>
    <w:rPr>
      <w:rFonts w:asciiTheme="majorHAnsi" w:eastAsiaTheme="majorEastAsia" w:hAnsiTheme="majorHAnsi" w:cstheme="majorBidi"/>
      <w:b/>
      <w:bCs/>
      <w:color w:val="4F81BD" w:themeColor="accent1"/>
      <w:sz w:val="26"/>
      <w:szCs w:val="26"/>
      <w:lang w:val="es-ES_tradnl" w:eastAsia="es-ES"/>
    </w:rPr>
  </w:style>
  <w:style w:type="paragraph" w:styleId="Prrafodelista">
    <w:name w:val="List Paragraph"/>
    <w:basedOn w:val="Normal"/>
    <w:uiPriority w:val="34"/>
    <w:qFormat/>
    <w:rsid w:val="00D43598"/>
    <w:pPr>
      <w:ind w:left="720"/>
      <w:contextualSpacing/>
    </w:pPr>
    <w:rPr>
      <w:rFonts w:eastAsiaTheme="minorHAnsi"/>
      <w:sz w:val="22"/>
      <w:szCs w:val="22"/>
      <w:lang w:val="es-GT" w:eastAsia="en-US"/>
    </w:rPr>
  </w:style>
  <w:style w:type="paragraph" w:customStyle="1" w:styleId="Default">
    <w:name w:val="Default"/>
    <w:rsid w:val="00D43598"/>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D43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68CD"/>
    <w:pPr>
      <w:spacing w:before="100" w:beforeAutospacing="1" w:after="100" w:afterAutospacing="1"/>
    </w:pPr>
    <w:rPr>
      <w:rFonts w:ascii="Times New Roman" w:hAnsi="Times New Roman" w:cs="Times New Roman"/>
      <w:lang w:val="es-GT" w:eastAsia="es-GT"/>
    </w:rPr>
  </w:style>
  <w:style w:type="paragraph" w:styleId="Textonotapie">
    <w:name w:val="footnote text"/>
    <w:basedOn w:val="Normal"/>
    <w:link w:val="TextonotapieCar"/>
    <w:uiPriority w:val="99"/>
    <w:semiHidden/>
    <w:unhideWhenUsed/>
    <w:rsid w:val="000B5E1C"/>
    <w:rPr>
      <w:rFonts w:eastAsiaTheme="minorHAnsi"/>
      <w:sz w:val="20"/>
      <w:szCs w:val="20"/>
      <w:lang w:val="es-GT" w:eastAsia="en-US"/>
    </w:rPr>
  </w:style>
  <w:style w:type="character" w:customStyle="1" w:styleId="TextonotapieCar">
    <w:name w:val="Texto nota pie Car"/>
    <w:basedOn w:val="Fuentedeprrafopredeter"/>
    <w:link w:val="Textonotapie"/>
    <w:uiPriority w:val="99"/>
    <w:semiHidden/>
    <w:rsid w:val="000B5E1C"/>
    <w:rPr>
      <w:sz w:val="20"/>
      <w:szCs w:val="20"/>
    </w:rPr>
  </w:style>
  <w:style w:type="character" w:styleId="Refdenotaalpie">
    <w:name w:val="footnote reference"/>
    <w:basedOn w:val="Fuentedeprrafopredeter"/>
    <w:uiPriority w:val="99"/>
    <w:semiHidden/>
    <w:unhideWhenUsed/>
    <w:rsid w:val="000B5E1C"/>
    <w:rPr>
      <w:vertAlign w:val="superscript"/>
    </w:rPr>
  </w:style>
  <w:style w:type="table" w:styleId="Cuadrculaclara-nfasis1">
    <w:name w:val="Light Grid Accent 1"/>
    <w:basedOn w:val="Tablanormal"/>
    <w:uiPriority w:val="62"/>
    <w:rsid w:val="000B5E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claro-nfasis5">
    <w:name w:val="Light Shading Accent 5"/>
    <w:basedOn w:val="Tablanormal"/>
    <w:uiPriority w:val="60"/>
    <w:rsid w:val="000B5E1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inespaciado">
    <w:name w:val="No Spacing"/>
    <w:link w:val="SinespaciadoCar"/>
    <w:uiPriority w:val="1"/>
    <w:qFormat/>
    <w:rsid w:val="000B5E1C"/>
    <w:pPr>
      <w:spacing w:after="0" w:line="240" w:lineRule="auto"/>
    </w:pPr>
  </w:style>
  <w:style w:type="character" w:customStyle="1" w:styleId="SinespaciadoCar">
    <w:name w:val="Sin espaciado Car"/>
    <w:basedOn w:val="Fuentedeprrafopredeter"/>
    <w:link w:val="Sinespaciado"/>
    <w:uiPriority w:val="1"/>
    <w:locked/>
    <w:rsid w:val="000B5E1C"/>
  </w:style>
  <w:style w:type="paragraph" w:styleId="Ttulo">
    <w:name w:val="Title"/>
    <w:basedOn w:val="Normal"/>
    <w:next w:val="Normal"/>
    <w:link w:val="TtuloCar"/>
    <w:uiPriority w:val="10"/>
    <w:qFormat/>
    <w:rsid w:val="00325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GT" w:eastAsia="es-GT"/>
    </w:rPr>
  </w:style>
  <w:style w:type="character" w:customStyle="1" w:styleId="TtuloCar">
    <w:name w:val="Título Car"/>
    <w:basedOn w:val="Fuentedeprrafopredeter"/>
    <w:link w:val="Ttulo"/>
    <w:uiPriority w:val="10"/>
    <w:rsid w:val="0032588B"/>
    <w:rPr>
      <w:rFonts w:asciiTheme="majorHAnsi" w:eastAsiaTheme="majorEastAsia" w:hAnsiTheme="majorHAnsi" w:cstheme="majorBidi"/>
      <w:color w:val="17365D" w:themeColor="text2" w:themeShade="BF"/>
      <w:spacing w:val="5"/>
      <w:kern w:val="28"/>
      <w:sz w:val="52"/>
      <w:szCs w:val="52"/>
      <w:lang w:eastAsia="es-GT"/>
    </w:rPr>
  </w:style>
  <w:style w:type="paragraph" w:styleId="Subttulo">
    <w:name w:val="Subtitle"/>
    <w:basedOn w:val="Normal"/>
    <w:next w:val="Normal"/>
    <w:link w:val="SubttuloCar"/>
    <w:uiPriority w:val="11"/>
    <w:qFormat/>
    <w:rsid w:val="0032588B"/>
    <w:pPr>
      <w:numPr>
        <w:ilvl w:val="1"/>
      </w:numPr>
      <w:spacing w:after="200" w:line="276" w:lineRule="auto"/>
    </w:pPr>
    <w:rPr>
      <w:rFonts w:asciiTheme="majorHAnsi" w:eastAsiaTheme="majorEastAsia" w:hAnsiTheme="majorHAnsi" w:cstheme="majorBidi"/>
      <w:i/>
      <w:iCs/>
      <w:color w:val="4F81BD" w:themeColor="accent1"/>
      <w:spacing w:val="15"/>
      <w:lang w:val="es-GT" w:eastAsia="es-GT"/>
    </w:rPr>
  </w:style>
  <w:style w:type="character" w:customStyle="1" w:styleId="SubttuloCar">
    <w:name w:val="Subtítulo Car"/>
    <w:basedOn w:val="Fuentedeprrafopredeter"/>
    <w:link w:val="Subttulo"/>
    <w:uiPriority w:val="11"/>
    <w:rsid w:val="0032588B"/>
    <w:rPr>
      <w:rFonts w:asciiTheme="majorHAnsi" w:eastAsiaTheme="majorEastAsia" w:hAnsiTheme="majorHAnsi" w:cstheme="majorBidi"/>
      <w:i/>
      <w:iCs/>
      <w:color w:val="4F81BD" w:themeColor="accent1"/>
      <w:spacing w:val="15"/>
      <w:sz w:val="24"/>
      <w:szCs w:val="24"/>
      <w:lang w:eastAsia="es-GT"/>
    </w:rPr>
  </w:style>
  <w:style w:type="character" w:customStyle="1" w:styleId="Ttulo1Car">
    <w:name w:val="Título 1 Car"/>
    <w:basedOn w:val="Fuentedeprrafopredeter"/>
    <w:link w:val="Ttulo1"/>
    <w:uiPriority w:val="9"/>
    <w:rsid w:val="0032588B"/>
    <w:rPr>
      <w:rFonts w:asciiTheme="majorHAnsi" w:eastAsiaTheme="majorEastAsia" w:hAnsiTheme="majorHAnsi" w:cstheme="majorBidi"/>
      <w:b/>
      <w:bCs/>
      <w:color w:val="365F91" w:themeColor="accent1" w:themeShade="BF"/>
      <w:sz w:val="28"/>
      <w:szCs w:val="28"/>
      <w:lang w:val="es-ES_tradnl" w:eastAsia="es-ES"/>
    </w:rPr>
  </w:style>
  <w:style w:type="paragraph" w:styleId="TtuloTDC">
    <w:name w:val="TOC Heading"/>
    <w:basedOn w:val="Ttulo1"/>
    <w:next w:val="Normal"/>
    <w:uiPriority w:val="39"/>
    <w:semiHidden/>
    <w:unhideWhenUsed/>
    <w:qFormat/>
    <w:rsid w:val="0032588B"/>
    <w:pPr>
      <w:spacing w:line="276" w:lineRule="auto"/>
      <w:outlineLvl w:val="9"/>
    </w:pPr>
    <w:rPr>
      <w:lang w:val="es-GT" w:eastAsia="es-GT"/>
    </w:rPr>
  </w:style>
  <w:style w:type="paragraph" w:styleId="TDC1">
    <w:name w:val="toc 1"/>
    <w:basedOn w:val="Normal"/>
    <w:next w:val="Normal"/>
    <w:autoRedefine/>
    <w:uiPriority w:val="39"/>
    <w:unhideWhenUsed/>
    <w:rsid w:val="00D5619D"/>
    <w:pPr>
      <w:tabs>
        <w:tab w:val="left" w:pos="440"/>
        <w:tab w:val="right" w:leader="dot" w:pos="9394"/>
      </w:tabs>
      <w:spacing w:after="100"/>
    </w:pPr>
    <w:rPr>
      <w:rFonts w:ascii="Times New Roman" w:eastAsiaTheme="majorEastAsia" w:hAnsi="Times New Roman" w:cs="Times New Roman"/>
      <w:b/>
      <w:bCs/>
      <w:noProof/>
    </w:rPr>
  </w:style>
  <w:style w:type="paragraph" w:styleId="TDC2">
    <w:name w:val="toc 2"/>
    <w:basedOn w:val="Normal"/>
    <w:next w:val="Normal"/>
    <w:autoRedefine/>
    <w:uiPriority w:val="39"/>
    <w:unhideWhenUsed/>
    <w:rsid w:val="0032588B"/>
    <w:pPr>
      <w:spacing w:after="100"/>
      <w:ind w:left="240"/>
    </w:pPr>
  </w:style>
  <w:style w:type="character" w:styleId="Hipervnculo">
    <w:name w:val="Hyperlink"/>
    <w:basedOn w:val="Fuentedeprrafopredeter"/>
    <w:uiPriority w:val="99"/>
    <w:unhideWhenUsed/>
    <w:rsid w:val="0032588B"/>
    <w:rPr>
      <w:color w:val="0000FF" w:themeColor="hyperlink"/>
      <w:u w:val="single"/>
    </w:rPr>
  </w:style>
  <w:style w:type="paragraph" w:styleId="Encabezado">
    <w:name w:val="header"/>
    <w:basedOn w:val="Normal"/>
    <w:link w:val="EncabezadoCar"/>
    <w:uiPriority w:val="99"/>
    <w:unhideWhenUsed/>
    <w:rsid w:val="00AC45C7"/>
    <w:pPr>
      <w:tabs>
        <w:tab w:val="center" w:pos="4419"/>
        <w:tab w:val="right" w:pos="8838"/>
      </w:tabs>
    </w:pPr>
  </w:style>
  <w:style w:type="character" w:customStyle="1" w:styleId="EncabezadoCar">
    <w:name w:val="Encabezado Car"/>
    <w:basedOn w:val="Fuentedeprrafopredeter"/>
    <w:link w:val="Encabezado"/>
    <w:uiPriority w:val="99"/>
    <w:rsid w:val="00AC45C7"/>
    <w:rPr>
      <w:rFonts w:eastAsiaTheme="minorEastAsia"/>
      <w:sz w:val="24"/>
      <w:szCs w:val="24"/>
      <w:lang w:val="es-ES_tradnl" w:eastAsia="es-ES"/>
    </w:rPr>
  </w:style>
  <w:style w:type="paragraph" w:styleId="Piedepgina">
    <w:name w:val="footer"/>
    <w:basedOn w:val="Normal"/>
    <w:link w:val="PiedepginaCar"/>
    <w:uiPriority w:val="99"/>
    <w:unhideWhenUsed/>
    <w:rsid w:val="00AC45C7"/>
    <w:pPr>
      <w:tabs>
        <w:tab w:val="center" w:pos="4419"/>
        <w:tab w:val="right" w:pos="8838"/>
      </w:tabs>
    </w:pPr>
  </w:style>
  <w:style w:type="character" w:customStyle="1" w:styleId="PiedepginaCar">
    <w:name w:val="Pie de página Car"/>
    <w:basedOn w:val="Fuentedeprrafopredeter"/>
    <w:link w:val="Piedepgina"/>
    <w:uiPriority w:val="99"/>
    <w:rsid w:val="00AC45C7"/>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2B7931"/>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931"/>
    <w:rPr>
      <w:rFonts w:ascii="Tahoma" w:eastAsiaTheme="minorEastAsia" w:hAnsi="Tahoma" w:cs="Tahoma"/>
      <w:sz w:val="16"/>
      <w:szCs w:val="16"/>
      <w:lang w:val="es-ES_tradnl" w:eastAsia="es-ES"/>
    </w:rPr>
  </w:style>
  <w:style w:type="character" w:customStyle="1" w:styleId="Ttulo3Car">
    <w:name w:val="Título 3 Car"/>
    <w:basedOn w:val="Fuentedeprrafopredeter"/>
    <w:link w:val="Ttulo3"/>
    <w:uiPriority w:val="9"/>
    <w:semiHidden/>
    <w:rsid w:val="000C0470"/>
    <w:rPr>
      <w:rFonts w:asciiTheme="majorHAnsi" w:eastAsiaTheme="majorEastAsia" w:hAnsiTheme="majorHAnsi" w:cstheme="majorBidi"/>
      <w:color w:val="243F60" w:themeColor="accent1" w:themeShade="7F"/>
      <w:sz w:val="24"/>
      <w:szCs w:val="24"/>
      <w:lang w:val="es-ES_tradnl" w:eastAsia="es-ES"/>
    </w:rPr>
  </w:style>
  <w:style w:type="paragraph" w:customStyle="1" w:styleId="Ttulo11">
    <w:name w:val="Título 11"/>
    <w:basedOn w:val="Normal"/>
    <w:rsid w:val="000C0470"/>
    <w:pPr>
      <w:numPr>
        <w:numId w:val="23"/>
      </w:numPr>
    </w:pPr>
  </w:style>
  <w:style w:type="paragraph" w:customStyle="1" w:styleId="Ttulo21">
    <w:name w:val="Título 21"/>
    <w:basedOn w:val="Normal"/>
    <w:rsid w:val="000C0470"/>
    <w:pPr>
      <w:numPr>
        <w:ilvl w:val="1"/>
        <w:numId w:val="23"/>
      </w:numPr>
    </w:pPr>
  </w:style>
  <w:style w:type="paragraph" w:customStyle="1" w:styleId="Ttulo31">
    <w:name w:val="Título 31"/>
    <w:basedOn w:val="Normal"/>
    <w:rsid w:val="000C0470"/>
    <w:pPr>
      <w:numPr>
        <w:ilvl w:val="2"/>
        <w:numId w:val="23"/>
      </w:numPr>
    </w:pPr>
  </w:style>
  <w:style w:type="paragraph" w:customStyle="1" w:styleId="Ttulo41">
    <w:name w:val="Título 41"/>
    <w:basedOn w:val="Normal"/>
    <w:rsid w:val="000C0470"/>
    <w:pPr>
      <w:numPr>
        <w:ilvl w:val="3"/>
        <w:numId w:val="23"/>
      </w:numPr>
    </w:pPr>
  </w:style>
  <w:style w:type="paragraph" w:customStyle="1" w:styleId="Ttulo51">
    <w:name w:val="Título 51"/>
    <w:basedOn w:val="Normal"/>
    <w:rsid w:val="000C0470"/>
    <w:pPr>
      <w:numPr>
        <w:ilvl w:val="4"/>
        <w:numId w:val="23"/>
      </w:numPr>
    </w:pPr>
  </w:style>
  <w:style w:type="paragraph" w:customStyle="1" w:styleId="Ttulo61">
    <w:name w:val="Título 61"/>
    <w:basedOn w:val="Normal"/>
    <w:rsid w:val="000C0470"/>
    <w:pPr>
      <w:numPr>
        <w:ilvl w:val="5"/>
        <w:numId w:val="23"/>
      </w:numPr>
    </w:pPr>
  </w:style>
  <w:style w:type="paragraph" w:customStyle="1" w:styleId="Ttulo71">
    <w:name w:val="Título 71"/>
    <w:basedOn w:val="Normal"/>
    <w:rsid w:val="000C0470"/>
    <w:pPr>
      <w:numPr>
        <w:ilvl w:val="6"/>
        <w:numId w:val="23"/>
      </w:numPr>
    </w:pPr>
  </w:style>
  <w:style w:type="paragraph" w:customStyle="1" w:styleId="Ttulo81">
    <w:name w:val="Título 81"/>
    <w:basedOn w:val="Normal"/>
    <w:rsid w:val="000C0470"/>
    <w:pPr>
      <w:numPr>
        <w:ilvl w:val="7"/>
        <w:numId w:val="23"/>
      </w:numPr>
    </w:pPr>
  </w:style>
  <w:style w:type="paragraph" w:customStyle="1" w:styleId="Ttulo91">
    <w:name w:val="Título 91"/>
    <w:basedOn w:val="Normal"/>
    <w:rsid w:val="000C0470"/>
    <w:pPr>
      <w:numPr>
        <w:ilvl w:val="8"/>
        <w:numId w:val="23"/>
      </w:numPr>
    </w:pPr>
  </w:style>
  <w:style w:type="paragraph" w:styleId="TDC3">
    <w:name w:val="toc 3"/>
    <w:basedOn w:val="Normal"/>
    <w:next w:val="Normal"/>
    <w:autoRedefine/>
    <w:uiPriority w:val="39"/>
    <w:unhideWhenUsed/>
    <w:rsid w:val="00D5619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91794">
      <w:bodyDiv w:val="1"/>
      <w:marLeft w:val="0"/>
      <w:marRight w:val="0"/>
      <w:marTop w:val="0"/>
      <w:marBottom w:val="0"/>
      <w:divBdr>
        <w:top w:val="none" w:sz="0" w:space="0" w:color="auto"/>
        <w:left w:val="none" w:sz="0" w:space="0" w:color="auto"/>
        <w:bottom w:val="none" w:sz="0" w:space="0" w:color="auto"/>
        <w:right w:val="none" w:sz="0" w:space="0" w:color="auto"/>
      </w:divBdr>
    </w:div>
    <w:div w:id="1036812108">
      <w:bodyDiv w:val="1"/>
      <w:marLeft w:val="0"/>
      <w:marRight w:val="0"/>
      <w:marTop w:val="0"/>
      <w:marBottom w:val="0"/>
      <w:divBdr>
        <w:top w:val="none" w:sz="0" w:space="0" w:color="auto"/>
        <w:left w:val="none" w:sz="0" w:space="0" w:color="auto"/>
        <w:bottom w:val="none" w:sz="0" w:space="0" w:color="auto"/>
        <w:right w:val="none" w:sz="0" w:space="0" w:color="auto"/>
      </w:divBdr>
    </w:div>
    <w:div w:id="1148786281">
      <w:bodyDiv w:val="1"/>
      <w:marLeft w:val="0"/>
      <w:marRight w:val="0"/>
      <w:marTop w:val="0"/>
      <w:marBottom w:val="0"/>
      <w:divBdr>
        <w:top w:val="none" w:sz="0" w:space="0" w:color="auto"/>
        <w:left w:val="none" w:sz="0" w:space="0" w:color="auto"/>
        <w:bottom w:val="none" w:sz="0" w:space="0" w:color="auto"/>
        <w:right w:val="none" w:sz="0" w:space="0" w:color="auto"/>
      </w:divBdr>
    </w:div>
    <w:div w:id="1731222267">
      <w:bodyDiv w:val="1"/>
      <w:marLeft w:val="0"/>
      <w:marRight w:val="0"/>
      <w:marTop w:val="0"/>
      <w:marBottom w:val="0"/>
      <w:divBdr>
        <w:top w:val="none" w:sz="0" w:space="0" w:color="auto"/>
        <w:left w:val="none" w:sz="0" w:space="0" w:color="auto"/>
        <w:bottom w:val="none" w:sz="0" w:space="0" w:color="auto"/>
        <w:right w:val="none" w:sz="0" w:space="0" w:color="auto"/>
      </w:divBdr>
    </w:div>
    <w:div w:id="1905945296">
      <w:bodyDiv w:val="1"/>
      <w:marLeft w:val="0"/>
      <w:marRight w:val="0"/>
      <w:marTop w:val="0"/>
      <w:marBottom w:val="0"/>
      <w:divBdr>
        <w:top w:val="none" w:sz="0" w:space="0" w:color="auto"/>
        <w:left w:val="none" w:sz="0" w:space="0" w:color="auto"/>
        <w:bottom w:val="none" w:sz="0" w:space="0" w:color="auto"/>
        <w:right w:val="none" w:sz="0" w:space="0" w:color="auto"/>
      </w:divBdr>
    </w:div>
    <w:div w:id="21323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8.xml"/><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9.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8.png"/><Relationship Id="rId28" Type="http://schemas.openxmlformats.org/officeDocument/2006/relationships/image" Target="media/image13.emf"/><Relationship Id="rId36"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5.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e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oleObject" Target="file:///C:\Users\seargueta\Desktop\Informes%202018\Internet\Gasto%20Social\Diciembre\Gsto%20Soc%20Proclarity%20al%2031%20de%20diciembre%20(0801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6">
                <a:lumMod val="50000"/>
              </a:schemeClr>
            </a:solidFill>
          </c:spPr>
          <c:invertIfNegative val="0"/>
          <c:dPt>
            <c:idx val="0"/>
            <c:invertIfNegative val="0"/>
            <c:bubble3D val="0"/>
            <c:spPr>
              <a:solidFill>
                <a:srgbClr val="ED8D01"/>
              </a:solidFill>
            </c:spPr>
            <c:extLst>
              <c:ext xmlns:c16="http://schemas.microsoft.com/office/drawing/2014/chart" uri="{C3380CC4-5D6E-409C-BE32-E72D297353CC}">
                <c16:uniqueId val="{00000001-82AE-4C05-92CA-F4B8E468EF5C}"/>
              </c:ext>
            </c:extLst>
          </c:dPt>
          <c:dPt>
            <c:idx val="1"/>
            <c:invertIfNegative val="0"/>
            <c:bubble3D val="0"/>
            <c:spPr>
              <a:solidFill>
                <a:srgbClr val="FF0000"/>
              </a:solidFill>
            </c:spPr>
            <c:extLst>
              <c:ext xmlns:c16="http://schemas.microsoft.com/office/drawing/2014/chart" uri="{C3380CC4-5D6E-409C-BE32-E72D297353CC}">
                <c16:uniqueId val="{00000003-82AE-4C05-92CA-F4B8E468EF5C}"/>
              </c:ext>
            </c:extLst>
          </c:dPt>
          <c:dPt>
            <c:idx val="2"/>
            <c:invertIfNegative val="0"/>
            <c:bubble3D val="0"/>
            <c:spPr>
              <a:pattFill prst="openDmnd">
                <a:fgClr>
                  <a:schemeClr val="bg1">
                    <a:lumMod val="50000"/>
                  </a:schemeClr>
                </a:fgClr>
                <a:bgClr>
                  <a:schemeClr val="bg1"/>
                </a:bgClr>
              </a:pattFill>
            </c:spPr>
            <c:extLst>
              <c:ext xmlns:c16="http://schemas.microsoft.com/office/drawing/2014/chart" uri="{C3380CC4-5D6E-409C-BE32-E72D297353CC}">
                <c16:uniqueId val="{00000005-82AE-4C05-92CA-F4B8E468EF5C}"/>
              </c:ext>
            </c:extLst>
          </c:dPt>
          <c:dPt>
            <c:idx val="3"/>
            <c:invertIfNegative val="0"/>
            <c:bubble3D val="0"/>
            <c:spPr>
              <a:solidFill>
                <a:srgbClr val="00B050"/>
              </a:solidFill>
            </c:spPr>
            <c:extLst>
              <c:ext xmlns:c16="http://schemas.microsoft.com/office/drawing/2014/chart" uri="{C3380CC4-5D6E-409C-BE32-E72D297353CC}">
                <c16:uniqueId val="{00000007-82AE-4C05-92CA-F4B8E468EF5C}"/>
              </c:ext>
            </c:extLst>
          </c:dPt>
          <c:dLbls>
            <c:dLbl>
              <c:idx val="2"/>
              <c:numFmt formatCode="#,##0.0" sourceLinked="0"/>
              <c:spPr/>
              <c:txPr>
                <a:bodyPr/>
                <a:lstStyle/>
                <a:p>
                  <a:pPr>
                    <a:defRPr b="1">
                      <a:solidFill>
                        <a:schemeClr val="bg1">
                          <a:lumMod val="50000"/>
                        </a:schemeClr>
                      </a:solidFill>
                    </a:defRPr>
                  </a:pPr>
                  <a:endParaRPr lang="es-GT"/>
                </a:p>
              </c:txPr>
              <c:showLegendKey val="0"/>
              <c:showVal val="1"/>
              <c:showCatName val="0"/>
              <c:showSerName val="0"/>
              <c:showPercent val="0"/>
              <c:showBubbleSize val="0"/>
              <c:extLst>
                <c:ext xmlns:c16="http://schemas.microsoft.com/office/drawing/2014/chart" uri="{C3380CC4-5D6E-409C-BE32-E72D297353CC}">
                  <c16:uniqueId val="{00000005-82AE-4C05-92CA-F4B8E468EF5C}"/>
                </c:ext>
              </c:extLst>
            </c:dLbl>
            <c:numFmt formatCode="#,##0.0" sourceLinked="0"/>
            <c:spPr>
              <a:noFill/>
              <a:ln>
                <a:noFill/>
              </a:ln>
              <a:effectLst/>
            </c:spPr>
            <c:txPr>
              <a:bodyPr/>
              <a:lstStyle/>
              <a:p>
                <a:pPr>
                  <a:defRPr b="1"/>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Obs 17</c:v>
                </c:pt>
                <c:pt idx="1">
                  <c:v>Obs 18</c:v>
                </c:pt>
                <c:pt idx="2">
                  <c:v>Pres</c:v>
                </c:pt>
              </c:strCache>
            </c:strRef>
          </c:cat>
          <c:val>
            <c:numRef>
              <c:f>Hoja1!$B$2:$B$4</c:f>
              <c:numCache>
                <c:formatCode>General</c:formatCode>
                <c:ptCount val="3"/>
                <c:pt idx="0">
                  <c:v>56684.1</c:v>
                </c:pt>
                <c:pt idx="1">
                  <c:v>58835.6</c:v>
                </c:pt>
                <c:pt idx="2">
                  <c:v>57994.8</c:v>
                </c:pt>
              </c:numCache>
            </c:numRef>
          </c:val>
          <c:extLst>
            <c:ext xmlns:c16="http://schemas.microsoft.com/office/drawing/2014/chart" uri="{C3380CC4-5D6E-409C-BE32-E72D297353CC}">
              <c16:uniqueId val="{00000008-82AE-4C05-92CA-F4B8E468EF5C}"/>
            </c:ext>
          </c:extLst>
        </c:ser>
        <c:dLbls>
          <c:showLegendKey val="0"/>
          <c:showVal val="0"/>
          <c:showCatName val="0"/>
          <c:showSerName val="0"/>
          <c:showPercent val="0"/>
          <c:showBubbleSize val="0"/>
        </c:dLbls>
        <c:gapWidth val="15"/>
        <c:axId val="457685424"/>
        <c:axId val="457681896"/>
      </c:barChart>
      <c:catAx>
        <c:axId val="457685424"/>
        <c:scaling>
          <c:orientation val="minMax"/>
        </c:scaling>
        <c:delete val="0"/>
        <c:axPos val="b"/>
        <c:numFmt formatCode="General" sourceLinked="0"/>
        <c:majorTickMark val="out"/>
        <c:minorTickMark val="none"/>
        <c:tickLblPos val="nextTo"/>
        <c:txPr>
          <a:bodyPr/>
          <a:lstStyle/>
          <a:p>
            <a:pPr>
              <a:defRPr sz="800" b="1"/>
            </a:pPr>
            <a:endParaRPr lang="es-GT"/>
          </a:p>
        </c:txPr>
        <c:crossAx val="457681896"/>
        <c:crosses val="autoZero"/>
        <c:auto val="1"/>
        <c:lblAlgn val="ctr"/>
        <c:lblOffset val="100"/>
        <c:noMultiLvlLbl val="0"/>
      </c:catAx>
      <c:valAx>
        <c:axId val="457681896"/>
        <c:scaling>
          <c:orientation val="minMax"/>
          <c:min val="4000"/>
        </c:scaling>
        <c:delete val="0"/>
        <c:axPos val="l"/>
        <c:numFmt formatCode="General" sourceLinked="1"/>
        <c:majorTickMark val="out"/>
        <c:minorTickMark val="none"/>
        <c:tickLblPos val="nextTo"/>
        <c:crossAx val="457685424"/>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666363795739322E-2"/>
          <c:y val="3.1048437903764877E-2"/>
          <c:w val="0.94733379976507526"/>
          <c:h val="0.93100593914776109"/>
        </c:manualLayout>
      </c:layout>
      <c:ofPieChart>
        <c:ofPieType val="bar"/>
        <c:varyColors val="1"/>
        <c:ser>
          <c:idx val="0"/>
          <c:order val="0"/>
          <c:tx>
            <c:strRef>
              <c:f>Hoja1!$B$1</c:f>
              <c:strCache>
                <c:ptCount val="1"/>
                <c:pt idx="0">
                  <c:v>Ventas</c:v>
                </c:pt>
              </c:strCache>
            </c:strRef>
          </c:tx>
          <c:dLbls>
            <c:dLbl>
              <c:idx val="0"/>
              <c:layout>
                <c:manualLayout>
                  <c:x val="4.0572864702390727E-3"/>
                  <c:y val="0.1034337188883431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852-4AF8-88CB-332A6D13F61A}"/>
                </c:ext>
              </c:extLst>
            </c:dLbl>
            <c:dLbl>
              <c:idx val="1"/>
              <c:layout>
                <c:manualLayout>
                  <c:x val="-1.5065482880994178E-2"/>
                  <c:y val="-1.221713392338338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852-4AF8-88CB-332A6D13F61A}"/>
                </c:ext>
              </c:extLst>
            </c:dLbl>
            <c:dLbl>
              <c:idx val="2"/>
              <c:layout>
                <c:manualLayout>
                  <c:x val="2.8870562382389716E-4"/>
                  <c:y val="-0.2032189509436627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852-4AF8-88CB-332A6D13F61A}"/>
                </c:ext>
              </c:extLst>
            </c:dLbl>
            <c:dLbl>
              <c:idx val="3"/>
              <c:layout>
                <c:manualLayout>
                  <c:x val="-4.4047625534697439E-2"/>
                  <c:y val="6.8232927352754628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852-4AF8-88CB-332A6D13F61A}"/>
                </c:ext>
              </c:extLst>
            </c:dLbl>
            <c:dLbl>
              <c:idx val="4"/>
              <c:layout>
                <c:manualLayout>
                  <c:x val="-3.0305660804983786E-2"/>
                  <c:y val="1.334491680996520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852-4AF8-88CB-332A6D13F61A}"/>
                </c:ext>
              </c:extLst>
            </c:dLbl>
            <c:dLbl>
              <c:idx val="5"/>
              <c:layout>
                <c:manualLayout>
                  <c:x val="-2.5334373525889908E-2"/>
                  <c:y val="-2.753798111002547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852-4AF8-88CB-332A6D13F61A}"/>
                </c:ext>
              </c:extLst>
            </c:dLbl>
            <c:dLbl>
              <c:idx val="6"/>
              <c:layout>
                <c:manualLayout>
                  <c:x val="-0.22662469610653507"/>
                  <c:y val="-1.6610150008621186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8852-4AF8-88CB-332A6D13F61A}"/>
                </c:ext>
              </c:extLst>
            </c:dLbl>
            <c:numFmt formatCode="0.0%" sourceLinked="0"/>
            <c:spPr>
              <a:noFill/>
              <a:ln>
                <a:noFill/>
              </a:ln>
              <a:effectLst/>
            </c:spPr>
            <c:txPr>
              <a:bodyPr/>
              <a:lstStyle/>
              <a:p>
                <a:pPr>
                  <a:defRPr sz="800" b="1"/>
                </a:pPr>
                <a:endParaRPr lang="es-GT"/>
              </a:p>
            </c:txPr>
            <c:showLegendKey val="0"/>
            <c:showVal val="0"/>
            <c:showCatName val="1"/>
            <c:showSerName val="0"/>
            <c:showPercent val="1"/>
            <c:showBubbleSize val="0"/>
            <c:showLeaderLines val="1"/>
            <c:extLst>
              <c:ext xmlns:c15="http://schemas.microsoft.com/office/drawing/2012/chart" uri="{CE6537A1-D6FC-4f65-9D91-7224C49458BB}"/>
            </c:extLst>
          </c:dLbls>
          <c:cat>
            <c:strRef>
              <c:f>Hoja1!$A$2:$A$7</c:f>
              <c:strCache>
                <c:ptCount val="6"/>
                <c:pt idx="0">
                  <c:v>ISO</c:v>
                </c:pt>
                <c:pt idx="1">
                  <c:v>DAI</c:v>
                </c:pt>
                <c:pt idx="2">
                  <c:v>Los demás</c:v>
                </c:pt>
                <c:pt idx="3">
                  <c:v>ISR</c:v>
                </c:pt>
                <c:pt idx="4">
                  <c:v>IVA dom</c:v>
                </c:pt>
                <c:pt idx="5">
                  <c:v>IVA imp</c:v>
                </c:pt>
              </c:strCache>
            </c:strRef>
          </c:cat>
          <c:val>
            <c:numRef>
              <c:f>Hoja1!$B$2:$B$7</c:f>
              <c:numCache>
                <c:formatCode>#,##0.0</c:formatCode>
                <c:ptCount val="6"/>
                <c:pt idx="0">
                  <c:v>4646.3</c:v>
                </c:pt>
                <c:pt idx="1">
                  <c:v>2575.9</c:v>
                </c:pt>
                <c:pt idx="2">
                  <c:v>7644.4038397900031</c:v>
                </c:pt>
                <c:pt idx="3">
                  <c:v>16236.3</c:v>
                </c:pt>
                <c:pt idx="4">
                  <c:v>13263.424077539999</c:v>
                </c:pt>
                <c:pt idx="5">
                  <c:v>14469.264052470002</c:v>
                </c:pt>
              </c:numCache>
            </c:numRef>
          </c:val>
          <c:extLst>
            <c:ext xmlns:c16="http://schemas.microsoft.com/office/drawing/2014/chart" uri="{C3380CC4-5D6E-409C-BE32-E72D297353CC}">
              <c16:uniqueId val="{00000007-8852-4AF8-88CB-332A6D13F61A}"/>
            </c:ext>
          </c:extLst>
        </c:ser>
        <c:dLbls>
          <c:showLegendKey val="0"/>
          <c:showVal val="0"/>
          <c:showCatName val="0"/>
          <c:showSerName val="0"/>
          <c:showPercent val="0"/>
          <c:showBubbleSize val="0"/>
          <c:showLeaderLines val="1"/>
        </c:dLbls>
        <c:gapWidth val="100"/>
        <c:splitType val="pos"/>
        <c:splitPos val="3"/>
        <c:secondPieSize val="75"/>
        <c:serLines/>
      </c:ofPieChart>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752546614758656"/>
          <c:y val="5.3475935828877004E-2"/>
          <c:w val="0.72347825132453236"/>
          <c:h val="0.78140897798567599"/>
        </c:manualLayout>
      </c:layout>
      <c:barChart>
        <c:barDir val="col"/>
        <c:grouping val="clustered"/>
        <c:varyColors val="0"/>
        <c:ser>
          <c:idx val="0"/>
          <c:order val="0"/>
          <c:tx>
            <c:strRef>
              <c:f>Hoja1!$B$1</c:f>
              <c:strCache>
                <c:ptCount val="1"/>
                <c:pt idx="0">
                  <c:v>Observado</c:v>
                </c:pt>
              </c:strCache>
            </c:strRef>
          </c:tx>
          <c:invertIfNegative val="0"/>
          <c:dLbls>
            <c:dLbl>
              <c:idx val="0"/>
              <c:layout>
                <c:manualLayout>
                  <c:x val="-2.3234200743494422E-2"/>
                  <c:y val="0.4010695187165774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EC-4003-A0E6-2A7C3570773F}"/>
                </c:ext>
              </c:extLst>
            </c:dLbl>
            <c:numFmt formatCode="#,##0.0" sourceLinked="0"/>
            <c:spPr>
              <a:noFill/>
              <a:ln>
                <a:noFill/>
              </a:ln>
              <a:effectLst/>
            </c:spPr>
            <c:txPr>
              <a:bodyPr rot="0" vertOverflow="overflow" horzOverflow="overflow" vert="horz" anchor="b" anchorCtr="1">
                <a:spAutoFit/>
              </a:bodyPr>
              <a:lstStyle/>
              <a:p>
                <a:pPr>
                  <a:defRPr b="1"/>
                </a:pPr>
                <a:endParaRPr lang="es-G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c:f>
              <c:strCache>
                <c:ptCount val="1"/>
                <c:pt idx="0">
                  <c:v>Ene</c:v>
                </c:pt>
              </c:strCache>
            </c:strRef>
          </c:cat>
          <c:val>
            <c:numRef>
              <c:f>Hoja1!$B$2</c:f>
              <c:numCache>
                <c:formatCode>#,##0.0</c:formatCode>
                <c:ptCount val="1"/>
                <c:pt idx="0">
                  <c:v>58835.591969800007</c:v>
                </c:pt>
              </c:numCache>
            </c:numRef>
          </c:val>
          <c:extLst>
            <c:ext xmlns:c16="http://schemas.microsoft.com/office/drawing/2014/chart" uri="{C3380CC4-5D6E-409C-BE32-E72D297353CC}">
              <c16:uniqueId val="{00000001-92EC-4003-A0E6-2A7C3570773F}"/>
            </c:ext>
          </c:extLst>
        </c:ser>
        <c:ser>
          <c:idx val="1"/>
          <c:order val="1"/>
          <c:tx>
            <c:strRef>
              <c:f>Hoja1!$C$1</c:f>
              <c:strCache>
                <c:ptCount val="1"/>
                <c:pt idx="0">
                  <c:v>Presupuesto</c:v>
                </c:pt>
              </c:strCache>
            </c:strRef>
          </c:tx>
          <c:invertIfNegative val="0"/>
          <c:dLbls>
            <c:dLbl>
              <c:idx val="0"/>
              <c:layout>
                <c:manualLayout>
                  <c:x val="-4.646840148698885E-3"/>
                  <c:y val="0.436769777866245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EC-4003-A0E6-2A7C3570773F}"/>
                </c:ext>
              </c:extLst>
            </c:dLbl>
            <c:numFmt formatCode="#,##0.0" sourceLinked="0"/>
            <c:spPr>
              <a:noFill/>
              <a:ln>
                <a:noFill/>
              </a:ln>
              <a:effectLst/>
            </c:spPr>
            <c:txPr>
              <a:bodyPr rot="0" vertOverflow="overflow" horzOverflow="overflow" vert="horz">
                <a:spAutoFit/>
              </a:bodyPr>
              <a:lstStyle/>
              <a:p>
                <a:pPr>
                  <a:defRPr b="1">
                    <a:solidFill>
                      <a:schemeClr val="bg1"/>
                    </a:solidFill>
                  </a:defRPr>
                </a:pPr>
                <a:endParaRPr lang="es-G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c:f>
              <c:strCache>
                <c:ptCount val="1"/>
                <c:pt idx="0">
                  <c:v>Ene</c:v>
                </c:pt>
              </c:strCache>
            </c:strRef>
          </c:cat>
          <c:val>
            <c:numRef>
              <c:f>Hoja1!$C$2</c:f>
              <c:numCache>
                <c:formatCode>#,##0.0</c:formatCode>
                <c:ptCount val="1"/>
                <c:pt idx="0">
                  <c:v>57994.799999999988</c:v>
                </c:pt>
              </c:numCache>
            </c:numRef>
          </c:val>
          <c:extLst>
            <c:ext xmlns:c16="http://schemas.microsoft.com/office/drawing/2014/chart" uri="{C3380CC4-5D6E-409C-BE32-E72D297353CC}">
              <c16:uniqueId val="{00000003-92EC-4003-A0E6-2A7C3570773F}"/>
            </c:ext>
          </c:extLst>
        </c:ser>
        <c:dLbls>
          <c:showLegendKey val="0"/>
          <c:showVal val="0"/>
          <c:showCatName val="0"/>
          <c:showSerName val="0"/>
          <c:showPercent val="0"/>
          <c:showBubbleSize val="0"/>
        </c:dLbls>
        <c:gapWidth val="19"/>
        <c:overlap val="-8"/>
        <c:axId val="457688168"/>
        <c:axId val="457689736"/>
      </c:barChart>
      <c:catAx>
        <c:axId val="457688168"/>
        <c:scaling>
          <c:orientation val="minMax"/>
        </c:scaling>
        <c:delete val="1"/>
        <c:axPos val="b"/>
        <c:numFmt formatCode="General" sourceLinked="0"/>
        <c:majorTickMark val="out"/>
        <c:minorTickMark val="none"/>
        <c:tickLblPos val="nextTo"/>
        <c:crossAx val="457689736"/>
        <c:crosses val="autoZero"/>
        <c:auto val="1"/>
        <c:lblAlgn val="ctr"/>
        <c:lblOffset val="100"/>
        <c:noMultiLvlLbl val="0"/>
      </c:catAx>
      <c:valAx>
        <c:axId val="457689736"/>
        <c:scaling>
          <c:orientation val="minMax"/>
          <c:min val="35000"/>
        </c:scaling>
        <c:delete val="0"/>
        <c:axPos val="l"/>
        <c:numFmt formatCode="#,##0" sourceLinked="0"/>
        <c:majorTickMark val="out"/>
        <c:minorTickMark val="none"/>
        <c:tickLblPos val="nextTo"/>
        <c:txPr>
          <a:bodyPr/>
          <a:lstStyle/>
          <a:p>
            <a:pPr>
              <a:defRPr b="1"/>
            </a:pPr>
            <a:endParaRPr lang="es-GT"/>
          </a:p>
        </c:txPr>
        <c:crossAx val="457688168"/>
        <c:crosses val="autoZero"/>
        <c:crossBetween val="between"/>
      </c:valAx>
    </c:plotArea>
    <c:legend>
      <c:legendPos val="b"/>
      <c:layout>
        <c:manualLayout>
          <c:xMode val="edge"/>
          <c:yMode val="edge"/>
          <c:x val="0.22446579632936217"/>
          <c:y val="0.85919215737313326"/>
          <c:w val="0.66259257091004886"/>
          <c:h val="8.2470458086273485E-2"/>
        </c:manualLayout>
      </c:layout>
      <c:overlay val="0"/>
      <c:txPr>
        <a:bodyPr/>
        <a:lstStyle/>
        <a:p>
          <a:pPr>
            <a:defRPr b="1"/>
          </a:pPr>
          <a:endParaRPr lang="es-GT"/>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25232439165441"/>
          <c:y val="3.082080649009783E-2"/>
          <c:w val="0.85506970950665062"/>
          <c:h val="0.88424520798536543"/>
        </c:manualLayout>
      </c:layout>
      <c:lineChart>
        <c:grouping val="standard"/>
        <c:varyColors val="0"/>
        <c:ser>
          <c:idx val="0"/>
          <c:order val="0"/>
          <c:tx>
            <c:strRef>
              <c:f>Hoja1!$B$1</c:f>
              <c:strCache>
                <c:ptCount val="1"/>
                <c:pt idx="0">
                  <c:v>Productividad IVA A junio</c:v>
                </c:pt>
              </c:strCache>
            </c:strRef>
          </c:tx>
          <c:spPr>
            <a:ln w="22225" cap="rnd" cmpd="sng" algn="ctr">
              <a:solidFill>
                <a:schemeClr val="accent1"/>
              </a:solidFill>
              <a:round/>
            </a:ln>
            <a:effectLst/>
          </c:spPr>
          <c:marker>
            <c:symbol val="circle"/>
            <c:size val="5"/>
            <c:spPr>
              <a:solidFill>
                <a:srgbClr val="0070C0"/>
              </a:solidFill>
              <a:ln w="9525" cap="flat" cmpd="sng" algn="ctr">
                <a:solidFill>
                  <a:schemeClr val="accent1"/>
                </a:solidFill>
                <a:round/>
              </a:ln>
              <a:effectLst/>
            </c:spPr>
          </c:marker>
          <c:dLbls>
            <c:dLbl>
              <c:idx val="1"/>
              <c:layout>
                <c:manualLayout>
                  <c:x val="-7.909604519774012E-2"/>
                  <c:y val="5.75757575757575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0B-4717-9C02-2BC69B5A759B}"/>
                </c:ext>
              </c:extLst>
            </c:dLbl>
            <c:dLbl>
              <c:idx val="2"/>
              <c:layout>
                <c:manualLayout>
                  <c:x val="-2.4858757062146894E-2"/>
                  <c:y val="5.25252525252525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0B-4717-9C02-2BC69B5A759B}"/>
                </c:ext>
              </c:extLst>
            </c:dLbl>
            <c:dLbl>
              <c:idx val="3"/>
              <c:layout>
                <c:manualLayout>
                  <c:x val="-5.19774011299435E-2"/>
                  <c:y val="6.26262626262626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0B-4717-9C02-2BC69B5A759B}"/>
                </c:ext>
              </c:extLst>
            </c:dLbl>
            <c:dLbl>
              <c:idx val="4"/>
              <c:layout>
                <c:manualLayout>
                  <c:x val="-8.8135593220338981E-2"/>
                  <c:y val="-7.3737373737373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10B-4717-9C02-2BC69B5A759B}"/>
                </c:ext>
              </c:extLst>
            </c:dLbl>
            <c:dLbl>
              <c:idx val="5"/>
              <c:layout>
                <c:manualLayout>
                  <c:x val="-3.84180790960452E-2"/>
                  <c:y val="-6.3636363636363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10B-4717-9C02-2BC69B5A759B}"/>
                </c:ext>
              </c:extLst>
            </c:dLbl>
            <c:dLbl>
              <c:idx val="6"/>
              <c:layout>
                <c:manualLayout>
                  <c:x val="-3.84180790960452E-2"/>
                  <c:y val="-4.84848484848484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10B-4717-9C02-2BC69B5A759B}"/>
                </c:ext>
              </c:extLst>
            </c:dLbl>
            <c:dLbl>
              <c:idx val="7"/>
              <c:layout>
                <c:manualLayout>
                  <c:x val="-0.18757062146892656"/>
                  <c:y val="1.71713194941541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10B-4717-9C02-2BC69B5A759B}"/>
                </c:ext>
              </c:extLst>
            </c:dLbl>
            <c:dLbl>
              <c:idx val="8"/>
              <c:layout>
                <c:manualLayout>
                  <c:x val="-8.1150940878152944E-2"/>
                  <c:y val="4.74747474747474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10B-4717-9C02-2BC69B5A759B}"/>
                </c:ext>
              </c:extLst>
            </c:dLbl>
            <c:dLbl>
              <c:idx val="9"/>
              <c:layout>
                <c:manualLayout>
                  <c:x val="-2.340832395950506E-3"/>
                  <c:y val="3.21671628502267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10B-4717-9C02-2BC69B5A759B}"/>
                </c:ext>
              </c:extLst>
            </c:dLbl>
            <c:spPr>
              <a:noFill/>
              <a:ln>
                <a:noFill/>
              </a:ln>
              <a:effectLst/>
            </c:spPr>
            <c:txPr>
              <a:bodyPr rot="0" spcFirstLastPara="1" vertOverflow="ellipsis" vert="horz" wrap="square" anchor="ctr" anchorCtr="1"/>
              <a:lstStyle/>
              <a:p>
                <a:pPr>
                  <a:defRPr sz="9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Hoja1!$B$2:$B$12</c:f>
              <c:numCache>
                <c:formatCode>0.0%</c:formatCode>
                <c:ptCount val="11"/>
                <c:pt idx="0">
                  <c:v>0.45502016922887134</c:v>
                </c:pt>
                <c:pt idx="1">
                  <c:v>0.40630758876666068</c:v>
                </c:pt>
                <c:pt idx="2">
                  <c:v>0.42481578240017165</c:v>
                </c:pt>
                <c:pt idx="3">
                  <c:v>0.43736727728549007</c:v>
                </c:pt>
                <c:pt idx="4">
                  <c:v>0.44204627886729009</c:v>
                </c:pt>
                <c:pt idx="5">
                  <c:v>0.43082838786407968</c:v>
                </c:pt>
                <c:pt idx="6">
                  <c:v>0.42493038988710863</c:v>
                </c:pt>
                <c:pt idx="7">
                  <c:v>0.3971221798450032</c:v>
                </c:pt>
                <c:pt idx="8">
                  <c:v>0.38613870783285703</c:v>
                </c:pt>
                <c:pt idx="9">
                  <c:v>0.39273504284345923</c:v>
                </c:pt>
                <c:pt idx="10">
                  <c:v>0.41592051385110518</c:v>
                </c:pt>
              </c:numCache>
            </c:numRef>
          </c:val>
          <c:smooth val="1"/>
          <c:extLst>
            <c:ext xmlns:c16="http://schemas.microsoft.com/office/drawing/2014/chart" uri="{C3380CC4-5D6E-409C-BE32-E72D297353CC}">
              <c16:uniqueId val="{00000009-210B-4717-9C02-2BC69B5A759B}"/>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457691304"/>
        <c:axId val="457691696"/>
      </c:lineChart>
      <c:dateAx>
        <c:axId val="457691304"/>
        <c:scaling>
          <c:orientation val="minMax"/>
        </c:scaling>
        <c:delete val="0"/>
        <c:axPos val="b"/>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1"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57691696"/>
        <c:crosses val="autoZero"/>
        <c:auto val="0"/>
        <c:lblOffset val="100"/>
        <c:baseTimeUnit val="days"/>
      </c:dateAx>
      <c:valAx>
        <c:axId val="457691696"/>
        <c:scaling>
          <c:orientation val="minMax"/>
          <c:min val="0.36000000000000004"/>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57691304"/>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86040304283999"/>
          <c:y val="3.082080649009783E-2"/>
          <c:w val="0.87461755416166198"/>
          <c:h val="0.85105425878704666"/>
        </c:manualLayout>
      </c:layout>
      <c:lineChart>
        <c:grouping val="standard"/>
        <c:varyColors val="0"/>
        <c:ser>
          <c:idx val="0"/>
          <c:order val="0"/>
          <c:tx>
            <c:strRef>
              <c:f>Hoja1!$B$1</c:f>
              <c:strCache>
                <c:ptCount val="1"/>
                <c:pt idx="0">
                  <c:v>Iva imp</c:v>
                </c:pt>
              </c:strCache>
            </c:strRef>
          </c:tx>
          <c:spPr>
            <a:ln w="22225" cap="rnd" cmpd="sng" algn="ctr">
              <a:solidFill>
                <a:schemeClr val="accent1"/>
              </a:solidFill>
              <a:round/>
            </a:ln>
            <a:effectLst/>
          </c:spPr>
          <c:marker>
            <c:symbol val="square"/>
            <c:size val="5"/>
            <c:spPr>
              <a:solidFill>
                <a:schemeClr val="accent1"/>
              </a:solidFill>
              <a:ln w="9525" cap="flat" cmpd="sng" algn="ctr">
                <a:solidFill>
                  <a:schemeClr val="accent1"/>
                </a:solidFill>
                <a:round/>
              </a:ln>
              <a:effectLst/>
            </c:spPr>
          </c:marker>
          <c:dLbls>
            <c:dLbl>
              <c:idx val="1"/>
              <c:layout>
                <c:manualLayout>
                  <c:x val="-9.2655367231638419E-2"/>
                  <c:y val="6.26262626262626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83-4DC1-AAF7-550DD1755748}"/>
                </c:ext>
              </c:extLst>
            </c:dLbl>
            <c:dLbl>
              <c:idx val="2"/>
              <c:layout>
                <c:manualLayout>
                  <c:x val="-0.14689265536723167"/>
                  <c:y val="-3.83838383838383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83-4DC1-AAF7-550DD1755748}"/>
                </c:ext>
              </c:extLst>
            </c:dLbl>
            <c:dLbl>
              <c:idx val="3"/>
              <c:layout>
                <c:manualLayout>
                  <c:x val="-0.11525423728813559"/>
                  <c:y val="-4.84848484848484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83-4DC1-AAF7-550DD1755748}"/>
                </c:ext>
              </c:extLst>
            </c:dLbl>
            <c:dLbl>
              <c:idx val="4"/>
              <c:layout>
                <c:manualLayout>
                  <c:x val="-0.12881355932203389"/>
                  <c:y val="4.74747474747474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83-4DC1-AAF7-550DD1755748}"/>
                </c:ext>
              </c:extLst>
            </c:dLbl>
            <c:dLbl>
              <c:idx val="5"/>
              <c:layout>
                <c:manualLayout>
                  <c:x val="-9.2655367231638419E-2"/>
                  <c:y val="-5.35353535353535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E83-4DC1-AAF7-550DD1755748}"/>
                </c:ext>
              </c:extLst>
            </c:dLbl>
            <c:dLbl>
              <c:idx val="6"/>
              <c:layout>
                <c:manualLayout>
                  <c:x val="-0.15141230507951212"/>
                  <c:y val="3.29344952877331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E83-4DC1-AAF7-550DD1755748}"/>
                </c:ext>
              </c:extLst>
            </c:dLbl>
            <c:dLbl>
              <c:idx val="7"/>
              <c:layout>
                <c:manualLayout>
                  <c:x val="-7.4576271186440682E-2"/>
                  <c:y val="-4.84848484848484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E83-4DC1-AAF7-550DD1755748}"/>
                </c:ext>
              </c:extLst>
            </c:dLbl>
            <c:dLbl>
              <c:idx val="8"/>
              <c:layout>
                <c:manualLayout>
                  <c:x val="-8.1217384591632025E-2"/>
                  <c:y val="-5.12347166568591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E83-4DC1-AAF7-550DD1755748}"/>
                </c:ext>
              </c:extLst>
            </c:dLbl>
            <c:dLbl>
              <c:idx val="9"/>
              <c:layout>
                <c:manualLayout>
                  <c:x val="-6.1248527679623084E-2"/>
                  <c:y val="-6.6547855895237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E83-4DC1-AAF7-550DD1755748}"/>
                </c:ext>
              </c:extLst>
            </c:dLbl>
            <c:spPr>
              <a:noFill/>
              <a:ln>
                <a:noFill/>
              </a:ln>
              <a:effectLst/>
            </c:spPr>
            <c:txPr>
              <a:bodyPr rot="0" spcFirstLastPara="1" vertOverflow="ellipsis" vert="horz" wrap="square" anchor="ctr" anchorCtr="1"/>
              <a:lstStyle/>
              <a:p>
                <a:pPr>
                  <a:defRPr sz="7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Hoja1!$B$2:$B$12</c:f>
              <c:numCache>
                <c:formatCode>0.0%</c:formatCode>
                <c:ptCount val="11"/>
                <c:pt idx="0">
                  <c:v>0.2907906529242143</c:v>
                </c:pt>
                <c:pt idx="1">
                  <c:v>0.24193370320028212</c:v>
                </c:pt>
                <c:pt idx="2">
                  <c:v>0.25836597182652077</c:v>
                </c:pt>
                <c:pt idx="3">
                  <c:v>0.26676614244226687</c:v>
                </c:pt>
                <c:pt idx="4">
                  <c:v>0.26600932806043731</c:v>
                </c:pt>
                <c:pt idx="5">
                  <c:v>0.24831735081518996</c:v>
                </c:pt>
                <c:pt idx="6">
                  <c:v>0.23966192184403812</c:v>
                </c:pt>
                <c:pt idx="7">
                  <c:v>0.21466413822142547</c:v>
                </c:pt>
                <c:pt idx="8">
                  <c:v>0.19623998725221112</c:v>
                </c:pt>
                <c:pt idx="9">
                  <c:v>0.19820703796039871</c:v>
                </c:pt>
                <c:pt idx="10">
                  <c:v>0.21700253908089068</c:v>
                </c:pt>
              </c:numCache>
            </c:numRef>
          </c:val>
          <c:smooth val="1"/>
          <c:extLst>
            <c:ext xmlns:c16="http://schemas.microsoft.com/office/drawing/2014/chart" uri="{C3380CC4-5D6E-409C-BE32-E72D297353CC}">
              <c16:uniqueId val="{00000009-DE83-4DC1-AAF7-550DD1755748}"/>
            </c:ext>
          </c:extLst>
        </c:ser>
        <c:ser>
          <c:idx val="1"/>
          <c:order val="1"/>
          <c:tx>
            <c:strRef>
              <c:f>Hoja1!$C$1</c:f>
              <c:strCache>
                <c:ptCount val="1"/>
                <c:pt idx="0">
                  <c:v>IVA dom</c:v>
                </c:pt>
              </c:strCache>
            </c:strRef>
          </c:tx>
          <c:spPr>
            <a:ln w="22225" cap="rnd" cmpd="sng" algn="ctr">
              <a:solidFill>
                <a:srgbClr val="FF0000"/>
              </a:solidFill>
              <a:round/>
            </a:ln>
            <a:effectLst/>
          </c:spPr>
          <c:marker>
            <c:symbol val="circle"/>
            <c:size val="6"/>
            <c:spPr>
              <a:solidFill>
                <a:srgbClr val="FF0000"/>
              </a:solidFill>
              <a:ln w="9525" cap="flat" cmpd="sng" algn="ctr">
                <a:solidFill>
                  <a:schemeClr val="accent2"/>
                </a:solidFill>
                <a:round/>
              </a:ln>
              <a:effectLst/>
            </c:spPr>
          </c:marker>
          <c:dLbls>
            <c:dLbl>
              <c:idx val="0"/>
              <c:layout>
                <c:manualLayout>
                  <c:x val="-9.9051025401485832E-2"/>
                  <c:y val="4.6717171717171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E83-4DC1-AAF7-550DD1755748}"/>
                </c:ext>
              </c:extLst>
            </c:dLbl>
            <c:dLbl>
              <c:idx val="1"/>
              <c:layout>
                <c:manualLayout>
                  <c:x val="-9.4531251390186394E-2"/>
                  <c:y val="-5.42929292929292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E83-4DC1-AAF7-550DD1755748}"/>
                </c:ext>
              </c:extLst>
            </c:dLbl>
            <c:dLbl>
              <c:idx val="3"/>
              <c:layout>
                <c:manualLayout>
                  <c:x val="-0.10357079941278527"/>
                  <c:y val="-5.42929292929292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E83-4DC1-AAF7-550DD1755748}"/>
                </c:ext>
              </c:extLst>
            </c:dLbl>
            <c:dLbl>
              <c:idx val="5"/>
              <c:layout>
                <c:manualLayout>
                  <c:x val="-0.10357079941278527"/>
                  <c:y val="-4.9242424242424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E83-4DC1-AAF7-550DD1755748}"/>
                </c:ext>
              </c:extLst>
            </c:dLbl>
            <c:dLbl>
              <c:idx val="7"/>
              <c:layout>
                <c:manualLayout>
                  <c:x val="-0.10809057342408479"/>
                  <c:y val="-4.9242424242424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E83-4DC1-AAF7-550DD1755748}"/>
                </c:ext>
              </c:extLst>
            </c:dLbl>
            <c:dLbl>
              <c:idx val="8"/>
              <c:layout>
                <c:manualLayout>
                  <c:x val="-0.10312065771190367"/>
                  <c:y val="5.71236958369526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E83-4DC1-AAF7-550DD1755748}"/>
                </c:ext>
              </c:extLst>
            </c:dLbl>
            <c:dLbl>
              <c:idx val="9"/>
              <c:layout>
                <c:manualLayout>
                  <c:x val="-5.4320987654320987E-2"/>
                  <c:y val="0.144840044460634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E83-4DC1-AAF7-550DD1755748}"/>
                </c:ext>
              </c:extLst>
            </c:dLbl>
            <c:dLbl>
              <c:idx val="10"/>
              <c:layout>
                <c:manualLayout>
                  <c:x val="0"/>
                  <c:y val="4.04509578651423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E83-4DC1-AAF7-550DD1755748}"/>
                </c:ext>
              </c:extLst>
            </c:dLbl>
            <c:spPr>
              <a:noFill/>
              <a:ln>
                <a:noFill/>
              </a:ln>
              <a:effectLst/>
            </c:spPr>
            <c:txPr>
              <a:bodyPr rot="0" spcFirstLastPara="1" vertOverflow="ellipsis" vert="horz" wrap="square" anchor="ctr" anchorCtr="1"/>
              <a:lstStyle/>
              <a:p>
                <a:pPr>
                  <a:defRPr sz="7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Hoja1!$C$2:$C$12</c:f>
              <c:numCache>
                <c:formatCode>0.0%</c:formatCode>
                <c:ptCount val="11"/>
                <c:pt idx="0">
                  <c:v>0.16422951630465701</c:v>
                </c:pt>
                <c:pt idx="1">
                  <c:v>0.16437388556637855</c:v>
                </c:pt>
                <c:pt idx="2">
                  <c:v>0.16644981057365091</c:v>
                </c:pt>
                <c:pt idx="3">
                  <c:v>0.17060113484322323</c:v>
                </c:pt>
                <c:pt idx="4">
                  <c:v>0.17603695080685272</c:v>
                </c:pt>
                <c:pt idx="5">
                  <c:v>0.18251103704888966</c:v>
                </c:pt>
                <c:pt idx="6">
                  <c:v>0.18526846804307048</c:v>
                </c:pt>
                <c:pt idx="7">
                  <c:v>0.18245804162357773</c:v>
                </c:pt>
                <c:pt idx="8">
                  <c:v>0.18989872058064591</c:v>
                </c:pt>
                <c:pt idx="9">
                  <c:v>0.19452800488306055</c:v>
                </c:pt>
                <c:pt idx="10">
                  <c:v>0.19891797477021456</c:v>
                </c:pt>
              </c:numCache>
            </c:numRef>
          </c:val>
          <c:smooth val="0"/>
          <c:extLst>
            <c:ext xmlns:c16="http://schemas.microsoft.com/office/drawing/2014/chart" uri="{C3380CC4-5D6E-409C-BE32-E72D297353CC}">
              <c16:uniqueId val="{00000012-DE83-4DC1-AAF7-550DD1755748}"/>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465055632"/>
        <c:axId val="465051320"/>
      </c:lineChart>
      <c:dateAx>
        <c:axId val="46505563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1"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65051320"/>
        <c:crosses val="autoZero"/>
        <c:auto val="0"/>
        <c:lblOffset val="100"/>
        <c:baseTimeUnit val="days"/>
      </c:dateAx>
      <c:valAx>
        <c:axId val="465051320"/>
        <c:scaling>
          <c:orientation val="minMax"/>
          <c:min val="0.1200000000000000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65055632"/>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37070127345192966"/>
          <c:y val="2.3685936055146073E-2"/>
          <c:w val="0.62402896446454825"/>
          <c:h val="6.4976537023781131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es-GT" sz="1200">
                <a:solidFill>
                  <a:sysClr val="windowText" lastClr="000000"/>
                </a:solidFill>
              </a:rPr>
              <a:t>Variación interanual de la recaudación tributaria 2018</a:t>
            </a:r>
          </a:p>
          <a:p>
            <a:pPr>
              <a:defRPr sz="12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es-GT" sz="1200">
                <a:solidFill>
                  <a:sysClr val="windowText" lastClr="000000"/>
                </a:solidFill>
              </a:rPr>
              <a:t>Respecto a 2017 y Meta</a:t>
            </a:r>
            <a:r>
              <a:rPr lang="es-GT" sz="1200" baseline="0">
                <a:solidFill>
                  <a:sysClr val="windowText" lastClr="000000"/>
                </a:solidFill>
              </a:rPr>
              <a:t> Convenio</a:t>
            </a:r>
            <a:r>
              <a:rPr lang="es-GT" sz="1200">
                <a:solidFill>
                  <a:sysClr val="windowText" lastClr="000000"/>
                </a:solidFill>
              </a:rPr>
              <a:t> 2018</a:t>
            </a:r>
          </a:p>
        </c:rich>
      </c:tx>
      <c:overlay val="0"/>
      <c:spPr>
        <a:noFill/>
        <a:ln>
          <a:noFill/>
        </a:ln>
        <a:effectLst/>
      </c:spPr>
    </c:title>
    <c:autoTitleDeleted val="0"/>
    <c:plotArea>
      <c:layout>
        <c:manualLayout>
          <c:layoutTarget val="inner"/>
          <c:xMode val="edge"/>
          <c:yMode val="edge"/>
          <c:x val="0.21382655293088365"/>
          <c:y val="0.13826125948379459"/>
          <c:w val="0.75000455672207644"/>
          <c:h val="0.79874527047755395"/>
        </c:manualLayout>
      </c:layout>
      <c:barChart>
        <c:barDir val="bar"/>
        <c:grouping val="clustered"/>
        <c:varyColors val="0"/>
        <c:ser>
          <c:idx val="0"/>
          <c:order val="0"/>
          <c:tx>
            <c:strRef>
              <c:f>Hoja1!$B$1</c:f>
              <c:strCache>
                <c:ptCount val="1"/>
                <c:pt idx="0">
                  <c:v>2018-2017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Hoja1!$A$2:$A$19</c:f>
              <c:strCache>
                <c:ptCount val="18"/>
                <c:pt idx="0">
                  <c:v>IEMA</c:v>
                </c:pt>
                <c:pt idx="1">
                  <c:v>IETAAP</c:v>
                </c:pt>
                <c:pt idx="2">
                  <c:v>Regalías</c:v>
                </c:pt>
                <c:pt idx="3">
                  <c:v>Otros</c:v>
                </c:pt>
                <c:pt idx="4">
                  <c:v>Popiedad</c:v>
                </c:pt>
                <c:pt idx="5">
                  <c:v>Cemento</c:v>
                </c:pt>
                <c:pt idx="6">
                  <c:v>IVA Imp</c:v>
                </c:pt>
                <c:pt idx="7">
                  <c:v>IVA Dom</c:v>
                </c:pt>
                <c:pt idx="8">
                  <c:v>ISR</c:v>
                </c:pt>
                <c:pt idx="9">
                  <c:v>ISO</c:v>
                </c:pt>
                <c:pt idx="10">
                  <c:v>Petróleo</c:v>
                </c:pt>
                <c:pt idx="11">
                  <c:v>DAI</c:v>
                </c:pt>
                <c:pt idx="12">
                  <c:v>Bebidas</c:v>
                </c:pt>
                <c:pt idx="13">
                  <c:v>Vehículos</c:v>
                </c:pt>
                <c:pt idx="14">
                  <c:v>Timbres</c:v>
                </c:pt>
                <c:pt idx="15">
                  <c:v>IPRIMA</c:v>
                </c:pt>
                <c:pt idx="16">
                  <c:v>Salidas</c:v>
                </c:pt>
                <c:pt idx="17">
                  <c:v>Tabacos</c:v>
                </c:pt>
              </c:strCache>
            </c:strRef>
          </c:cat>
          <c:val>
            <c:numRef>
              <c:f>Hoja1!$B$2:$B$19</c:f>
              <c:numCache>
                <c:formatCode>0.0%</c:formatCode>
                <c:ptCount val="18"/>
                <c:pt idx="0">
                  <c:v>-0.97608978221423115</c:v>
                </c:pt>
                <c:pt idx="1">
                  <c:v>-0.6371735267116112</c:v>
                </c:pt>
                <c:pt idx="2">
                  <c:v>0.56107678807562067</c:v>
                </c:pt>
                <c:pt idx="3">
                  <c:v>-9.8895256822616684E-2</c:v>
                </c:pt>
                <c:pt idx="4">
                  <c:v>-6.8833059837340449E-2</c:v>
                </c:pt>
                <c:pt idx="5">
                  <c:v>8.1631246113918365E-2</c:v>
                </c:pt>
                <c:pt idx="6">
                  <c:v>9.4827617192116298E-2</c:v>
                </c:pt>
                <c:pt idx="7">
                  <c:v>2.2567289937472035E-2</c:v>
                </c:pt>
                <c:pt idx="8">
                  <c:v>-4.3336433090022108E-3</c:v>
                </c:pt>
                <c:pt idx="9">
                  <c:v>6.7581766109389596E-2</c:v>
                </c:pt>
                <c:pt idx="10">
                  <c:v>3.668600264445887E-2</c:v>
                </c:pt>
                <c:pt idx="11">
                  <c:v>4.9339674079707851E-2</c:v>
                </c:pt>
                <c:pt idx="12">
                  <c:v>4.0603478569773532E-2</c:v>
                </c:pt>
                <c:pt idx="13">
                  <c:v>6.6833452144138272E-2</c:v>
                </c:pt>
                <c:pt idx="14">
                  <c:v>-9.0122110308057835E-2</c:v>
                </c:pt>
                <c:pt idx="15">
                  <c:v>-1.6297216144167681E-4</c:v>
                </c:pt>
                <c:pt idx="16">
                  <c:v>3.9132276901534313E-2</c:v>
                </c:pt>
                <c:pt idx="17">
                  <c:v>-3.0905838054222645E-2</c:v>
                </c:pt>
              </c:numCache>
            </c:numRef>
          </c:val>
          <c:extLst>
            <c:ext xmlns:c16="http://schemas.microsoft.com/office/drawing/2014/chart" uri="{C3380CC4-5D6E-409C-BE32-E72D297353CC}">
              <c16:uniqueId val="{00000000-DAF2-4DB0-903F-5CFA317A1CF5}"/>
            </c:ext>
          </c:extLst>
        </c:ser>
        <c:ser>
          <c:idx val="1"/>
          <c:order val="1"/>
          <c:tx>
            <c:strRef>
              <c:f>Hoja1!$C$1</c:f>
              <c:strCache>
                <c:ptCount val="1"/>
                <c:pt idx="0">
                  <c:v>2018-Meta Convenio</c:v>
                </c:pt>
              </c:strCache>
            </c:strRef>
          </c:tx>
          <c:spPr>
            <a:solidFill>
              <a:srgbClr val="FF5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Hoja1!$A$2:$A$19</c:f>
              <c:strCache>
                <c:ptCount val="18"/>
                <c:pt idx="0">
                  <c:v>IEMA</c:v>
                </c:pt>
                <c:pt idx="1">
                  <c:v>IETAAP</c:v>
                </c:pt>
                <c:pt idx="2">
                  <c:v>Regalías</c:v>
                </c:pt>
                <c:pt idx="3">
                  <c:v>Otros</c:v>
                </c:pt>
                <c:pt idx="4">
                  <c:v>Popiedad</c:v>
                </c:pt>
                <c:pt idx="5">
                  <c:v>Cemento</c:v>
                </c:pt>
                <c:pt idx="6">
                  <c:v>IVA Imp</c:v>
                </c:pt>
                <c:pt idx="7">
                  <c:v>IVA Dom</c:v>
                </c:pt>
                <c:pt idx="8">
                  <c:v>ISR</c:v>
                </c:pt>
                <c:pt idx="9">
                  <c:v>ISO</c:v>
                </c:pt>
                <c:pt idx="10">
                  <c:v>Petróleo</c:v>
                </c:pt>
                <c:pt idx="11">
                  <c:v>DAI</c:v>
                </c:pt>
                <c:pt idx="12">
                  <c:v>Bebidas</c:v>
                </c:pt>
                <c:pt idx="13">
                  <c:v>Vehículos</c:v>
                </c:pt>
                <c:pt idx="14">
                  <c:v>Timbres</c:v>
                </c:pt>
                <c:pt idx="15">
                  <c:v>IPRIMA</c:v>
                </c:pt>
                <c:pt idx="16">
                  <c:v>Salidas</c:v>
                </c:pt>
                <c:pt idx="17">
                  <c:v>Tabacos</c:v>
                </c:pt>
              </c:strCache>
            </c:strRef>
          </c:cat>
          <c:val>
            <c:numRef>
              <c:f>Hoja1!$C$2:$C$19</c:f>
              <c:numCache>
                <c:formatCode>0.0%</c:formatCode>
                <c:ptCount val="18"/>
                <c:pt idx="0">
                  <c:v>0</c:v>
                </c:pt>
                <c:pt idx="1">
                  <c:v>0</c:v>
                </c:pt>
                <c:pt idx="2">
                  <c:v>0.71176349612937462</c:v>
                </c:pt>
                <c:pt idx="3">
                  <c:v>0.22404908181818173</c:v>
                </c:pt>
                <c:pt idx="4">
                  <c:v>0.13770925182186255</c:v>
                </c:pt>
                <c:pt idx="5">
                  <c:v>0.12383894229717418</c:v>
                </c:pt>
                <c:pt idx="6">
                  <c:v>6.9381327554046024E-2</c:v>
                </c:pt>
                <c:pt idx="7">
                  <c:v>1.926764449653029E-2</c:v>
                </c:pt>
                <c:pt idx="8">
                  <c:v>-3.5370053133843005E-4</c:v>
                </c:pt>
                <c:pt idx="9">
                  <c:v>-2.1338613446794219E-2</c:v>
                </c:pt>
                <c:pt idx="10">
                  <c:v>-2.249129852402576E-2</c:v>
                </c:pt>
                <c:pt idx="11">
                  <c:v>-2.3304789887769961E-2</c:v>
                </c:pt>
                <c:pt idx="12">
                  <c:v>-3.3338688356164603E-2</c:v>
                </c:pt>
                <c:pt idx="13">
                  <c:v>-4.242517580960703E-2</c:v>
                </c:pt>
                <c:pt idx="14">
                  <c:v>-5.5835161920327003E-2</c:v>
                </c:pt>
                <c:pt idx="15">
                  <c:v>-7.6019867704393618E-2</c:v>
                </c:pt>
                <c:pt idx="16">
                  <c:v>-9.0881973601398713E-2</c:v>
                </c:pt>
                <c:pt idx="17">
                  <c:v>-0.15400254333751584</c:v>
                </c:pt>
              </c:numCache>
            </c:numRef>
          </c:val>
          <c:extLst>
            <c:ext xmlns:c16="http://schemas.microsoft.com/office/drawing/2014/chart" uri="{C3380CC4-5D6E-409C-BE32-E72D297353CC}">
              <c16:uniqueId val="{00000001-DAF2-4DB0-903F-5CFA317A1CF5}"/>
            </c:ext>
          </c:extLst>
        </c:ser>
        <c:dLbls>
          <c:showLegendKey val="0"/>
          <c:showVal val="0"/>
          <c:showCatName val="0"/>
          <c:showSerName val="0"/>
          <c:showPercent val="0"/>
          <c:showBubbleSize val="0"/>
        </c:dLbls>
        <c:gapWidth val="19"/>
        <c:axId val="465052888"/>
        <c:axId val="465058376"/>
      </c:barChart>
      <c:catAx>
        <c:axId val="4650528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65058376"/>
        <c:crosses val="autoZero"/>
        <c:auto val="1"/>
        <c:lblAlgn val="ctr"/>
        <c:lblOffset val="100"/>
        <c:noMultiLvlLbl val="0"/>
      </c:catAx>
      <c:valAx>
        <c:axId val="465058376"/>
        <c:scaling>
          <c:orientation val="minMax"/>
        </c:scaling>
        <c:delete val="0"/>
        <c:axPos val="b"/>
        <c:majorGridlines>
          <c:spPr>
            <a:ln w="9525" cap="flat" cmpd="sng" algn="ctr">
              <a:solidFill>
                <a:schemeClr val="dk1">
                  <a:lumMod val="15000"/>
                  <a:lumOff val="85000"/>
                </a:schemeClr>
              </a:solidFill>
              <a:round/>
            </a:ln>
            <a:effectLst/>
          </c:spPr>
        </c:majorGridlines>
        <c:numFmt formatCode="0.0%" sourceLinked="0"/>
        <c:majorTickMark val="none"/>
        <c:minorTickMark val="none"/>
        <c:tickLblPos val="low"/>
        <c:spPr>
          <a:noFill/>
          <a:ln>
            <a:noFill/>
          </a:ln>
          <a:effectLst/>
        </c:spPr>
        <c:txPr>
          <a:bodyPr rot="-6000000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65052888"/>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21485436716243794"/>
          <c:y val="0.19221207827381487"/>
          <c:w val="0.29298592884222807"/>
          <c:h val="0.1031561829258814"/>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37217027559056"/>
          <c:y val="2.4631046119235094E-2"/>
          <c:w val="0.86434391720077086"/>
          <c:h val="0.78711148878434167"/>
        </c:manualLayout>
      </c:layout>
      <c:lineChart>
        <c:grouping val="standard"/>
        <c:varyColors val="0"/>
        <c:ser>
          <c:idx val="0"/>
          <c:order val="0"/>
          <c:tx>
            <c:strRef>
              <c:f>Hoja1!$B$1</c:f>
              <c:strCache>
                <c:ptCount val="1"/>
                <c:pt idx="0">
                  <c:v>Carga Trib</c:v>
                </c:pt>
              </c:strCache>
            </c:strRef>
          </c:tx>
          <c:spPr>
            <a:ln w="22225" cap="rnd" cmpd="sng" algn="ctr">
              <a:solidFill>
                <a:schemeClr val="accent1"/>
              </a:solidFill>
              <a:round/>
            </a:ln>
            <a:effectLst/>
          </c:spPr>
          <c:marker>
            <c:symbol val="circle"/>
            <c:size val="5"/>
            <c:spPr>
              <a:solidFill>
                <a:schemeClr val="accent1"/>
              </a:solidFill>
              <a:ln w="9525" cap="flat" cmpd="sng" algn="ctr">
                <a:solidFill>
                  <a:schemeClr val="accent1"/>
                </a:solidFill>
                <a:round/>
              </a:ln>
              <a:effectLst/>
            </c:spPr>
          </c:marker>
          <c:dLbls>
            <c:dLbl>
              <c:idx val="1"/>
              <c:layout>
                <c:manualLayout>
                  <c:x val="-5.2083333333333336E-2"/>
                  <c:y val="4.12698412698412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CA-4693-92E2-CB163BAD8ED0}"/>
                </c:ext>
              </c:extLst>
            </c:dLbl>
            <c:dLbl>
              <c:idx val="2"/>
              <c:layout>
                <c:manualLayout>
                  <c:x val="-4.0251114021497822E-2"/>
                  <c:y val="5.75610514469851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CA-4693-92E2-CB163BAD8ED0}"/>
                </c:ext>
              </c:extLst>
            </c:dLbl>
            <c:dLbl>
              <c:idx val="7"/>
              <c:layout>
                <c:manualLayout>
                  <c:x val="-0.10224381498458747"/>
                  <c:y val="-1.158577412510527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CA-4693-92E2-CB163BAD8ED0}"/>
                </c:ext>
              </c:extLst>
            </c:dLbl>
            <c:spPr>
              <a:noFill/>
              <a:ln>
                <a:noFill/>
              </a:ln>
              <a:effectLst/>
            </c:spPr>
            <c:txPr>
              <a:bodyPr rot="0" spcFirstLastPara="1" vertOverflow="ellipsis" vert="horz" wrap="square" anchor="ctr" anchorCtr="1"/>
              <a:lstStyle/>
              <a:p>
                <a:pPr>
                  <a:defRPr sz="9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Hoja1!$B$2:$B$12</c:f>
              <c:numCache>
                <c:formatCode>0.0%</c:formatCode>
                <c:ptCount val="11"/>
                <c:pt idx="0">
                  <c:v>0.11274538958544501</c:v>
                </c:pt>
                <c:pt idx="1">
                  <c:v>0.10329604425687722</c:v>
                </c:pt>
                <c:pt idx="2">
                  <c:v>0.10439101115705084</c:v>
                </c:pt>
                <c:pt idx="3">
                  <c:v>0.10860079291757994</c:v>
                </c:pt>
                <c:pt idx="4">
                  <c:v>0.10848070129792285</c:v>
                </c:pt>
                <c:pt idx="5">
                  <c:v>0.10951500711726866</c:v>
                </c:pt>
                <c:pt idx="6">
                  <c:v>0.10813039512772522</c:v>
                </c:pt>
                <c:pt idx="7">
                  <c:v>0.10183774801184847</c:v>
                </c:pt>
                <c:pt idx="8">
                  <c:v>0.10362708790035348</c:v>
                </c:pt>
                <c:pt idx="9">
                  <c:v>0.10199999999999999</c:v>
                </c:pt>
                <c:pt idx="10">
                  <c:v>9.9699999999999997E-2</c:v>
                </c:pt>
              </c:numCache>
            </c:numRef>
          </c:val>
          <c:smooth val="0"/>
          <c:extLst>
            <c:ext xmlns:c16="http://schemas.microsoft.com/office/drawing/2014/chart" uri="{C3380CC4-5D6E-409C-BE32-E72D297353CC}">
              <c16:uniqueId val="{00000003-A7CA-4693-92E2-CB163BAD8ED0}"/>
            </c:ext>
          </c:extLst>
        </c:ser>
        <c:ser>
          <c:idx val="1"/>
          <c:order val="1"/>
          <c:tx>
            <c:strRef>
              <c:f>Hoja1!$C$1</c:f>
              <c:strCache>
                <c:ptCount val="1"/>
                <c:pt idx="0">
                  <c:v>Carga Trib sin Extraordinario</c:v>
                </c:pt>
              </c:strCache>
            </c:strRef>
          </c:tx>
          <c:spPr>
            <a:ln w="19050" cap="rnd" cmpd="sng" algn="ctr">
              <a:solidFill>
                <a:srgbClr val="FF0000"/>
              </a:solidFill>
              <a:prstDash val="dash"/>
              <a:round/>
            </a:ln>
            <a:effectLst/>
          </c:spPr>
          <c:marker>
            <c:symbol val="circle"/>
            <c:size val="5"/>
            <c:spPr>
              <a:solidFill>
                <a:srgbClr val="FF0000"/>
              </a:solidFill>
              <a:ln w="9525" cap="flat" cmpd="sng" algn="ctr">
                <a:solidFill>
                  <a:srgbClr val="FF0000"/>
                </a:solidFill>
                <a:round/>
              </a:ln>
              <a:effectLst/>
            </c:spPr>
          </c:marker>
          <c:dLbls>
            <c:dLbl>
              <c:idx val="2"/>
              <c:layout>
                <c:manualLayout>
                  <c:x val="8.1018518518518514E-3"/>
                  <c:y val="1.82539682539682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7CA-4693-92E2-CB163BAD8ED0}"/>
                </c:ext>
              </c:extLst>
            </c:dLbl>
            <c:dLbl>
              <c:idx val="4"/>
              <c:layout>
                <c:manualLayout>
                  <c:x val="-5.2083333333333336E-2"/>
                  <c:y val="3.41269841269841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7CA-4693-92E2-CB163BAD8ED0}"/>
                </c:ext>
              </c:extLst>
            </c:dLbl>
            <c:dLbl>
              <c:idx val="7"/>
              <c:delete val="1"/>
              <c:extLst>
                <c:ext xmlns:c15="http://schemas.microsoft.com/office/drawing/2012/chart" uri="{CE6537A1-D6FC-4f65-9D91-7224C49458BB}"/>
                <c:ext xmlns:c16="http://schemas.microsoft.com/office/drawing/2014/chart" uri="{C3380CC4-5D6E-409C-BE32-E72D297353CC}">
                  <c16:uniqueId val="{00000006-A7CA-4693-92E2-CB163BAD8ED0}"/>
                </c:ext>
              </c:extLst>
            </c:dLbl>
            <c:dLbl>
              <c:idx val="8"/>
              <c:layout>
                <c:manualLayout>
                  <c:x val="-4.7453703703703706E-2"/>
                  <c:y val="4.2063492063491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7CA-4693-92E2-CB163BAD8ED0}"/>
                </c:ext>
              </c:extLst>
            </c:dLbl>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Hoja1!$C$2:$C$12</c:f>
              <c:numCache>
                <c:formatCode>General</c:formatCode>
                <c:ptCount val="11"/>
                <c:pt idx="7" formatCode="0.0%">
                  <c:v>0.10183774801184847</c:v>
                </c:pt>
                <c:pt idx="8" formatCode="0.0%">
                  <c:v>9.9417624124784165E-2</c:v>
                </c:pt>
                <c:pt idx="9" formatCode="0.0%">
                  <c:v>0.1</c:v>
                </c:pt>
              </c:numCache>
            </c:numRef>
          </c:val>
          <c:smooth val="0"/>
          <c:extLst>
            <c:ext xmlns:c16="http://schemas.microsoft.com/office/drawing/2014/chart" uri="{C3380CC4-5D6E-409C-BE32-E72D297353CC}">
              <c16:uniqueId val="{00000008-A7CA-4693-92E2-CB163BAD8ED0}"/>
            </c:ext>
          </c:extLst>
        </c:ser>
        <c:ser>
          <c:idx val="2"/>
          <c:order val="2"/>
          <c:tx>
            <c:strRef>
              <c:f>Hoja1!$D$1</c:f>
              <c:strCache>
                <c:ptCount val="1"/>
                <c:pt idx="0">
                  <c:v>Carga promedio</c:v>
                </c:pt>
              </c:strCache>
            </c:strRef>
          </c:tx>
          <c:spPr>
            <a:ln w="19050" cap="rnd" cmpd="sng" algn="ctr">
              <a:solidFill>
                <a:srgbClr val="00B050"/>
              </a:solidFill>
              <a:prstDash val="dash"/>
              <a:round/>
            </a:ln>
            <a:effectLst/>
          </c:spPr>
          <c:marker>
            <c:symbol val="circle"/>
            <c:size val="5"/>
            <c:spPr>
              <a:solidFill>
                <a:srgbClr val="00B050"/>
              </a:solidFill>
              <a:ln w="9525" cap="flat" cmpd="sng" algn="ctr">
                <a:noFill/>
                <a:round/>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9-A7CA-4693-92E2-CB163BAD8ED0}"/>
                </c:ext>
              </c:extLst>
            </c:dLbl>
            <c:dLbl>
              <c:idx val="1"/>
              <c:delete val="1"/>
              <c:extLst>
                <c:ext xmlns:c15="http://schemas.microsoft.com/office/drawing/2012/chart" uri="{CE6537A1-D6FC-4f65-9D91-7224C49458BB}"/>
                <c:ext xmlns:c16="http://schemas.microsoft.com/office/drawing/2014/chart" uri="{C3380CC4-5D6E-409C-BE32-E72D297353CC}">
                  <c16:uniqueId val="{0000000A-A7CA-4693-92E2-CB163BAD8ED0}"/>
                </c:ext>
              </c:extLst>
            </c:dLbl>
            <c:dLbl>
              <c:idx val="2"/>
              <c:delete val="1"/>
              <c:extLst>
                <c:ext xmlns:c15="http://schemas.microsoft.com/office/drawing/2012/chart" uri="{CE6537A1-D6FC-4f65-9D91-7224C49458BB}"/>
                <c:ext xmlns:c16="http://schemas.microsoft.com/office/drawing/2014/chart" uri="{C3380CC4-5D6E-409C-BE32-E72D297353CC}">
                  <c16:uniqueId val="{0000000B-A7CA-4693-92E2-CB163BAD8ED0}"/>
                </c:ext>
              </c:extLst>
            </c:dLbl>
            <c:dLbl>
              <c:idx val="3"/>
              <c:delete val="1"/>
              <c:extLst>
                <c:ext xmlns:c15="http://schemas.microsoft.com/office/drawing/2012/chart" uri="{CE6537A1-D6FC-4f65-9D91-7224C49458BB}"/>
                <c:ext xmlns:c16="http://schemas.microsoft.com/office/drawing/2014/chart" uri="{C3380CC4-5D6E-409C-BE32-E72D297353CC}">
                  <c16:uniqueId val="{0000000C-A7CA-4693-92E2-CB163BAD8ED0}"/>
                </c:ext>
              </c:extLst>
            </c:dLbl>
            <c:dLbl>
              <c:idx val="4"/>
              <c:delete val="1"/>
              <c:extLst>
                <c:ext xmlns:c15="http://schemas.microsoft.com/office/drawing/2012/chart" uri="{CE6537A1-D6FC-4f65-9D91-7224C49458BB}"/>
                <c:ext xmlns:c16="http://schemas.microsoft.com/office/drawing/2014/chart" uri="{C3380CC4-5D6E-409C-BE32-E72D297353CC}">
                  <c16:uniqueId val="{0000000D-A7CA-4693-92E2-CB163BAD8ED0}"/>
                </c:ext>
              </c:extLst>
            </c:dLbl>
            <c:dLbl>
              <c:idx val="5"/>
              <c:delete val="1"/>
              <c:extLst>
                <c:ext xmlns:c15="http://schemas.microsoft.com/office/drawing/2012/chart" uri="{CE6537A1-D6FC-4f65-9D91-7224C49458BB}"/>
                <c:ext xmlns:c16="http://schemas.microsoft.com/office/drawing/2014/chart" uri="{C3380CC4-5D6E-409C-BE32-E72D297353CC}">
                  <c16:uniqueId val="{0000000E-A7CA-4693-92E2-CB163BAD8ED0}"/>
                </c:ext>
              </c:extLst>
            </c:dLbl>
            <c:dLbl>
              <c:idx val="6"/>
              <c:delete val="1"/>
              <c:extLst>
                <c:ext xmlns:c15="http://schemas.microsoft.com/office/drawing/2012/chart" uri="{CE6537A1-D6FC-4f65-9D91-7224C49458BB}"/>
                <c:ext xmlns:c16="http://schemas.microsoft.com/office/drawing/2014/chart" uri="{C3380CC4-5D6E-409C-BE32-E72D297353CC}">
                  <c16:uniqueId val="{0000000F-A7CA-4693-92E2-CB163BAD8ED0}"/>
                </c:ext>
              </c:extLst>
            </c:dLbl>
            <c:dLbl>
              <c:idx val="7"/>
              <c:delete val="1"/>
              <c:extLst>
                <c:ext xmlns:c15="http://schemas.microsoft.com/office/drawing/2012/chart" uri="{CE6537A1-D6FC-4f65-9D91-7224C49458BB}"/>
                <c:ext xmlns:c16="http://schemas.microsoft.com/office/drawing/2014/chart" uri="{C3380CC4-5D6E-409C-BE32-E72D297353CC}">
                  <c16:uniqueId val="{00000010-A7CA-4693-92E2-CB163BAD8ED0}"/>
                </c:ext>
              </c:extLst>
            </c:dLbl>
            <c:dLbl>
              <c:idx val="8"/>
              <c:delete val="1"/>
              <c:extLst>
                <c:ext xmlns:c15="http://schemas.microsoft.com/office/drawing/2012/chart" uri="{CE6537A1-D6FC-4f65-9D91-7224C49458BB}"/>
                <c:ext xmlns:c16="http://schemas.microsoft.com/office/drawing/2014/chart" uri="{C3380CC4-5D6E-409C-BE32-E72D297353CC}">
                  <c16:uniqueId val="{00000011-A7CA-4693-92E2-CB163BAD8ED0}"/>
                </c:ext>
              </c:extLst>
            </c:dLbl>
            <c:dLbl>
              <c:idx val="9"/>
              <c:layout>
                <c:manualLayout>
                  <c:x val="2.5354969574036511E-2"/>
                  <c:y val="-6.282252636302446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B05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7CA-4693-92E2-CB163BAD8ED0}"/>
                </c:ext>
              </c:extLst>
            </c:dLbl>
            <c:dLbl>
              <c:idx val="10"/>
              <c:delete val="1"/>
              <c:extLst>
                <c:ext xmlns:c15="http://schemas.microsoft.com/office/drawing/2012/chart" uri="{CE6537A1-D6FC-4f65-9D91-7224C49458BB}"/>
                <c:ext xmlns:c16="http://schemas.microsoft.com/office/drawing/2014/chart" uri="{C3380CC4-5D6E-409C-BE32-E72D297353CC}">
                  <c16:uniqueId val="{00000013-A7CA-4693-92E2-CB163BAD8E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rgbClr val="00B050"/>
                      </a:solidFill>
                      <a:tailEnd type="arrow"/>
                    </a:ln>
                    <a:effectLst/>
                  </c:spPr>
                </c15:leaderLines>
              </c:ext>
            </c:extLst>
          </c:dLbls>
          <c:cat>
            <c:numRef>
              <c:f>Hoja1!$A$2:$A$12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Hoja1!$D$2:$D$12</c:f>
              <c:numCache>
                <c:formatCode>0.0%</c:formatCode>
                <c:ptCount val="11"/>
                <c:pt idx="0">
                  <c:v>0.10566583430655196</c:v>
                </c:pt>
                <c:pt idx="1">
                  <c:v>0.10566583430655196</c:v>
                </c:pt>
                <c:pt idx="2">
                  <c:v>0.10566583430655196</c:v>
                </c:pt>
                <c:pt idx="3">
                  <c:v>0.10566583430655196</c:v>
                </c:pt>
                <c:pt idx="4">
                  <c:v>0.10566583430655196</c:v>
                </c:pt>
                <c:pt idx="5">
                  <c:v>0.10566583430655196</c:v>
                </c:pt>
                <c:pt idx="6">
                  <c:v>0.10566583430655196</c:v>
                </c:pt>
                <c:pt idx="7">
                  <c:v>0.10566583430655196</c:v>
                </c:pt>
                <c:pt idx="8">
                  <c:v>0.10566583430655196</c:v>
                </c:pt>
                <c:pt idx="9">
                  <c:v>0.10566583430655196</c:v>
                </c:pt>
                <c:pt idx="10">
                  <c:v>0.10566583430655196</c:v>
                </c:pt>
              </c:numCache>
            </c:numRef>
          </c:val>
          <c:smooth val="0"/>
          <c:extLst>
            <c:ext xmlns:c16="http://schemas.microsoft.com/office/drawing/2014/chart" uri="{C3380CC4-5D6E-409C-BE32-E72D297353CC}">
              <c16:uniqueId val="{00000014-A7CA-4693-92E2-CB163BAD8ED0}"/>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465054848"/>
        <c:axId val="465056024"/>
      </c:lineChart>
      <c:catAx>
        <c:axId val="465054848"/>
        <c:scaling>
          <c:orientation val="minMax"/>
        </c:scaling>
        <c:delete val="0"/>
        <c:axPos val="b"/>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65056024"/>
        <c:crosses val="autoZero"/>
        <c:auto val="1"/>
        <c:lblAlgn val="ctr"/>
        <c:lblOffset val="100"/>
        <c:noMultiLvlLbl val="0"/>
      </c:catAx>
      <c:valAx>
        <c:axId val="465056024"/>
        <c:scaling>
          <c:orientation val="minMax"/>
          <c:min val="9.5000000000000029E-2"/>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65054848"/>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56338206417677"/>
          <c:y val="5.0925925925925923E-2"/>
          <c:w val="0.78537664668899876"/>
          <c:h val="0.85784063357317952"/>
        </c:manualLayout>
      </c:layout>
      <c:barChart>
        <c:barDir val="col"/>
        <c:grouping val="clustered"/>
        <c:varyColors val="0"/>
        <c:ser>
          <c:idx val="0"/>
          <c:order val="0"/>
          <c:spPr>
            <a:solidFill>
              <a:schemeClr val="accent6"/>
            </a:solidFill>
            <a:ln>
              <a:noFill/>
            </a:ln>
            <a:effectLst/>
            <a:scene3d>
              <a:camera prst="orthographicFront"/>
              <a:lightRig rig="threePt" dir="t"/>
            </a:scene3d>
            <a:sp3d>
              <a:bevelT w="165100" prst="coolSlant"/>
            </a:sp3d>
          </c:spPr>
          <c:invertIfNegative val="0"/>
          <c:dPt>
            <c:idx val="0"/>
            <c:invertIfNegative val="0"/>
            <c:bubble3D val="0"/>
            <c:spPr>
              <a:solidFill>
                <a:schemeClr val="accent3"/>
              </a:solidFill>
              <a:ln>
                <a:noFill/>
              </a:ln>
              <a:effectLst/>
              <a:scene3d>
                <a:camera prst="orthographicFront"/>
                <a:lightRig rig="threePt" dir="t"/>
              </a:scene3d>
              <a:sp3d>
                <a:bevelT w="165100" prst="coolSlant"/>
              </a:sp3d>
            </c:spPr>
            <c:extLst>
              <c:ext xmlns:c16="http://schemas.microsoft.com/office/drawing/2014/chart" uri="{C3380CC4-5D6E-409C-BE32-E72D297353CC}">
                <c16:uniqueId val="{00000002-322C-491C-8062-544657739FAB}"/>
              </c:ext>
            </c:extLst>
          </c:dPt>
          <c:dPt>
            <c:idx val="1"/>
            <c:invertIfNegative val="0"/>
            <c:bubble3D val="0"/>
            <c:spPr>
              <a:solidFill>
                <a:schemeClr val="accent3"/>
              </a:solidFill>
              <a:ln>
                <a:noFill/>
              </a:ln>
              <a:effectLst/>
              <a:scene3d>
                <a:camera prst="orthographicFront"/>
                <a:lightRig rig="threePt" dir="t"/>
              </a:scene3d>
              <a:sp3d>
                <a:bevelT w="165100" prst="coolSlant"/>
              </a:sp3d>
            </c:spPr>
            <c:extLst>
              <c:ext xmlns:c16="http://schemas.microsoft.com/office/drawing/2014/chart" uri="{C3380CC4-5D6E-409C-BE32-E72D297353CC}">
                <c16:uniqueId val="{00000008-322C-491C-8062-544657739FAB}"/>
              </c:ext>
            </c:extLst>
          </c:dPt>
          <c:dPt>
            <c:idx val="2"/>
            <c:invertIfNegative val="0"/>
            <c:bubble3D val="0"/>
            <c:spPr>
              <a:solidFill>
                <a:srgbClr val="FE7F00"/>
              </a:solidFill>
              <a:ln>
                <a:noFill/>
              </a:ln>
              <a:effectLst/>
              <a:scene3d>
                <a:camera prst="orthographicFront"/>
                <a:lightRig rig="threePt" dir="t"/>
              </a:scene3d>
              <a:sp3d>
                <a:bevelT w="165100" prst="coolSlant"/>
              </a:sp3d>
            </c:spPr>
            <c:extLst>
              <c:ext xmlns:c16="http://schemas.microsoft.com/office/drawing/2014/chart" uri="{C3380CC4-5D6E-409C-BE32-E72D297353CC}">
                <c16:uniqueId val="{00000001-322C-491C-8062-544657739FAB}"/>
              </c:ext>
            </c:extLst>
          </c:dPt>
          <c:dLbls>
            <c:dLbl>
              <c:idx val="0"/>
              <c:layout>
                <c:manualLayout>
                  <c:x val="-2.8532771431740048E-3"/>
                  <c:y val="0.3750997034461601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2C-491C-8062-544657739FAB}"/>
                </c:ext>
              </c:extLst>
            </c:dLbl>
            <c:spPr>
              <a:noFill/>
              <a:ln>
                <a:noFill/>
              </a:ln>
              <a:effectLst/>
            </c:spPr>
            <c:txPr>
              <a:bodyPr rot="-5400000" spcFirstLastPara="1" vertOverflow="ellipsis"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Serie!$L$482:$N$482</c:f>
              <c:numCache>
                <c:formatCode>General</c:formatCode>
                <c:ptCount val="3"/>
                <c:pt idx="0">
                  <c:v>2016</c:v>
                </c:pt>
                <c:pt idx="1">
                  <c:v>2017</c:v>
                </c:pt>
                <c:pt idx="2">
                  <c:v>2018</c:v>
                </c:pt>
              </c:numCache>
            </c:numRef>
          </c:cat>
          <c:val>
            <c:numRef>
              <c:f>Serie!$L$483:$N$483</c:f>
              <c:numCache>
                <c:formatCode>_(* #,##0.0_);_(* \(#,##0.0\);_(* "-"??_);_(@_)</c:formatCode>
                <c:ptCount val="3"/>
                <c:pt idx="0">
                  <c:v>32483.267345310003</c:v>
                </c:pt>
                <c:pt idx="1">
                  <c:v>34637.251882619996</c:v>
                </c:pt>
                <c:pt idx="2">
                  <c:v>37873.385357989995</c:v>
                </c:pt>
              </c:numCache>
            </c:numRef>
          </c:val>
          <c:extLst>
            <c:ext xmlns:c16="http://schemas.microsoft.com/office/drawing/2014/chart" uri="{C3380CC4-5D6E-409C-BE32-E72D297353CC}">
              <c16:uniqueId val="{00000003-322C-491C-8062-544657739FAB}"/>
            </c:ext>
          </c:extLst>
        </c:ser>
        <c:dLbls>
          <c:showLegendKey val="0"/>
          <c:showVal val="0"/>
          <c:showCatName val="0"/>
          <c:showSerName val="0"/>
          <c:showPercent val="0"/>
          <c:showBubbleSize val="0"/>
        </c:dLbls>
        <c:gapWidth val="50"/>
        <c:overlap val="-27"/>
        <c:axId val="374166512"/>
        <c:axId val="374164872"/>
      </c:barChart>
      <c:lineChart>
        <c:grouping val="standard"/>
        <c:varyColors val="0"/>
        <c:ser>
          <c:idx val="1"/>
          <c:order val="1"/>
          <c:spPr>
            <a:ln w="38100" cap="sq" cmpd="dbl">
              <a:solidFill>
                <a:schemeClr val="accent5">
                  <a:lumMod val="50000"/>
                </a:schemeClr>
              </a:solidFill>
              <a:prstDash val="solid"/>
              <a:round/>
            </a:ln>
            <a:effectLst/>
          </c:spPr>
          <c:marker>
            <c:symbol val="circle"/>
            <c:size val="7"/>
            <c:spPr>
              <a:solidFill>
                <a:schemeClr val="accent5">
                  <a:lumMod val="50000"/>
                </a:schemeClr>
              </a:solidFill>
              <a:ln w="9525">
                <a:solidFill>
                  <a:schemeClr val="accent5"/>
                </a:solidFill>
              </a:ln>
              <a:effectLst/>
            </c:spPr>
          </c:marker>
          <c:dLbls>
            <c:dLbl>
              <c:idx val="0"/>
              <c:layout>
                <c:manualLayout>
                  <c:x val="-7.5453701475088536E-2"/>
                  <c:y val="-5.02461702091160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22C-491C-8062-544657739FAB}"/>
                </c:ext>
              </c:extLst>
            </c:dLbl>
            <c:dLbl>
              <c:idx val="1"/>
              <c:layout>
                <c:manualLayout>
                  <c:x val="-5.8436429070820299E-2"/>
                  <c:y val="-6.92336987288353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22C-491C-8062-544657739FAB}"/>
                </c:ext>
              </c:extLst>
            </c:dLbl>
            <c:dLbl>
              <c:idx val="2"/>
              <c:layout>
                <c:manualLayout>
                  <c:x val="-5.057662552006327E-2"/>
                  <c:y val="-5.92753846945602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2C-491C-8062-544657739FAB}"/>
                </c:ext>
              </c:extLst>
            </c:dLbl>
            <c:spPr>
              <a:noFill/>
              <a:ln>
                <a:noFill/>
              </a:ln>
              <a:effectLst/>
            </c:spPr>
            <c:txPr>
              <a:bodyPr rot="0" spcFirstLastPara="1" vertOverflow="ellipsis" vert="horz" wrap="square" anchor="ctr" anchorCtr="0"/>
              <a:lstStyle/>
              <a:p>
                <a:pPr algn="ct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Serie!$L$482:$N$482</c:f>
              <c:numCache>
                <c:formatCode>General</c:formatCode>
                <c:ptCount val="3"/>
                <c:pt idx="0">
                  <c:v>2016</c:v>
                </c:pt>
                <c:pt idx="1">
                  <c:v>2017</c:v>
                </c:pt>
                <c:pt idx="2">
                  <c:v>2018</c:v>
                </c:pt>
              </c:numCache>
            </c:numRef>
          </c:cat>
          <c:val>
            <c:numRef>
              <c:f>Serie!$L$484:$N$484</c:f>
              <c:numCache>
                <c:formatCode>0.0%</c:formatCode>
                <c:ptCount val="3"/>
                <c:pt idx="0">
                  <c:v>7.472038727511672E-2</c:v>
                </c:pt>
                <c:pt idx="1">
                  <c:v>6.6310587368329774E-2</c:v>
                </c:pt>
                <c:pt idx="2">
                  <c:v>9.342927915692413E-2</c:v>
                </c:pt>
              </c:numCache>
            </c:numRef>
          </c:val>
          <c:smooth val="1"/>
          <c:extLst>
            <c:ext xmlns:c16="http://schemas.microsoft.com/office/drawing/2014/chart" uri="{C3380CC4-5D6E-409C-BE32-E72D297353CC}">
              <c16:uniqueId val="{00000007-322C-491C-8062-544657739FAB}"/>
            </c:ext>
          </c:extLst>
        </c:ser>
        <c:dLbls>
          <c:showLegendKey val="0"/>
          <c:showVal val="0"/>
          <c:showCatName val="0"/>
          <c:showSerName val="0"/>
          <c:showPercent val="0"/>
          <c:showBubbleSize val="0"/>
        </c:dLbls>
        <c:marker val="1"/>
        <c:smooth val="0"/>
        <c:axId val="374169136"/>
        <c:axId val="374167168"/>
      </c:lineChart>
      <c:catAx>
        <c:axId val="37416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374164872"/>
        <c:crosses val="autoZero"/>
        <c:auto val="1"/>
        <c:lblAlgn val="ctr"/>
        <c:lblOffset val="100"/>
        <c:noMultiLvlLbl val="0"/>
      </c:catAx>
      <c:valAx>
        <c:axId val="374164872"/>
        <c:scaling>
          <c:orientation val="minMax"/>
          <c:max val="39000"/>
          <c:min val="25000"/>
        </c:scaling>
        <c:delete val="0"/>
        <c:axPos val="l"/>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374166512"/>
        <c:crosses val="autoZero"/>
        <c:crossBetween val="between"/>
      </c:valAx>
      <c:valAx>
        <c:axId val="374167168"/>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crossAx val="374169136"/>
        <c:crosses val="max"/>
        <c:crossBetween val="between"/>
      </c:valAx>
      <c:catAx>
        <c:axId val="374169136"/>
        <c:scaling>
          <c:orientation val="minMax"/>
        </c:scaling>
        <c:delete val="1"/>
        <c:axPos val="b"/>
        <c:numFmt formatCode="General" sourceLinked="1"/>
        <c:majorTickMark val="none"/>
        <c:minorTickMark val="none"/>
        <c:tickLblPos val="nextTo"/>
        <c:crossAx val="37416716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A345E-D870-4303-96F2-143D221B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9382</Words>
  <Characters>51607</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DAPF</dc:creator>
  <cp:lastModifiedBy>Saul Enrique De León Meneses</cp:lastModifiedBy>
  <cp:revision>8</cp:revision>
  <cp:lastPrinted>2019-02-01T15:44:00Z</cp:lastPrinted>
  <dcterms:created xsi:type="dcterms:W3CDTF">2019-02-01T15:36:00Z</dcterms:created>
  <dcterms:modified xsi:type="dcterms:W3CDTF">2019-02-01T15:45:00Z</dcterms:modified>
</cp:coreProperties>
</file>