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DB" w:rsidRPr="00AB63EC" w:rsidRDefault="00AD7BDB" w:rsidP="00AD7BDB">
      <w:pPr>
        <w:jc w:val="both"/>
        <w:rPr>
          <w:rFonts w:cs="Arial"/>
          <w:iCs/>
          <w:color w:val="000000"/>
        </w:rPr>
      </w:pPr>
      <w:r w:rsidRPr="00AB63EC">
        <w:rPr>
          <w:rFonts w:cs="Arial"/>
          <w:b/>
          <w:iCs/>
          <w:color w:val="000000"/>
          <w:lang w:val="es-ES"/>
        </w:rPr>
        <w:t xml:space="preserve">Dirección de Recursos Humanos </w:t>
      </w:r>
      <w:r w:rsidRPr="00AB63EC">
        <w:rPr>
          <w:rFonts w:cs="Arial"/>
          <w:iCs/>
          <w:color w:val="000000"/>
          <w:lang w:val="es-ES"/>
        </w:rPr>
        <w:t>es la dependencia responsable de administrar el sistema de gestión y desarrollo del recurso humano al servicio de la Institución para el logro de los fines y objetivos establecidos</w:t>
      </w:r>
      <w:r w:rsidRPr="00AB63EC">
        <w:rPr>
          <w:rFonts w:cs="Arial"/>
          <w:iCs/>
          <w:color w:val="000000"/>
        </w:rPr>
        <w:t>.</w:t>
      </w:r>
    </w:p>
    <w:p w:rsidR="00AD7BDB" w:rsidRPr="00AB63EC" w:rsidRDefault="00AD7BDB" w:rsidP="00AD7BDB">
      <w:pPr>
        <w:rPr>
          <w:rFonts w:cs="Arial"/>
          <w:b/>
          <w:iCs/>
          <w:color w:val="000000"/>
        </w:rPr>
      </w:pPr>
    </w:p>
    <w:p w:rsidR="00AD7BDB" w:rsidRPr="00AB63EC" w:rsidRDefault="00AD7BDB" w:rsidP="00AD7BDB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i/>
          <w:u w:val="single"/>
        </w:rPr>
      </w:pPr>
      <w:r w:rsidRPr="00AB63EC">
        <w:rPr>
          <w:rFonts w:asciiTheme="minorHAnsi" w:hAnsiTheme="minorHAnsi" w:cs="Arial"/>
          <w:b/>
          <w:i/>
          <w:u w:val="single"/>
        </w:rPr>
        <w:t>Funciones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Desarrollar, implementar y comunicar políticas, normas y procedimientos de gestión y desarrollo de recursos humanos;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Desarrollar y administrar programas de inducción, capacitación, formación y especialización del recurso humano al servicio del Ministerio;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Evaluar y actualizar la estructura de puestos de las dependencias del Ministerio y gestionar las acciones necesarias para su efectivo funcionamiento;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Diseñar y administrar el Sistema de Evaluación del Desempeño que permita mejorar el rendimiento del recurso humano del Ministerio;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Elaborar y actualizar el Manual de Descripción de Puestos del Ministerio y otros instrumentos para su efectivo funcionamiento.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Gestionar los procesos de dotación de recurso humano para ocupar puestos de trabajo en la Institución; así como la contratación de servicios técnicos y profesionales;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Administrar los procesos de compensaciones, gestión y servicios al personal y ex empleados del Ministerio;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Desarrollar actividades de bienestar laboral como atención a la salud, seguridad e higiene, culturales, deportivas, sociales y recreativas;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Administrar los beneficios y prestaciones establecidas en la normativa aplicable, en coordinación con el sindicato suscriptor del Pacto Colectivo de Condiciones de Trabajo y las instancias que corresponda;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Participar en las juntas directivas y comisiones bipartitas establecidas en Pacto Colectivo de Condiciones de Trabajo para el efectivo otorgamiento de los beneficios a los trabajadores;</w:t>
      </w:r>
    </w:p>
    <w:p w:rsidR="00AD7BDB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Coordinar el funcionamiento de los servicios del Centro Recreativo Financista y el Jardín Infantil;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Brindar asesoría y acompañamiento a las dependencias del Ministerio en los procesos de administración del clima laboral y cultura organizacional; así como impulsar planes de acción para promover un ambiente laboral sano, que contribuya al efectivo desempeño y logro de los objetivos institucionales;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Coordinar actividades y acciones con las organizaciones sindicales del Ministerio y fungir como vínculo de comunicación con el Despacho Ministerial;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Coordinar con la Dirección de Comunicación Social los procesos de comunicación interna;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Administrar los procesos de relaciones laborales, en coordinación con los directores de dependencia y las instancias correspondientes;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Administrar el sistema de información y el archivo de expedientes del personal del Ministerio;</w:t>
      </w:r>
    </w:p>
    <w:p w:rsidR="00AD7BDB" w:rsidRPr="00AB63EC" w:rsidRDefault="00AD7BDB" w:rsidP="00AD7BDB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AB63EC">
        <w:rPr>
          <w:rFonts w:asciiTheme="minorHAnsi" w:hAnsiTheme="minorHAnsi" w:cs="Arial"/>
          <w:sz w:val="24"/>
          <w:szCs w:val="24"/>
        </w:rPr>
        <w:t>Desarrollar otras funciones que le sean asignadas por la ley y el Despacho Ministerial, en el ámbito de su competencia.</w:t>
      </w:r>
    </w:p>
    <w:p w:rsidR="00AD7BDB" w:rsidRPr="00AB63EC" w:rsidRDefault="00AD7BDB" w:rsidP="00AD7BDB">
      <w:pPr>
        <w:pStyle w:val="articulo"/>
        <w:numPr>
          <w:ilvl w:val="0"/>
          <w:numId w:val="6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0" w:name="20"/>
      <w:bookmarkEnd w:id="0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ADMINISTRACIÓN DE PUESTOS.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Administración de Puestos es el órgano responsable de gestionar los procesos de administración de puestos, actualizar el Manual de Descripción de Puestos de la Institución y otros instrumentos de acuerdo con la estructura administrativa y funciones de las dependencias; gestionar acciones de puestos; administrar y coordinar el proceso de evaluación del desempeño anual del personal del Ministerio y la evaluación en periodo de prueba del personal de primer ingreso o ascenso;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6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1" w:name="133"/>
      <w:bookmarkEnd w:id="1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DOTACIÓN DE RECURSOS HUMANOS.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Dotación de Recursos Humanos es el órgano responsable de administrar los procesos de reclutamiento, selección, contratación y nombramiento de personal para cubrir los puestos vacantes de las dependencias del Ministerio; realizar los procesos de contratación de servicios técnicos y profesionales; asimismo, apoyar y asistir en las actividades que le sean asignadas por el Subdirector, Director o el Despacho Ministerial.</w:t>
      </w:r>
    </w:p>
    <w:p w:rsidR="00AD7BDB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5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2" w:name="134"/>
      <w:bookmarkEnd w:id="2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GESTIÓN DE PERSONAL.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Gestión de Personal es el órgano responsable de la administración y registro de las distintas acciones de personal, suspensiones, licencias, vacaciones, actualización de datos generales, administración de expedientes laborales de personal activo e inactivo; gestión de la asignación del bono por antigüedad del personal de la Institución; elaboración de nombramientos funcionales temporales;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5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3" w:name="135"/>
      <w:bookmarkEnd w:id="3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GESTIÓN DE NÓMINAS.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Gestión de Nóminas es el órgano responsable de la administración, registro y gestión de los procesos de pago de sueldos, salarios y honorarios, beneficios económicos, asignación de bonos por antigüedad, gestión y asignación de bonos profesionales y otros; así como la asignación o modificación de complemento personal al salario, cálculo de prestaciones laborales, ejecución de descuentos, proyección y establecimiento del financiamiento de la masa salarial anual para el personal 011, 021 y 022;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5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4" w:name="136"/>
      <w:bookmarkEnd w:id="4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FORMACIÓN DE RECURSOS HUMANOS.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Formación de Recursos Humanos es el órgano responsable de administrar los procesos de inducción, capacitación, formación y especialización del recurso humano del Ministerio y participar en las juntas directivas y comisiones bipartitas definidas en el Pacto Colectivo de Condiciones de Trabajo en que se le designe;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5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5" w:name="137"/>
      <w:bookmarkEnd w:id="5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BIENESTAR E HIGIENE LABORAL.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Bienestar e Higiene Laboral es el órgano responsable de administrar los programas de bienestar laboral, administrar el clima y cultura organizacional, así como los beneficios establecidos en la normativa aplicable; coordinar el efectivo funcionamiento del Jardín Infantil y el Centro Recreativo Financista y participar en las juntas directivas y comisiones bipartitas definidas en el Pacto Colectivo de Condiciones de Trabajo en que se le designe;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numPr>
          <w:ilvl w:val="0"/>
          <w:numId w:val="5"/>
        </w:numPr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6" w:name="138"/>
      <w:bookmarkEnd w:id="6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RELACIONES LABORALES.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Relaciones Laborales es el órgano responsable de asesorar, coordinar y gestionar los asuntos que en materia legal laboral competen a la Dirección de Recursos Humanos y al Ministerio; así como coordinar acciones con las instancias respectivas para el efectivo cumplimiento de la legislación laboral vigente en las relaciones entre el Ministerio y sus empleados y funcionarios;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Arial"/>
          <w:b/>
          <w:bCs/>
          <w:iCs/>
          <w:sz w:val="24"/>
          <w:szCs w:val="24"/>
        </w:rPr>
      </w:pPr>
      <w:bookmarkStart w:id="7" w:name="139"/>
      <w:bookmarkEnd w:id="7"/>
      <w:r w:rsidRPr="00AB63EC">
        <w:rPr>
          <w:rFonts w:asciiTheme="minorHAnsi" w:hAnsiTheme="minorHAnsi" w:cs="Arial"/>
          <w:b/>
          <w:bCs/>
          <w:iCs/>
          <w:sz w:val="24"/>
          <w:szCs w:val="24"/>
        </w:rPr>
        <w:t>DEPARTAMENTO DE SERVICIOS ADMINISTRATIVOS INTERNOS.</w:t>
      </w:r>
    </w:p>
    <w:p w:rsidR="00AD7BDB" w:rsidRPr="00AB63EC" w:rsidRDefault="00AD7BDB" w:rsidP="00AD7BDB">
      <w:pPr>
        <w:pStyle w:val="articulo"/>
        <w:tabs>
          <w:tab w:val="left" w:pos="284"/>
        </w:tabs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  <w:r w:rsidRPr="00AB63EC">
        <w:rPr>
          <w:rFonts w:asciiTheme="minorHAnsi" w:hAnsiTheme="minorHAnsi" w:cs="Arial"/>
          <w:iCs/>
          <w:sz w:val="24"/>
          <w:szCs w:val="24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servicios,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</w:t>
      </w:r>
    </w:p>
    <w:p w:rsidR="00AD7BDB" w:rsidRPr="00AB63EC" w:rsidRDefault="00AD7BDB" w:rsidP="00AD7BDB">
      <w:pPr>
        <w:pStyle w:val="articulo"/>
        <w:rPr>
          <w:rFonts w:asciiTheme="minorHAnsi" w:hAnsiTheme="minorHAnsi" w:cs="Arial"/>
          <w:iCs/>
          <w:sz w:val="24"/>
          <w:szCs w:val="24"/>
        </w:rPr>
      </w:pPr>
    </w:p>
    <w:p w:rsidR="00AD7BDB" w:rsidRPr="00AB63EC" w:rsidRDefault="00AD7BDB" w:rsidP="00AD7BDB">
      <w:pPr>
        <w:pStyle w:val="articulo"/>
        <w:rPr>
          <w:rFonts w:asciiTheme="minorHAnsi" w:hAnsiTheme="minorHAnsi" w:cs="Arial"/>
          <w:b/>
          <w:iCs/>
          <w:sz w:val="24"/>
          <w:szCs w:val="24"/>
        </w:rPr>
      </w:pPr>
    </w:p>
    <w:p w:rsidR="00AD7BDB" w:rsidRPr="00AB63EC" w:rsidRDefault="00AD7BDB" w:rsidP="00AD7BDB">
      <w:pPr>
        <w:rPr>
          <w:rFonts w:cs="Arial"/>
          <w:b/>
          <w:i/>
          <w:u w:val="single"/>
        </w:rPr>
      </w:pPr>
      <w:r w:rsidRPr="00AB63EC">
        <w:rPr>
          <w:rFonts w:cs="Arial"/>
          <w:b/>
          <w:i/>
        </w:rPr>
        <w:tab/>
        <w:t xml:space="preserve">B. </w:t>
      </w:r>
      <w:r w:rsidRPr="00AB63EC">
        <w:rPr>
          <w:rFonts w:cs="Arial"/>
          <w:b/>
          <w:i/>
          <w:u w:val="single"/>
        </w:rPr>
        <w:t>Marco Legal</w:t>
      </w:r>
    </w:p>
    <w:p w:rsidR="00AD7BDB" w:rsidRPr="00AB63EC" w:rsidRDefault="00AD7BDB" w:rsidP="00AD7BDB">
      <w:pPr>
        <w:rPr>
          <w:rFonts w:cs="Arial"/>
          <w:b/>
          <w:i/>
        </w:rPr>
      </w:pPr>
    </w:p>
    <w:p w:rsidR="00AD7BDB" w:rsidRPr="00AB63EC" w:rsidRDefault="00AD7BDB" w:rsidP="00AD7BDB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  <w:rPr>
          <w:rFonts w:cs="Arial"/>
        </w:rPr>
      </w:pPr>
      <w:r w:rsidRPr="00AB63EC">
        <w:rPr>
          <w:rFonts w:cs="Arial"/>
        </w:rPr>
        <w:t>Constitución Política de la República de Guatemala.</w:t>
      </w:r>
    </w:p>
    <w:p w:rsidR="00AD7BDB" w:rsidRPr="00AB63EC" w:rsidRDefault="00AD7BDB" w:rsidP="00AD7BDB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  <w:rPr>
          <w:rFonts w:cs="Arial"/>
        </w:rPr>
      </w:pPr>
      <w:r w:rsidRPr="00AB63EC">
        <w:rPr>
          <w:rFonts w:cs="Arial"/>
        </w:rPr>
        <w:t xml:space="preserve">Ley del Organismo Ejecutivo, Decreto No. 114-97 del Congreso de la República de Guatemala. </w:t>
      </w:r>
    </w:p>
    <w:p w:rsidR="00AD7BDB" w:rsidRDefault="00AD7BDB" w:rsidP="00AD7BDB">
      <w:pPr>
        <w:numPr>
          <w:ilvl w:val="0"/>
          <w:numId w:val="1"/>
        </w:numPr>
        <w:tabs>
          <w:tab w:val="clear" w:pos="1080"/>
          <w:tab w:val="num" w:pos="1428"/>
        </w:tabs>
        <w:spacing w:after="200"/>
        <w:ind w:left="1428"/>
        <w:jc w:val="both"/>
      </w:pPr>
      <w:r w:rsidRPr="00AB63EC">
        <w:rPr>
          <w:rFonts w:cs="Arial"/>
        </w:rPr>
        <w:t>Reglamento Orgánico Interno del Ministerio de Finanzas Públicas, Acuerdo Gubernativo Número 112-2018.</w:t>
      </w:r>
    </w:p>
    <w:p w:rsidR="00D765F9" w:rsidRDefault="00D765F9"/>
    <w:sectPr w:rsidR="00D765F9" w:rsidSect="00BE2CA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D0" w:rsidRDefault="009246D0" w:rsidP="007571CF">
      <w:r>
        <w:separator/>
      </w:r>
    </w:p>
  </w:endnote>
  <w:endnote w:type="continuationSeparator" w:id="0">
    <w:p w:rsidR="009246D0" w:rsidRDefault="009246D0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A94D9C">
    <w:pPr>
      <w:pStyle w:val="Piedepgina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40F6A2" wp14:editId="1242897C">
              <wp:simplePos x="0" y="0"/>
              <wp:positionH relativeFrom="column">
                <wp:posOffset>-403860</wp:posOffset>
              </wp:positionH>
              <wp:positionV relativeFrom="paragraph">
                <wp:posOffset>-59690</wp:posOffset>
              </wp:positionV>
              <wp:extent cx="6165215" cy="226060"/>
              <wp:effectExtent l="0" t="0" r="0" b="2540"/>
              <wp:wrapNone/>
              <wp:docPr id="470477992" name="Cuadro de texto 470477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215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4D9C" w:rsidRDefault="00A94D9C" w:rsidP="00A94D9C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0F6A2" id="_x0000_t202" coordsize="21600,21600" o:spt="202" path="m,l,21600r21600,l21600,xe">
              <v:stroke joinstyle="miter"/>
              <v:path gradientshapeok="t" o:connecttype="rect"/>
            </v:shapetype>
            <v:shape id="Cuadro de texto 470477992" o:spid="_x0000_s1028" type="#_x0000_t202" style="position:absolute;margin-left:-31.8pt;margin-top:-4.7pt;width:485.4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" filled="f" stroked="f" strokeweight=".5pt">
              <v:textbox>
                <w:txbxContent>
                  <w:p w:rsidR="00A94D9C" w:rsidRDefault="00A94D9C" w:rsidP="00A94D9C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8ª. Avenida 20-59 Zona 1, Centro Cívico, Guatemala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D0" w:rsidRDefault="009246D0" w:rsidP="007571CF">
      <w:r>
        <w:separator/>
      </w:r>
    </w:p>
  </w:footnote>
  <w:footnote w:type="continuationSeparator" w:id="0">
    <w:p w:rsidR="009246D0" w:rsidRDefault="009246D0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246D0">
    <w:pPr>
      <w:pStyle w:val="Encabezado"/>
    </w:pPr>
    <w:r>
      <w:rPr>
        <w:noProof/>
      </w:rPr>
      <w:pict w14:anchorId="2866B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BE2CA1">
    <w:pPr>
      <w:pStyle w:val="Encabezado"/>
    </w:pPr>
    <w:r>
      <w:rPr>
        <w:rFonts w:ascii="Times New Roman" w:hAnsi="Times New Roman" w:cs="Times New Roman"/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9FC562" wp14:editId="29C5CCBB">
              <wp:simplePos x="0" y="0"/>
              <wp:positionH relativeFrom="column">
                <wp:posOffset>104775</wp:posOffset>
              </wp:positionH>
              <wp:positionV relativeFrom="paragraph">
                <wp:posOffset>323215</wp:posOffset>
              </wp:positionV>
              <wp:extent cx="3549650" cy="367665"/>
              <wp:effectExtent l="0" t="0" r="0" b="0"/>
              <wp:wrapNone/>
              <wp:docPr id="314176903" name="Cuadro de texto 314176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E2CA1" w:rsidRDefault="00BE2CA1" w:rsidP="00BE2CA1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C562" id="_x0000_t202" coordsize="21600,21600" o:spt="202" path="m,l,21600r21600,l21600,xe">
              <v:stroke joinstyle="miter"/>
              <v:path gradientshapeok="t" o:connecttype="rect"/>
            </v:shapetype>
            <v:shape id="Cuadro de texto 314176903" o:spid="_x0000_s1026" type="#_x0000_t202" style="position:absolute;margin-left:8.25pt;margin-top:25.45pt;width:279.5pt;height:2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" filled="f" stroked="f" strokeweight=".5pt">
              <v:textbox>
                <w:txbxContent>
                  <w:p w:rsidR="00BE2CA1" w:rsidRDefault="00BE2CA1" w:rsidP="00BE2CA1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A94D9C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907D41" wp14:editId="7021D12C">
              <wp:simplePos x="0" y="0"/>
              <wp:positionH relativeFrom="column">
                <wp:posOffset>1957705</wp:posOffset>
              </wp:positionH>
              <wp:positionV relativeFrom="paragraph">
                <wp:posOffset>-325755</wp:posOffset>
              </wp:positionV>
              <wp:extent cx="4023360" cy="810895"/>
              <wp:effectExtent l="0" t="0" r="0" b="8255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2336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74784" w:rsidRPr="006A5333" w:rsidRDefault="00774784" w:rsidP="00774784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6A5333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RECURSOS HUMANOS</w:t>
                          </w:r>
                        </w:p>
                        <w:p w:rsidR="00774784" w:rsidRPr="006A5333" w:rsidRDefault="00774784" w:rsidP="00774784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A533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BE2CA1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Karina Ileana Pérez Mazariegos </w:t>
                          </w:r>
                        </w:p>
                        <w:p w:rsidR="00774784" w:rsidRPr="006A5333" w:rsidRDefault="00774784" w:rsidP="00774784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A5333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actualización de información: Azucena Isabel Díaz Mejicanos</w:t>
                          </w:r>
                        </w:p>
                        <w:p w:rsidR="00774784" w:rsidRPr="006A5333" w:rsidRDefault="00774784" w:rsidP="00774784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A5333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EB6A4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6255B3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A94D9C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EB6A43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="006255B3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A94D9C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774784" w:rsidRPr="006A5333" w:rsidRDefault="00774784" w:rsidP="00774784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6A5333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 xml:space="preserve">Artículo 10, numeral 1, Ley de Acceso a </w:t>
                          </w:r>
                          <w:smartTag w:uri="urn:schemas-microsoft-com:office:smarttags" w:element="PersonName">
                            <w:smartTagPr>
                              <w:attr w:name="ProductID" w:val="la Información Pública"/>
                            </w:smartTagPr>
                            <w:r w:rsidRPr="006A5333">
                              <w:rPr>
                                <w:rFonts w:cs="Futura"/>
                                <w:b/>
                                <w:color w:val="000000"/>
                                <w:sz w:val="16"/>
                                <w:szCs w:val="14"/>
                              </w:rPr>
                              <w:t>la Información Pública</w:t>
                            </w:r>
                          </w:smartTag>
                        </w:p>
                        <w:p w:rsidR="00774784" w:rsidRPr="006A5333" w:rsidRDefault="00774784" w:rsidP="00774784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6A5333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907D41" id="Cuadro de texto 1" o:spid="_x0000_s1027" type="#_x0000_t202" style="position:absolute;margin-left:154.15pt;margin-top:-25.65pt;width:316.8pt;height:6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" filled="f" stroked="f">
              <v:path arrowok="t"/>
              <v:textbox>
                <w:txbxContent>
                  <w:p w:rsidR="00774784" w:rsidRPr="006A5333" w:rsidRDefault="00774784" w:rsidP="00774784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6A5333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RECURSOS HUMANOS</w:t>
                    </w:r>
                  </w:p>
                  <w:p w:rsidR="00774784" w:rsidRPr="006A5333" w:rsidRDefault="00774784" w:rsidP="00774784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6A5333">
                      <w:rPr>
                        <w:rFonts w:cs="Futura"/>
                        <w:sz w:val="16"/>
                        <w:szCs w:val="14"/>
                      </w:rPr>
                      <w:t xml:space="preserve">Directora: Licda. </w:t>
                    </w:r>
                    <w:r w:rsidR="00BE2CA1">
                      <w:rPr>
                        <w:rFonts w:cs="Futura"/>
                        <w:sz w:val="16"/>
                        <w:szCs w:val="14"/>
                      </w:rPr>
                      <w:t xml:space="preserve">Karina Ileana Pérez Mazariegos </w:t>
                    </w:r>
                  </w:p>
                  <w:p w:rsidR="00774784" w:rsidRPr="006A5333" w:rsidRDefault="00774784" w:rsidP="00774784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6A5333">
                      <w:rPr>
                        <w:rFonts w:cs="Futura"/>
                        <w:sz w:val="16"/>
                        <w:szCs w:val="14"/>
                      </w:rPr>
                      <w:t>Responsable de actualización de información: Azucena Isabel Díaz Mejicanos</w:t>
                    </w:r>
                  </w:p>
                  <w:p w:rsidR="00774784" w:rsidRPr="006A5333" w:rsidRDefault="00774784" w:rsidP="00774784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6A5333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EB6A4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6255B3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A94D9C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EB6A43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="006255B3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A94D9C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774784" w:rsidRPr="006A5333" w:rsidRDefault="00774784" w:rsidP="00774784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6A5333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 xml:space="preserve">Artículo 10, numeral 1, Ley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6A5333">
                        <w:rPr>
                          <w:rFonts w:cs="Futura"/>
                          <w:b/>
                          <w:color w:val="000000"/>
                          <w:sz w:val="16"/>
                          <w:szCs w:val="14"/>
                        </w:rPr>
                        <w:t>la Información Pública</w:t>
                      </w:r>
                    </w:smartTag>
                  </w:p>
                  <w:p w:rsidR="00774784" w:rsidRPr="006A5333" w:rsidRDefault="00774784" w:rsidP="00774784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  <w:r w:rsidRPr="006A5333">
                      <w:rPr>
                        <w:rFonts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94D9C">
      <w:rPr>
        <w:noProof/>
        <w:lang w:eastAsia="es-GT"/>
      </w:rPr>
      <w:drawing>
        <wp:anchor distT="0" distB="0" distL="114300" distR="114300" simplePos="0" relativeHeight="251673600" behindDoc="1" locked="0" layoutInCell="1" allowOverlap="1" wp14:anchorId="5C62656A" wp14:editId="45D98B05">
          <wp:simplePos x="0" y="0"/>
          <wp:positionH relativeFrom="column">
            <wp:posOffset>-1003935</wp:posOffset>
          </wp:positionH>
          <wp:positionV relativeFrom="paragraph">
            <wp:posOffset>2226945</wp:posOffset>
          </wp:positionV>
          <wp:extent cx="7610475" cy="7210425"/>
          <wp:effectExtent l="0" t="0" r="9525" b="9525"/>
          <wp:wrapNone/>
          <wp:docPr id="140419488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21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D9C">
      <w:rPr>
        <w:noProof/>
        <w:lang w:eastAsia="es-GT"/>
      </w:rPr>
      <w:drawing>
        <wp:anchor distT="0" distB="0" distL="114300" distR="114300" simplePos="0" relativeHeight="251672576" behindDoc="0" locked="0" layoutInCell="1" allowOverlap="1" wp14:anchorId="45B70DCA" wp14:editId="1A98E975">
          <wp:simplePos x="0" y="0"/>
          <wp:positionH relativeFrom="column">
            <wp:posOffset>-937260</wp:posOffset>
          </wp:positionH>
          <wp:positionV relativeFrom="paragraph">
            <wp:posOffset>-449580</wp:posOffset>
          </wp:positionV>
          <wp:extent cx="2971165" cy="1339215"/>
          <wp:effectExtent l="0" t="0" r="635" b="0"/>
          <wp:wrapNone/>
          <wp:docPr id="4789770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246D0">
    <w:pPr>
      <w:pStyle w:val="Encabezado"/>
    </w:pPr>
    <w:r>
      <w:rPr>
        <w:noProof/>
      </w:rPr>
      <w:pict w14:anchorId="1DA10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655"/>
    <w:multiLevelType w:val="hybridMultilevel"/>
    <w:tmpl w:val="D00E631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4202"/>
    <w:multiLevelType w:val="hybridMultilevel"/>
    <w:tmpl w:val="29422A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77FF"/>
    <w:multiLevelType w:val="hybridMultilevel"/>
    <w:tmpl w:val="DC06969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3736"/>
    <w:multiLevelType w:val="hybridMultilevel"/>
    <w:tmpl w:val="B9989F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7141"/>
    <w:multiLevelType w:val="hybridMultilevel"/>
    <w:tmpl w:val="5B10EC2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1B1764"/>
    <w:multiLevelType w:val="hybridMultilevel"/>
    <w:tmpl w:val="F10E63E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5581D"/>
    <w:rsid w:val="00073CC6"/>
    <w:rsid w:val="0008226E"/>
    <w:rsid w:val="00087FAB"/>
    <w:rsid w:val="000C6CAB"/>
    <w:rsid w:val="000E7B5E"/>
    <w:rsid w:val="00127706"/>
    <w:rsid w:val="001908D1"/>
    <w:rsid w:val="00237BA3"/>
    <w:rsid w:val="0027511C"/>
    <w:rsid w:val="002A18DF"/>
    <w:rsid w:val="00381585"/>
    <w:rsid w:val="003A606B"/>
    <w:rsid w:val="004C1BB8"/>
    <w:rsid w:val="00502065"/>
    <w:rsid w:val="0050241A"/>
    <w:rsid w:val="00535B8A"/>
    <w:rsid w:val="005A5D33"/>
    <w:rsid w:val="005B1947"/>
    <w:rsid w:val="005B78BD"/>
    <w:rsid w:val="005D030F"/>
    <w:rsid w:val="005D170F"/>
    <w:rsid w:val="005D44DB"/>
    <w:rsid w:val="005D639F"/>
    <w:rsid w:val="006255B3"/>
    <w:rsid w:val="006977B6"/>
    <w:rsid w:val="006B3C54"/>
    <w:rsid w:val="006E72B2"/>
    <w:rsid w:val="00720FB6"/>
    <w:rsid w:val="007571CF"/>
    <w:rsid w:val="00774784"/>
    <w:rsid w:val="00826253"/>
    <w:rsid w:val="00864CD8"/>
    <w:rsid w:val="00866F34"/>
    <w:rsid w:val="00876D66"/>
    <w:rsid w:val="008A5888"/>
    <w:rsid w:val="008F4229"/>
    <w:rsid w:val="009246D0"/>
    <w:rsid w:val="00984F23"/>
    <w:rsid w:val="009B5E1C"/>
    <w:rsid w:val="00A42BF3"/>
    <w:rsid w:val="00A94D9C"/>
    <w:rsid w:val="00AC4C7D"/>
    <w:rsid w:val="00AD7BDB"/>
    <w:rsid w:val="00B148D5"/>
    <w:rsid w:val="00BA09E4"/>
    <w:rsid w:val="00BA1523"/>
    <w:rsid w:val="00BB7423"/>
    <w:rsid w:val="00BC2320"/>
    <w:rsid w:val="00BE2CA1"/>
    <w:rsid w:val="00C0505C"/>
    <w:rsid w:val="00C655CE"/>
    <w:rsid w:val="00C87EED"/>
    <w:rsid w:val="00CF248C"/>
    <w:rsid w:val="00CF7881"/>
    <w:rsid w:val="00D434DB"/>
    <w:rsid w:val="00D62BBF"/>
    <w:rsid w:val="00D765F9"/>
    <w:rsid w:val="00DF2093"/>
    <w:rsid w:val="00DF507D"/>
    <w:rsid w:val="00E779CA"/>
    <w:rsid w:val="00E9638C"/>
    <w:rsid w:val="00EB06A2"/>
    <w:rsid w:val="00EB6A43"/>
    <w:rsid w:val="00F21D25"/>
    <w:rsid w:val="00F23423"/>
    <w:rsid w:val="00F356D1"/>
    <w:rsid w:val="00F43708"/>
    <w:rsid w:val="00F75153"/>
    <w:rsid w:val="00F87D57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420EBCF4"/>
  <w15:docId w15:val="{4196C7C1-4FC4-4AFF-A99D-05BBCF9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D7BDB"/>
    <w:pPr>
      <w:spacing w:after="200"/>
      <w:ind w:left="708"/>
    </w:pPr>
    <w:rPr>
      <w:rFonts w:ascii="Cambria" w:eastAsia="MS Mincho" w:hAnsi="Cambria" w:cs="Times New Roman"/>
      <w:lang w:val="es-ES_tradnl" w:eastAsia="ja-JP"/>
    </w:rPr>
  </w:style>
  <w:style w:type="paragraph" w:customStyle="1" w:styleId="articulo">
    <w:name w:val="articulo"/>
    <w:basedOn w:val="Normal"/>
    <w:uiPriority w:val="99"/>
    <w:rsid w:val="00AD7BDB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AD7BDB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1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9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2024-04-11T17:24:00Z</dcterms:created>
  <dcterms:modified xsi:type="dcterms:W3CDTF">2024-04-11T17:24:00Z</dcterms:modified>
</cp:coreProperties>
</file>