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6.xml" ContentType="application/vnd.openxmlformats-officedocument.wordprocessingml.header+xml"/>
  <Override PartName="/word/footer6.xml" ContentType="application/vnd.openxmlformats-officedocument.wordprocessingml.footer+xml"/>
  <Override PartName="/word/charts/chart9.xml" ContentType="application/vnd.openxmlformats-officedocument.drawingml.chart+xml"/>
  <Override PartName="/word/header7.xml" ContentType="application/vnd.openxmlformats-officedocument.wordprocessingml.header+xml"/>
  <Override PartName="/word/footer7.xml" ContentType="application/vnd.openxmlformats-officedocument.wordprocessingml.footer+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D10" w:rsidRPr="005A0F62" w:rsidRDefault="00107D10" w:rsidP="00B9353E">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107D10" w:rsidRPr="005A0F62" w:rsidSect="00754057">
          <w:headerReference w:type="default" r:id="rId9"/>
          <w:footerReference w:type="default" r:id="rId10"/>
          <w:pgSz w:w="12240" w:h="15840" w:code="1"/>
          <w:pgMar w:top="1418" w:right="1418" w:bottom="1418" w:left="1418" w:header="709" w:footer="709" w:gutter="0"/>
          <w:cols w:space="708"/>
          <w:docGrid w:linePitch="360"/>
        </w:sectPr>
      </w:pPr>
      <w:bookmarkStart w:id="0" w:name="_GoBack"/>
      <w:bookmarkEnd w:id="0"/>
      <w:r w:rsidRPr="005A0F62">
        <w:rPr>
          <w:rFonts w:ascii="Times New Roman" w:hAnsi="Times New Roman" w:cs="Times New Roman"/>
          <w:b/>
          <w:lang w:val="es-MX"/>
        </w:rPr>
        <w:t>Déficit fiscal se mantiene en un nivel moderado en septiembre</w:t>
      </w:r>
    </w:p>
    <w:p w:rsidR="007D4651" w:rsidRPr="005A7F2C" w:rsidRDefault="007D4651" w:rsidP="007D4651">
      <w:pPr>
        <w:pStyle w:val="Sinespaciado"/>
        <w:rPr>
          <w:rFonts w:ascii="Times New Roman" w:hAnsi="Times New Roman" w:cs="Times New Roman"/>
          <w:b/>
          <w:color w:val="FF0000"/>
          <w:sz w:val="6"/>
          <w:lang w:val="es-MX"/>
        </w:rPr>
      </w:pPr>
    </w:p>
    <w:p w:rsidR="007D4651" w:rsidRPr="005A7F2C" w:rsidRDefault="007D4651" w:rsidP="007D4651">
      <w:pPr>
        <w:pStyle w:val="Sinespaciado"/>
        <w:jc w:val="center"/>
        <w:rPr>
          <w:rFonts w:ascii="Times New Roman" w:hAnsi="Times New Roman" w:cs="Times New Roman"/>
          <w:b/>
          <w:color w:val="FF0000"/>
          <w:sz w:val="12"/>
          <w:lang w:val="es-MX"/>
        </w:rPr>
      </w:pPr>
    </w:p>
    <w:p w:rsidR="009C4027" w:rsidRPr="005A7F2C" w:rsidRDefault="009C4027" w:rsidP="007D4651">
      <w:pPr>
        <w:pStyle w:val="Sinespaciado"/>
        <w:jc w:val="center"/>
        <w:rPr>
          <w:rFonts w:ascii="Times New Roman" w:hAnsi="Times New Roman" w:cs="Times New Roman"/>
          <w:b/>
          <w:color w:val="FF0000"/>
          <w:lang w:val="es-MX"/>
        </w:rPr>
        <w:sectPr w:rsidR="009C4027" w:rsidRPr="005A7F2C" w:rsidSect="004E358C">
          <w:headerReference w:type="default" r:id="rId11"/>
          <w:footerReference w:type="default" r:id="rId12"/>
          <w:type w:val="continuous"/>
          <w:pgSz w:w="12240" w:h="15840"/>
          <w:pgMar w:top="1417" w:right="1701" w:bottom="1417" w:left="1701" w:header="708" w:footer="708" w:gutter="0"/>
          <w:cols w:space="708"/>
          <w:docGrid w:linePitch="360"/>
        </w:sectPr>
      </w:pPr>
    </w:p>
    <w:p w:rsidR="005A0F62" w:rsidRDefault="005A0F62" w:rsidP="005A0F62">
      <w:pPr>
        <w:pStyle w:val="Sinespaciado"/>
        <w:ind w:left="284"/>
        <w:jc w:val="both"/>
        <w:rPr>
          <w:rFonts w:ascii="Times New Roman" w:hAnsi="Times New Roman" w:cs="Times New Roman"/>
          <w:lang w:val="es-MX"/>
        </w:rPr>
      </w:pPr>
      <w:r w:rsidRPr="00C77E67">
        <w:rPr>
          <w:rFonts w:ascii="Times New Roman" w:hAnsi="Times New Roman" w:cs="Times New Roman"/>
          <w:lang w:val="es-MX"/>
        </w:rPr>
        <w:lastRenderedPageBreak/>
        <w:t>El resultado presupuestario del gobierno central muestra un d</w:t>
      </w:r>
      <w:r>
        <w:rPr>
          <w:rFonts w:ascii="Times New Roman" w:hAnsi="Times New Roman" w:cs="Times New Roman"/>
          <w:lang w:val="es-MX"/>
        </w:rPr>
        <w:t>éficit fiscal que se sitúa al 30 de septiembre</w:t>
      </w:r>
      <w:r w:rsidRPr="00C77E67">
        <w:rPr>
          <w:rFonts w:ascii="Times New Roman" w:hAnsi="Times New Roman" w:cs="Times New Roman"/>
          <w:lang w:val="es-MX"/>
        </w:rPr>
        <w:t xml:space="preserve"> de 2021 en Q</w:t>
      </w:r>
      <w:r>
        <w:rPr>
          <w:rFonts w:ascii="Times New Roman" w:hAnsi="Times New Roman" w:cs="Times New Roman"/>
          <w:lang w:val="es-MX"/>
        </w:rPr>
        <w:t>3</w:t>
      </w:r>
      <w:proofErr w:type="gramStart"/>
      <w:r>
        <w:rPr>
          <w:rFonts w:ascii="Times New Roman" w:hAnsi="Times New Roman" w:cs="Times New Roman"/>
          <w:lang w:val="es-MX"/>
        </w:rPr>
        <w:t>,643.5</w:t>
      </w:r>
      <w:proofErr w:type="gramEnd"/>
      <w:r>
        <w:rPr>
          <w:rFonts w:ascii="Times New Roman" w:hAnsi="Times New Roman" w:cs="Times New Roman"/>
          <w:lang w:val="es-MX"/>
        </w:rPr>
        <w:t xml:space="preserve"> </w:t>
      </w:r>
      <w:r w:rsidRPr="00C77E67">
        <w:rPr>
          <w:rFonts w:ascii="Times New Roman" w:hAnsi="Times New Roman" w:cs="Times New Roman"/>
          <w:lang w:val="es-MX"/>
        </w:rPr>
        <w:t xml:space="preserve">millones. </w:t>
      </w:r>
      <w:r>
        <w:rPr>
          <w:rFonts w:ascii="Times New Roman" w:hAnsi="Times New Roman" w:cs="Times New Roman"/>
          <w:lang w:val="es-MX"/>
        </w:rPr>
        <w:t>El déficit es significativamente menor al observado en igual fecha de 2020, cuando se ubicó en Q19</w:t>
      </w:r>
      <w:proofErr w:type="gramStart"/>
      <w:r>
        <w:rPr>
          <w:rFonts w:ascii="Times New Roman" w:hAnsi="Times New Roman" w:cs="Times New Roman"/>
          <w:lang w:val="es-MX"/>
        </w:rPr>
        <w:t>,428.4</w:t>
      </w:r>
      <w:proofErr w:type="gramEnd"/>
      <w:r>
        <w:rPr>
          <w:rFonts w:ascii="Times New Roman" w:hAnsi="Times New Roman" w:cs="Times New Roman"/>
          <w:lang w:val="es-MX"/>
        </w:rPr>
        <w:t xml:space="preserve"> millones, debido a una alta ejecución del gasto público durante ese año como respuesta a la Pandemia y un bajo dinamismo en la recaudación tributaria como consecuencia de las medidas adoptadas para la contención del virus. </w:t>
      </w:r>
    </w:p>
    <w:p w:rsidR="005A0F62" w:rsidRDefault="005A0F62" w:rsidP="005A0F62">
      <w:pPr>
        <w:pStyle w:val="Sinespaciado"/>
        <w:ind w:left="284"/>
        <w:jc w:val="both"/>
        <w:rPr>
          <w:rFonts w:ascii="Times New Roman" w:hAnsi="Times New Roman" w:cs="Times New Roman"/>
          <w:lang w:val="es-MX"/>
        </w:rPr>
      </w:pPr>
    </w:p>
    <w:p w:rsidR="005A0F62" w:rsidRPr="00BE1CD4" w:rsidRDefault="005A0F62" w:rsidP="005A0F62">
      <w:pPr>
        <w:pStyle w:val="Sinespaciado"/>
        <w:ind w:left="284"/>
        <w:jc w:val="both"/>
        <w:rPr>
          <w:rFonts w:ascii="Times New Roman" w:hAnsi="Times New Roman" w:cs="Times New Roman"/>
          <w:lang w:val="es-MX"/>
        </w:rPr>
      </w:pPr>
      <w:r>
        <w:rPr>
          <w:rFonts w:ascii="Times New Roman" w:hAnsi="Times New Roman" w:cs="Times New Roman"/>
          <w:lang w:val="es-MX"/>
        </w:rPr>
        <w:t xml:space="preserve">Desde junio 2021 se ha observado una moderación del gasto público debido a que el gasto asociado al COVID-19 ha sido mucho menor al observado el año previo, el cual está relacionado principalmente a la compra </w:t>
      </w:r>
      <w:r>
        <w:rPr>
          <w:rFonts w:ascii="Times New Roman" w:hAnsi="Times New Roman" w:cs="Times New Roman"/>
          <w:lang w:val="es-MX"/>
        </w:rPr>
        <w:lastRenderedPageBreak/>
        <w:t>de la vacuna y a la atención médica. Otro factor que está influyendo en el bajo nivel observado del déficit es el</w:t>
      </w:r>
      <w:r w:rsidRPr="00C77E67">
        <w:rPr>
          <w:rFonts w:ascii="Times New Roman" w:hAnsi="Times New Roman" w:cs="Times New Roman"/>
          <w:lang w:val="es-MX"/>
        </w:rPr>
        <w:t xml:space="preserve"> buen </w:t>
      </w:r>
      <w:r w:rsidRPr="00BE1CD4">
        <w:rPr>
          <w:rFonts w:ascii="Times New Roman" w:hAnsi="Times New Roman" w:cs="Times New Roman"/>
          <w:lang w:val="es-MX"/>
        </w:rPr>
        <w:t xml:space="preserve">desempeño de la recaudación tributaria </w:t>
      </w:r>
      <w:r>
        <w:rPr>
          <w:rFonts w:ascii="Times New Roman" w:hAnsi="Times New Roman" w:cs="Times New Roman"/>
          <w:lang w:val="es-MX"/>
        </w:rPr>
        <w:t xml:space="preserve">con </w:t>
      </w:r>
      <w:r w:rsidRPr="00BE1CD4">
        <w:rPr>
          <w:rFonts w:ascii="Times New Roman" w:hAnsi="Times New Roman" w:cs="Times New Roman"/>
          <w:lang w:val="es-MX"/>
        </w:rPr>
        <w:t>una brecha posit</w:t>
      </w:r>
      <w:r>
        <w:rPr>
          <w:rFonts w:ascii="Times New Roman" w:hAnsi="Times New Roman" w:cs="Times New Roman"/>
          <w:lang w:val="es-MX"/>
        </w:rPr>
        <w:t>iva respecto a la meta de presupuesto por noveno</w:t>
      </w:r>
      <w:r w:rsidRPr="00BE1CD4">
        <w:rPr>
          <w:rFonts w:ascii="Times New Roman" w:hAnsi="Times New Roman" w:cs="Times New Roman"/>
          <w:lang w:val="es-MX"/>
        </w:rPr>
        <w:t xml:space="preserve"> mes consecutivo, producto de la reactivación económica y las medidas administrativas realizadas por SAT.</w:t>
      </w:r>
    </w:p>
    <w:p w:rsidR="005A0F62" w:rsidRPr="00BE1CD4" w:rsidRDefault="005A0F62" w:rsidP="005A0F62">
      <w:pPr>
        <w:pStyle w:val="Sinespaciado"/>
        <w:ind w:left="284"/>
        <w:jc w:val="both"/>
        <w:rPr>
          <w:rFonts w:ascii="Times New Roman" w:hAnsi="Times New Roman" w:cs="Times New Roman"/>
          <w:lang w:val="es-MX"/>
        </w:rPr>
      </w:pPr>
    </w:p>
    <w:p w:rsidR="00D112CE" w:rsidRPr="005A0F62" w:rsidRDefault="005A0F62" w:rsidP="005A0F62">
      <w:pPr>
        <w:pStyle w:val="Sinespaciado"/>
        <w:ind w:left="284"/>
        <w:jc w:val="both"/>
        <w:rPr>
          <w:rFonts w:ascii="Times New Roman" w:hAnsi="Times New Roman" w:cs="Times New Roman"/>
          <w:lang w:val="es-MX"/>
        </w:rPr>
      </w:pPr>
      <w:r w:rsidRPr="003C5B12">
        <w:rPr>
          <w:rFonts w:ascii="Times New Roman" w:hAnsi="Times New Roman" w:cs="Times New Roman"/>
          <w:lang w:val="es-MX"/>
        </w:rPr>
        <w:t xml:space="preserve">Es importante considerar que el déficit fiscal continuará ampliándose, pero de una forma más moderada de lo que se tenía previsto inicialmente, como es costumbre, se espera tenga un repunte en el último trimestre del año, aunque se </w:t>
      </w:r>
      <w:r>
        <w:rPr>
          <w:rFonts w:ascii="Times New Roman" w:hAnsi="Times New Roman" w:cs="Times New Roman"/>
          <w:lang w:val="es-MX"/>
        </w:rPr>
        <w:t>prevé</w:t>
      </w:r>
      <w:r w:rsidRPr="003C5B12">
        <w:rPr>
          <w:rFonts w:ascii="Times New Roman" w:hAnsi="Times New Roman" w:cs="Times New Roman"/>
          <w:lang w:val="es-MX"/>
        </w:rPr>
        <w:t xml:space="preserve"> que el</w:t>
      </w:r>
      <w:r>
        <w:rPr>
          <w:rFonts w:ascii="Times New Roman" w:hAnsi="Times New Roman" w:cs="Times New Roman"/>
          <w:lang w:val="es-MX"/>
        </w:rPr>
        <w:t xml:space="preserve"> buen</w:t>
      </w:r>
      <w:r w:rsidRPr="003C5B12">
        <w:rPr>
          <w:rFonts w:ascii="Times New Roman" w:hAnsi="Times New Roman" w:cs="Times New Roman"/>
          <w:lang w:val="es-MX"/>
        </w:rPr>
        <w:t xml:space="preserve"> desempeño de la</w:t>
      </w:r>
      <w:r>
        <w:rPr>
          <w:rFonts w:ascii="Times New Roman" w:hAnsi="Times New Roman" w:cs="Times New Roman"/>
          <w:lang w:val="es-MX"/>
        </w:rPr>
        <w:t xml:space="preserve"> recaudación tributaria continué en lo que resta de año</w:t>
      </w:r>
      <w:r w:rsidRPr="005D110A">
        <w:rPr>
          <w:rFonts w:ascii="Times New Roman" w:hAnsi="Times New Roman" w:cs="Times New Roman"/>
          <w:lang w:val="es-MX"/>
        </w:rPr>
        <w:t>.</w:t>
      </w:r>
    </w:p>
    <w:p w:rsidR="005A0F62" w:rsidRPr="005A0F62" w:rsidRDefault="005A0F62" w:rsidP="00E829E3">
      <w:pPr>
        <w:pStyle w:val="Sinespaciado"/>
        <w:rPr>
          <w:rFonts w:ascii="Times New Roman" w:hAnsi="Times New Roman" w:cs="Times New Roman"/>
          <w:b/>
          <w:color w:val="FF0000"/>
          <w:sz w:val="18"/>
          <w:lang w:val="es-MX"/>
        </w:rPr>
        <w:sectPr w:rsidR="005A0F62" w:rsidRPr="005A0F62" w:rsidSect="00474998">
          <w:type w:val="continuous"/>
          <w:pgSz w:w="12240" w:h="15840" w:code="1"/>
          <w:pgMar w:top="1418" w:right="1750" w:bottom="1418" w:left="1418" w:header="709" w:footer="709" w:gutter="0"/>
          <w:cols w:num="2" w:space="518"/>
          <w:docGrid w:linePitch="360"/>
        </w:sectPr>
      </w:pPr>
    </w:p>
    <w:p w:rsidR="00E829E3" w:rsidRPr="005A7F2C" w:rsidRDefault="00E829E3" w:rsidP="000704F4">
      <w:pPr>
        <w:pStyle w:val="Sinespaciado"/>
        <w:rPr>
          <w:rFonts w:ascii="Times New Roman" w:hAnsi="Times New Roman" w:cs="Times New Roman"/>
          <w:b/>
          <w:color w:val="FF0000"/>
          <w:sz w:val="2"/>
          <w:lang w:val="es-MX"/>
        </w:rPr>
      </w:pPr>
    </w:p>
    <w:p w:rsidR="005A0F62" w:rsidRDefault="005A0F62" w:rsidP="006F5EA0">
      <w:pPr>
        <w:pStyle w:val="Sinespaciado"/>
        <w:jc w:val="center"/>
        <w:rPr>
          <w:rFonts w:ascii="Times New Roman" w:hAnsi="Times New Roman" w:cs="Times New Roman"/>
          <w:b/>
          <w:sz w:val="24"/>
          <w:lang w:val="es-MX"/>
        </w:rPr>
      </w:pPr>
    </w:p>
    <w:p w:rsidR="005A0F62" w:rsidRDefault="005A0F62" w:rsidP="006F5EA0">
      <w:pPr>
        <w:pStyle w:val="Sinespaciado"/>
        <w:jc w:val="center"/>
        <w:rPr>
          <w:rFonts w:ascii="Times New Roman" w:hAnsi="Times New Roman" w:cs="Times New Roman"/>
          <w:b/>
          <w:sz w:val="24"/>
          <w:lang w:val="es-MX"/>
        </w:rPr>
      </w:pPr>
    </w:p>
    <w:p w:rsidR="006F5EA0" w:rsidRPr="005A0F62" w:rsidRDefault="00950874" w:rsidP="006F5EA0">
      <w:pPr>
        <w:pStyle w:val="Sinespaciado"/>
        <w:jc w:val="center"/>
        <w:rPr>
          <w:rFonts w:ascii="Times New Roman" w:hAnsi="Times New Roman" w:cs="Times New Roman"/>
          <w:b/>
          <w:sz w:val="24"/>
          <w:lang w:val="es-MX"/>
        </w:rPr>
      </w:pPr>
      <w:r w:rsidRPr="005A0F62">
        <w:rPr>
          <w:rFonts w:ascii="Times New Roman" w:hAnsi="Times New Roman" w:cs="Times New Roman"/>
          <w:b/>
          <w:sz w:val="24"/>
          <w:lang w:val="es-MX"/>
        </w:rPr>
        <w:t>Resultado Presupuestario</w:t>
      </w:r>
    </w:p>
    <w:p w:rsidR="00107D10" w:rsidRPr="005A0F62" w:rsidRDefault="00107D10" w:rsidP="00107D10">
      <w:pPr>
        <w:pStyle w:val="Sinespaciado"/>
        <w:jc w:val="center"/>
        <w:rPr>
          <w:rFonts w:ascii="Times New Roman" w:hAnsi="Times New Roman" w:cs="Times New Roman"/>
          <w:sz w:val="20"/>
          <w:lang w:val="es-MX"/>
        </w:rPr>
      </w:pPr>
      <w:r w:rsidRPr="005A0F62">
        <w:rPr>
          <w:rFonts w:ascii="Times New Roman" w:hAnsi="Times New Roman" w:cs="Times New Roman"/>
          <w:sz w:val="20"/>
          <w:lang w:val="es-MX"/>
        </w:rPr>
        <w:t>Cifras en millones de quetzales</w:t>
      </w:r>
    </w:p>
    <w:p w:rsidR="00107D10" w:rsidRPr="005A0F62" w:rsidRDefault="00107D10" w:rsidP="00107D10">
      <w:pPr>
        <w:pStyle w:val="Sinespaciado"/>
        <w:jc w:val="center"/>
        <w:rPr>
          <w:rFonts w:ascii="Times New Roman" w:hAnsi="Times New Roman" w:cs="Times New Roman"/>
          <w:b/>
          <w:lang w:val="es-MX"/>
        </w:rPr>
      </w:pPr>
      <w:r w:rsidRPr="005A0F62">
        <w:rPr>
          <w:rFonts w:ascii="Times New Roman" w:hAnsi="Times New Roman" w:cs="Times New Roman"/>
          <w:sz w:val="20"/>
          <w:lang w:val="es-MX"/>
        </w:rPr>
        <w:t>Al 30 de septiembre de cada año</w:t>
      </w:r>
    </w:p>
    <w:p w:rsidR="004C2A11" w:rsidRPr="005A0F62" w:rsidRDefault="005A0F62" w:rsidP="00107D10">
      <w:pPr>
        <w:pStyle w:val="Sinespaciado"/>
        <w:jc w:val="center"/>
        <w:rPr>
          <w:rFonts w:ascii="Times New Roman" w:hAnsi="Times New Roman" w:cs="Times New Roman"/>
          <w:b/>
          <w:lang w:val="es-MX"/>
        </w:rPr>
      </w:pPr>
      <w:r w:rsidRPr="005A0F62">
        <w:rPr>
          <w:noProof/>
          <w:lang w:eastAsia="es-GT"/>
        </w:rPr>
        <w:drawing>
          <wp:inline distT="0" distB="0" distL="0" distR="0" wp14:anchorId="03EE8478" wp14:editId="705C9847">
            <wp:extent cx="5836258" cy="2886324"/>
            <wp:effectExtent l="0" t="0" r="0" b="0"/>
            <wp:docPr id="2" name="Chart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F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4153A" w:rsidRPr="005A0F62" w:rsidRDefault="007F443F" w:rsidP="00E4153A">
      <w:pPr>
        <w:pStyle w:val="Sinespaciado"/>
        <w:rPr>
          <w:rFonts w:ascii="Times New Roman" w:hAnsi="Times New Roman" w:cs="Times New Roman"/>
          <w:sz w:val="16"/>
        </w:rPr>
      </w:pPr>
      <w:r w:rsidRPr="005A0F62">
        <w:rPr>
          <w:rFonts w:ascii="Times New Roman" w:hAnsi="Times New Roman" w:cs="Times New Roman"/>
          <w:sz w:val="16"/>
        </w:rPr>
        <w:t xml:space="preserve"> </w:t>
      </w:r>
      <w:r w:rsidR="004C2A11" w:rsidRPr="005A0F62">
        <w:rPr>
          <w:rFonts w:ascii="Times New Roman" w:hAnsi="Times New Roman" w:cs="Times New Roman"/>
          <w:sz w:val="16"/>
        </w:rPr>
        <w:t xml:space="preserve">                </w:t>
      </w:r>
      <w:r w:rsidR="00157C3A" w:rsidRPr="005A0F62">
        <w:rPr>
          <w:rFonts w:ascii="Times New Roman" w:hAnsi="Times New Roman" w:cs="Times New Roman"/>
          <w:sz w:val="16"/>
        </w:rPr>
        <w:t>F</w:t>
      </w:r>
      <w:r w:rsidR="007D4651" w:rsidRPr="005A0F62">
        <w:rPr>
          <w:rFonts w:ascii="Times New Roman" w:hAnsi="Times New Roman" w:cs="Times New Roman"/>
          <w:sz w:val="16"/>
        </w:rPr>
        <w:t>uente: Dirección de Análisis y Política fiscal</w:t>
      </w:r>
    </w:p>
    <w:p w:rsidR="00107D10" w:rsidRPr="005A0F62" w:rsidRDefault="00107D10" w:rsidP="00E4153A">
      <w:pPr>
        <w:pStyle w:val="Sinespaciado"/>
        <w:rPr>
          <w:rFonts w:ascii="Times New Roman" w:hAnsi="Times New Roman" w:cs="Times New Roman"/>
          <w:color w:val="FF0000"/>
          <w:sz w:val="16"/>
        </w:rPr>
      </w:pPr>
    </w:p>
    <w:p w:rsidR="00107D10" w:rsidRPr="005A0F62" w:rsidRDefault="00107D10" w:rsidP="00E4153A">
      <w:pPr>
        <w:pStyle w:val="Sinespaciado"/>
        <w:rPr>
          <w:rFonts w:ascii="Times New Roman" w:hAnsi="Times New Roman" w:cs="Times New Roman"/>
          <w:color w:val="FF0000"/>
          <w:sz w:val="16"/>
        </w:rPr>
      </w:pPr>
    </w:p>
    <w:p w:rsidR="00F54627" w:rsidRPr="005A7F2C" w:rsidRDefault="00F54627" w:rsidP="007D4651">
      <w:pPr>
        <w:spacing w:after="0" w:line="240" w:lineRule="auto"/>
        <w:rPr>
          <w:rFonts w:ascii="Times New Roman" w:hAnsi="Times New Roman" w:cs="Times New Roman"/>
          <w:color w:val="FF0000"/>
          <w:sz w:val="24"/>
          <w:szCs w:val="24"/>
          <w:lang w:val="es-MX"/>
        </w:rPr>
        <w:sectPr w:rsidR="00F54627" w:rsidRPr="005A7F2C" w:rsidSect="007D4651">
          <w:type w:val="continuous"/>
          <w:pgSz w:w="12240" w:h="15840" w:code="1"/>
          <w:pgMar w:top="1418" w:right="1418" w:bottom="1418" w:left="1418" w:header="709" w:footer="709" w:gutter="0"/>
          <w:cols w:space="708"/>
          <w:docGrid w:linePitch="360"/>
        </w:sectPr>
      </w:pPr>
    </w:p>
    <w:p w:rsidR="00B822A9" w:rsidRPr="008962F6" w:rsidRDefault="00251969" w:rsidP="00B822A9">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pPr>
      <w:r w:rsidRPr="008962F6">
        <w:rPr>
          <w:rFonts w:ascii="Times New Roman" w:hAnsi="Times New Roman" w:cs="Times New Roman"/>
          <w:b/>
          <w:lang w:val="es-MX"/>
        </w:rPr>
        <w:lastRenderedPageBreak/>
        <w:t xml:space="preserve">Meta </w:t>
      </w:r>
      <w:r w:rsidR="00B822A9" w:rsidRPr="008962F6">
        <w:rPr>
          <w:rFonts w:ascii="Times New Roman" w:hAnsi="Times New Roman" w:cs="Times New Roman"/>
          <w:b/>
          <w:lang w:val="es-MX"/>
        </w:rPr>
        <w:t xml:space="preserve">de recaudación tributaria de septiembre superó la meta de </w:t>
      </w:r>
      <w:r w:rsidRPr="008962F6">
        <w:rPr>
          <w:rFonts w:ascii="Times New Roman" w:hAnsi="Times New Roman" w:cs="Times New Roman"/>
          <w:b/>
          <w:lang w:val="es-MX"/>
        </w:rPr>
        <w:t>presupuesto,</w:t>
      </w:r>
      <w:r w:rsidR="00B822A9" w:rsidRPr="008962F6">
        <w:rPr>
          <w:rFonts w:ascii="Times New Roman" w:hAnsi="Times New Roman" w:cs="Times New Roman"/>
          <w:b/>
          <w:lang w:val="es-MX"/>
        </w:rPr>
        <w:t xml:space="preserve"> </w:t>
      </w:r>
      <w:r w:rsidRPr="008962F6">
        <w:rPr>
          <w:rFonts w:ascii="Times New Roman" w:hAnsi="Times New Roman" w:cs="Times New Roman"/>
          <w:b/>
          <w:lang w:val="es-MX"/>
        </w:rPr>
        <w:t>pero el</w:t>
      </w:r>
      <w:r w:rsidR="00B822A9" w:rsidRPr="008962F6">
        <w:rPr>
          <w:rFonts w:ascii="Times New Roman" w:hAnsi="Times New Roman" w:cs="Times New Roman"/>
          <w:b/>
          <w:lang w:val="es-MX"/>
        </w:rPr>
        <w:t xml:space="preserve"> ritmo </w:t>
      </w:r>
      <w:r w:rsidRPr="008962F6">
        <w:rPr>
          <w:rFonts w:ascii="Times New Roman" w:hAnsi="Times New Roman" w:cs="Times New Roman"/>
          <w:b/>
          <w:lang w:val="es-MX"/>
        </w:rPr>
        <w:t>de crecimiento acumulado empieza a desacelerarse</w:t>
      </w:r>
    </w:p>
    <w:p w:rsidR="00E16925" w:rsidRPr="005A7F2C" w:rsidRDefault="00E16925" w:rsidP="00E16925">
      <w:pPr>
        <w:pStyle w:val="Sinespaciado"/>
        <w:jc w:val="center"/>
        <w:rPr>
          <w:rFonts w:ascii="Times New Roman" w:hAnsi="Times New Roman" w:cs="Times New Roman"/>
          <w:b/>
          <w:color w:val="FF0000"/>
          <w:sz w:val="18"/>
          <w:lang w:val="es-MX"/>
        </w:rPr>
      </w:pPr>
    </w:p>
    <w:p w:rsidR="00343A5D" w:rsidRPr="005A7F2C" w:rsidRDefault="00343A5D" w:rsidP="00F25E21">
      <w:pPr>
        <w:pStyle w:val="Sinespaciado"/>
        <w:rPr>
          <w:rFonts w:ascii="Times New Roman" w:hAnsi="Times New Roman" w:cs="Times New Roman"/>
          <w:b/>
          <w:color w:val="FF0000"/>
          <w:sz w:val="20"/>
          <w:lang w:val="es-MX"/>
        </w:rPr>
        <w:sectPr w:rsidR="00343A5D" w:rsidRPr="005A7F2C" w:rsidSect="004E358C">
          <w:headerReference w:type="default" r:id="rId14"/>
          <w:footerReference w:type="default" r:id="rId15"/>
          <w:type w:val="continuous"/>
          <w:pgSz w:w="12240" w:h="15840"/>
          <w:pgMar w:top="1417" w:right="1701" w:bottom="1417" w:left="1701" w:header="708" w:footer="708" w:gutter="0"/>
          <w:cols w:space="708"/>
          <w:docGrid w:linePitch="360"/>
        </w:sectPr>
      </w:pPr>
    </w:p>
    <w:p w:rsidR="008962F6" w:rsidRPr="00EA145C" w:rsidRDefault="008962F6" w:rsidP="008962F6">
      <w:pPr>
        <w:spacing w:after="0" w:line="240" w:lineRule="auto"/>
        <w:jc w:val="center"/>
        <w:rPr>
          <w:rFonts w:ascii="Times New Roman" w:hAnsi="Times New Roman" w:cs="Times New Roman"/>
          <w:b/>
        </w:rPr>
      </w:pPr>
      <w:r w:rsidRPr="00EA145C">
        <w:rPr>
          <w:rFonts w:ascii="Times New Roman" w:hAnsi="Times New Roman" w:cs="Times New Roman"/>
          <w:b/>
        </w:rPr>
        <w:lastRenderedPageBreak/>
        <w:t xml:space="preserve">Variación </w:t>
      </w:r>
      <w:r>
        <w:rPr>
          <w:rFonts w:ascii="Times New Roman" w:hAnsi="Times New Roman" w:cs="Times New Roman"/>
          <w:b/>
        </w:rPr>
        <w:t>Mensual y Acumulada de la Recaudación T</w:t>
      </w:r>
      <w:r w:rsidRPr="00EA145C">
        <w:rPr>
          <w:rFonts w:ascii="Times New Roman" w:hAnsi="Times New Roman" w:cs="Times New Roman"/>
          <w:b/>
        </w:rPr>
        <w:t xml:space="preserve">ributaria </w:t>
      </w:r>
      <w:r>
        <w:rPr>
          <w:rFonts w:ascii="Times New Roman" w:hAnsi="Times New Roman" w:cs="Times New Roman"/>
          <w:b/>
        </w:rPr>
        <w:t>Total N</w:t>
      </w:r>
      <w:r w:rsidRPr="00EA145C">
        <w:rPr>
          <w:rFonts w:ascii="Times New Roman" w:hAnsi="Times New Roman" w:cs="Times New Roman"/>
          <w:b/>
        </w:rPr>
        <w:t xml:space="preserve">eta </w:t>
      </w:r>
      <w:r>
        <w:rPr>
          <w:rFonts w:ascii="Times New Roman" w:hAnsi="Times New Roman" w:cs="Times New Roman"/>
          <w:b/>
        </w:rPr>
        <w:t>observada respecto a la Meta de Presupuesto 2021</w:t>
      </w:r>
    </w:p>
    <w:p w:rsidR="008962F6" w:rsidRDefault="008962F6" w:rsidP="008962F6">
      <w:pPr>
        <w:spacing w:after="0" w:line="240" w:lineRule="auto"/>
        <w:jc w:val="center"/>
        <w:rPr>
          <w:rFonts w:ascii="Times New Roman" w:hAnsi="Times New Roman" w:cs="Times New Roman"/>
          <w:sz w:val="20"/>
        </w:rPr>
      </w:pPr>
      <w:r>
        <w:rPr>
          <w:rFonts w:ascii="Times New Roman" w:hAnsi="Times New Roman" w:cs="Times New Roman"/>
          <w:sz w:val="20"/>
        </w:rPr>
        <w:t>Porcentajes</w:t>
      </w:r>
    </w:p>
    <w:p w:rsidR="008962F6" w:rsidRDefault="008962F6" w:rsidP="008962F6">
      <w:pPr>
        <w:spacing w:after="0" w:line="240" w:lineRule="auto"/>
        <w:rPr>
          <w:rFonts w:ascii="Times New Roman" w:hAnsi="Times New Roman" w:cs="Times New Roman"/>
          <w:sz w:val="20"/>
        </w:rPr>
      </w:pPr>
      <w:r>
        <w:rPr>
          <w:rFonts w:ascii="Times New Roman" w:hAnsi="Times New Roman" w:cs="Times New Roman"/>
          <w:noProof/>
          <w:sz w:val="20"/>
          <w:lang w:eastAsia="es-GT"/>
        </w:rPr>
        <w:drawing>
          <wp:inline distT="0" distB="0" distL="0" distR="0" wp14:anchorId="4E461F33" wp14:editId="7327CC3A">
            <wp:extent cx="2785745" cy="2027583"/>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962F6" w:rsidRPr="00EA145C" w:rsidRDefault="008962F6" w:rsidP="008962F6">
      <w:pPr>
        <w:spacing w:after="0" w:line="240" w:lineRule="auto"/>
        <w:jc w:val="both"/>
        <w:rPr>
          <w:rFonts w:ascii="Times New Roman" w:hAnsi="Times New Roman" w:cs="Times New Roman"/>
        </w:rPr>
      </w:pPr>
      <w:r w:rsidRPr="00EA145C">
        <w:rPr>
          <w:rFonts w:ascii="Times New Roman" w:hAnsi="Times New Roman" w:cs="Times New Roman"/>
          <w:sz w:val="16"/>
        </w:rPr>
        <w:t>Fuente: Ministerio de Finanzas Públicas.</w:t>
      </w:r>
    </w:p>
    <w:p w:rsidR="008962F6" w:rsidRDefault="008962F6" w:rsidP="008962F6">
      <w:pPr>
        <w:spacing w:after="0" w:line="240" w:lineRule="auto"/>
        <w:jc w:val="both"/>
        <w:rPr>
          <w:rFonts w:ascii="Times New Roman" w:hAnsi="Times New Roman" w:cs="Times New Roman"/>
        </w:rPr>
      </w:pPr>
    </w:p>
    <w:p w:rsidR="008962F6" w:rsidRDefault="008962F6" w:rsidP="008962F6">
      <w:pPr>
        <w:spacing w:after="0" w:line="240" w:lineRule="auto"/>
        <w:jc w:val="both"/>
        <w:rPr>
          <w:rFonts w:ascii="Times New Roman" w:hAnsi="Times New Roman" w:cs="Times New Roman"/>
        </w:rPr>
      </w:pPr>
      <w:r w:rsidRPr="008F124E">
        <w:rPr>
          <w:rFonts w:ascii="Times New Roman" w:hAnsi="Times New Roman" w:cs="Times New Roman"/>
        </w:rPr>
        <w:t xml:space="preserve">En </w:t>
      </w:r>
      <w:r>
        <w:rPr>
          <w:rFonts w:ascii="Times New Roman" w:hAnsi="Times New Roman" w:cs="Times New Roman"/>
        </w:rPr>
        <w:t>septiembre</w:t>
      </w:r>
      <w:r w:rsidRPr="008F124E">
        <w:rPr>
          <w:rFonts w:ascii="Times New Roman" w:hAnsi="Times New Roman" w:cs="Times New Roman"/>
        </w:rPr>
        <w:t xml:space="preserve"> se recaud</w:t>
      </w:r>
      <w:r>
        <w:rPr>
          <w:rFonts w:ascii="Times New Roman" w:hAnsi="Times New Roman" w:cs="Times New Roman"/>
        </w:rPr>
        <w:t>aron</w:t>
      </w:r>
      <w:r w:rsidRPr="008F124E">
        <w:rPr>
          <w:rFonts w:ascii="Times New Roman" w:hAnsi="Times New Roman" w:cs="Times New Roman"/>
        </w:rPr>
        <w:t xml:space="preserve"> Q</w:t>
      </w:r>
      <w:r>
        <w:rPr>
          <w:rFonts w:ascii="Times New Roman" w:hAnsi="Times New Roman" w:cs="Times New Roman"/>
        </w:rPr>
        <w:t>5</w:t>
      </w:r>
      <w:proofErr w:type="gramStart"/>
      <w:r>
        <w:rPr>
          <w:rFonts w:ascii="Times New Roman" w:hAnsi="Times New Roman" w:cs="Times New Roman"/>
        </w:rPr>
        <w:t>,273.3</w:t>
      </w:r>
      <w:proofErr w:type="gramEnd"/>
      <w:r>
        <w:rPr>
          <w:rFonts w:ascii="Times New Roman" w:hAnsi="Times New Roman" w:cs="Times New Roman"/>
        </w:rPr>
        <w:t xml:space="preserve"> </w:t>
      </w:r>
      <w:r w:rsidRPr="008F124E">
        <w:rPr>
          <w:rFonts w:ascii="Times New Roman" w:hAnsi="Times New Roman" w:cs="Times New Roman"/>
        </w:rPr>
        <w:t>millones, monto superior a lo establecido en la meta de presupuesto</w:t>
      </w:r>
      <w:r>
        <w:rPr>
          <w:rFonts w:ascii="Times New Roman" w:hAnsi="Times New Roman" w:cs="Times New Roman"/>
        </w:rPr>
        <w:t xml:space="preserve"> fijada en </w:t>
      </w:r>
      <w:r w:rsidRPr="008F124E">
        <w:rPr>
          <w:rFonts w:ascii="Times New Roman" w:hAnsi="Times New Roman" w:cs="Times New Roman"/>
        </w:rPr>
        <w:t>Q</w:t>
      </w:r>
      <w:r>
        <w:rPr>
          <w:rFonts w:ascii="Times New Roman" w:hAnsi="Times New Roman" w:cs="Times New Roman"/>
        </w:rPr>
        <w:t xml:space="preserve">4,503.3 </w:t>
      </w:r>
      <w:r w:rsidRPr="008F124E">
        <w:rPr>
          <w:rFonts w:ascii="Times New Roman" w:hAnsi="Times New Roman" w:cs="Times New Roman"/>
        </w:rPr>
        <w:t>millones</w:t>
      </w:r>
      <w:r>
        <w:rPr>
          <w:rFonts w:ascii="Times New Roman" w:hAnsi="Times New Roman" w:cs="Times New Roman"/>
        </w:rPr>
        <w:t>.</w:t>
      </w:r>
      <w:r w:rsidRPr="008F124E">
        <w:rPr>
          <w:rFonts w:ascii="Times New Roman" w:hAnsi="Times New Roman" w:cs="Times New Roman"/>
        </w:rPr>
        <w:t xml:space="preserve"> </w:t>
      </w:r>
      <w:r>
        <w:rPr>
          <w:rFonts w:ascii="Times New Roman" w:hAnsi="Times New Roman" w:cs="Times New Roman"/>
        </w:rPr>
        <w:t>I</w:t>
      </w:r>
      <w:r w:rsidRPr="008F124E">
        <w:rPr>
          <w:rFonts w:ascii="Times New Roman" w:hAnsi="Times New Roman" w:cs="Times New Roman"/>
        </w:rPr>
        <w:t>mpuestos que contribuyeron en mayor cuantía para generar la brecha mensual positiva son</w:t>
      </w:r>
      <w:r>
        <w:rPr>
          <w:rFonts w:ascii="Times New Roman" w:hAnsi="Times New Roman" w:cs="Times New Roman"/>
        </w:rPr>
        <w:t>:</w:t>
      </w:r>
      <w:r w:rsidRPr="008F124E">
        <w:rPr>
          <w:rFonts w:ascii="Times New Roman" w:hAnsi="Times New Roman" w:cs="Times New Roman"/>
        </w:rPr>
        <w:t xml:space="preserve"> el ISR</w:t>
      </w:r>
      <w:r>
        <w:rPr>
          <w:rFonts w:ascii="Times New Roman" w:hAnsi="Times New Roman" w:cs="Times New Roman"/>
        </w:rPr>
        <w:t>, el IVA y los Derivados del P</w:t>
      </w:r>
      <w:r w:rsidRPr="008F124E">
        <w:rPr>
          <w:rFonts w:ascii="Times New Roman" w:hAnsi="Times New Roman" w:cs="Times New Roman"/>
        </w:rPr>
        <w:t>etróleo</w:t>
      </w:r>
      <w:r>
        <w:rPr>
          <w:rFonts w:ascii="Times New Roman" w:hAnsi="Times New Roman" w:cs="Times New Roman"/>
        </w:rPr>
        <w:t>.  I</w:t>
      </w:r>
      <w:r w:rsidRPr="008F124E">
        <w:rPr>
          <w:rFonts w:ascii="Times New Roman" w:hAnsi="Times New Roman" w:cs="Times New Roman"/>
        </w:rPr>
        <w:t>mpuestos que no alcanzaron la meta mensual son</w:t>
      </w:r>
      <w:r>
        <w:rPr>
          <w:rFonts w:ascii="Times New Roman" w:hAnsi="Times New Roman" w:cs="Times New Roman"/>
        </w:rPr>
        <w:t>:</w:t>
      </w:r>
      <w:r w:rsidRPr="008F124E">
        <w:rPr>
          <w:rFonts w:ascii="Times New Roman" w:hAnsi="Times New Roman" w:cs="Times New Roman"/>
        </w:rPr>
        <w:t xml:space="preserve"> </w:t>
      </w:r>
      <w:r>
        <w:rPr>
          <w:rFonts w:ascii="Times New Roman" w:hAnsi="Times New Roman" w:cs="Times New Roman"/>
        </w:rPr>
        <w:t>Timbres F</w:t>
      </w:r>
      <w:r w:rsidRPr="008F124E">
        <w:rPr>
          <w:rFonts w:ascii="Times New Roman" w:hAnsi="Times New Roman" w:cs="Times New Roman"/>
        </w:rPr>
        <w:t>iscales</w:t>
      </w:r>
      <w:r>
        <w:rPr>
          <w:rFonts w:ascii="Times New Roman" w:hAnsi="Times New Roman" w:cs="Times New Roman"/>
        </w:rPr>
        <w:t>, T</w:t>
      </w:r>
      <w:r w:rsidRPr="008F124E">
        <w:rPr>
          <w:rFonts w:ascii="Times New Roman" w:hAnsi="Times New Roman" w:cs="Times New Roman"/>
        </w:rPr>
        <w:t>abacos</w:t>
      </w:r>
      <w:r>
        <w:rPr>
          <w:rFonts w:ascii="Times New Roman" w:hAnsi="Times New Roman" w:cs="Times New Roman"/>
        </w:rPr>
        <w:t xml:space="preserve">, Cemento.  De los impuestos </w:t>
      </w:r>
      <w:r w:rsidRPr="008F124E">
        <w:rPr>
          <w:rFonts w:ascii="Times New Roman" w:hAnsi="Times New Roman" w:cs="Times New Roman"/>
        </w:rPr>
        <w:t xml:space="preserve">no administrados por </w:t>
      </w:r>
      <w:r>
        <w:rPr>
          <w:rFonts w:ascii="Times New Roman" w:hAnsi="Times New Roman" w:cs="Times New Roman"/>
        </w:rPr>
        <w:t xml:space="preserve">la </w:t>
      </w:r>
      <w:r w:rsidRPr="008F124E">
        <w:rPr>
          <w:rFonts w:ascii="Times New Roman" w:hAnsi="Times New Roman" w:cs="Times New Roman"/>
        </w:rPr>
        <w:t>SAT</w:t>
      </w:r>
      <w:r>
        <w:rPr>
          <w:rFonts w:ascii="Times New Roman" w:hAnsi="Times New Roman" w:cs="Times New Roman"/>
        </w:rPr>
        <w:t>, el Impuesto de Salidas del País sigue deprimido por las restricciones que aún prevalecen y que sitúa la recaudación en Q6.1 millones por debajo de la meta, y lo relativo a regalías e hidrocarburos compartibles superó la meta de presupuesto en Q7.9 millones.</w:t>
      </w:r>
    </w:p>
    <w:p w:rsidR="008962F6" w:rsidRPr="008F124E" w:rsidRDefault="008962F6" w:rsidP="008962F6">
      <w:pPr>
        <w:spacing w:after="0" w:line="240" w:lineRule="auto"/>
        <w:jc w:val="both"/>
        <w:rPr>
          <w:rFonts w:ascii="Times New Roman" w:hAnsi="Times New Roman" w:cs="Times New Roman"/>
        </w:rPr>
      </w:pPr>
      <w:r w:rsidRPr="008F124E">
        <w:rPr>
          <w:rFonts w:ascii="Times New Roman" w:hAnsi="Times New Roman" w:cs="Times New Roman"/>
        </w:rPr>
        <w:t xml:space="preserve"> </w:t>
      </w:r>
    </w:p>
    <w:p w:rsidR="008962F6" w:rsidRDefault="008962F6" w:rsidP="008962F6">
      <w:pPr>
        <w:spacing w:after="0" w:line="240" w:lineRule="auto"/>
        <w:jc w:val="both"/>
        <w:rPr>
          <w:rFonts w:ascii="Times New Roman" w:hAnsi="Times New Roman" w:cs="Times New Roman"/>
        </w:rPr>
      </w:pPr>
      <w:r>
        <w:rPr>
          <w:rFonts w:ascii="Times New Roman" w:hAnsi="Times New Roman" w:cs="Times New Roman"/>
        </w:rPr>
        <w:t>L</w:t>
      </w:r>
      <w:r w:rsidRPr="008F124E">
        <w:rPr>
          <w:rFonts w:ascii="Times New Roman" w:hAnsi="Times New Roman" w:cs="Times New Roman"/>
        </w:rPr>
        <w:t xml:space="preserve">a recaudación tributaria </w:t>
      </w:r>
      <w:r>
        <w:rPr>
          <w:rFonts w:ascii="Times New Roman" w:hAnsi="Times New Roman" w:cs="Times New Roman"/>
        </w:rPr>
        <w:t xml:space="preserve">acumulada al 30 de septiembre </w:t>
      </w:r>
      <w:r w:rsidRPr="008F124E">
        <w:rPr>
          <w:rFonts w:ascii="Times New Roman" w:hAnsi="Times New Roman" w:cs="Times New Roman"/>
        </w:rPr>
        <w:t>genera una brecha positiva de Q</w:t>
      </w:r>
      <w:r>
        <w:rPr>
          <w:rFonts w:ascii="Times New Roman" w:hAnsi="Times New Roman" w:cs="Times New Roman"/>
        </w:rPr>
        <w:t>9</w:t>
      </w:r>
      <w:proofErr w:type="gramStart"/>
      <w:r>
        <w:rPr>
          <w:rFonts w:ascii="Times New Roman" w:hAnsi="Times New Roman" w:cs="Times New Roman"/>
        </w:rPr>
        <w:t>,211.2</w:t>
      </w:r>
      <w:proofErr w:type="gramEnd"/>
      <w:r>
        <w:rPr>
          <w:rFonts w:ascii="Times New Roman" w:hAnsi="Times New Roman" w:cs="Times New Roman"/>
        </w:rPr>
        <w:t xml:space="preserve"> </w:t>
      </w:r>
      <w:r w:rsidRPr="008F124E">
        <w:rPr>
          <w:rFonts w:ascii="Times New Roman" w:hAnsi="Times New Roman" w:cs="Times New Roman"/>
        </w:rPr>
        <w:t>millones respecto a la meta de presupuesto</w:t>
      </w:r>
      <w:r>
        <w:rPr>
          <w:rFonts w:ascii="Times New Roman" w:hAnsi="Times New Roman" w:cs="Times New Roman"/>
        </w:rPr>
        <w:t>.  A</w:t>
      </w:r>
      <w:r w:rsidRPr="008F124E">
        <w:rPr>
          <w:rFonts w:ascii="Times New Roman" w:hAnsi="Times New Roman" w:cs="Times New Roman"/>
        </w:rPr>
        <w:t xml:space="preserve">spectos importantes que </w:t>
      </w:r>
      <w:r>
        <w:rPr>
          <w:rFonts w:ascii="Times New Roman" w:hAnsi="Times New Roman" w:cs="Times New Roman"/>
        </w:rPr>
        <w:t xml:space="preserve">provocaron estos </w:t>
      </w:r>
      <w:r w:rsidRPr="008F124E">
        <w:rPr>
          <w:rFonts w:ascii="Times New Roman" w:hAnsi="Times New Roman" w:cs="Times New Roman"/>
        </w:rPr>
        <w:t>resultados son los impuestos asociados al comercio exterior</w:t>
      </w:r>
      <w:r>
        <w:rPr>
          <w:rFonts w:ascii="Times New Roman" w:hAnsi="Times New Roman" w:cs="Times New Roman"/>
        </w:rPr>
        <w:t xml:space="preserve">, en </w:t>
      </w:r>
      <w:r>
        <w:rPr>
          <w:rFonts w:ascii="Times New Roman" w:hAnsi="Times New Roman" w:cs="Times New Roman"/>
        </w:rPr>
        <w:lastRenderedPageBreak/>
        <w:t>donde resalta el impacto que el precio de los combustibles tiene sobre el IVA importaciones, así como el incremento de los precios de los bienes de capital y material de construcción importados;</w:t>
      </w:r>
      <w:r w:rsidRPr="008F124E">
        <w:rPr>
          <w:rFonts w:ascii="Times New Roman" w:hAnsi="Times New Roman" w:cs="Times New Roman"/>
        </w:rPr>
        <w:t xml:space="preserve"> </w:t>
      </w:r>
      <w:r>
        <w:rPr>
          <w:rFonts w:ascii="Times New Roman" w:hAnsi="Times New Roman" w:cs="Times New Roman"/>
        </w:rPr>
        <w:t xml:space="preserve">el consumo interno; </w:t>
      </w:r>
      <w:r w:rsidRPr="008F124E">
        <w:rPr>
          <w:rFonts w:ascii="Times New Roman" w:hAnsi="Times New Roman" w:cs="Times New Roman"/>
        </w:rPr>
        <w:t>y</w:t>
      </w:r>
      <w:r>
        <w:rPr>
          <w:rFonts w:ascii="Times New Roman" w:hAnsi="Times New Roman" w:cs="Times New Roman"/>
        </w:rPr>
        <w:t>, el Impuesto a la Distribución de derivados del P</w:t>
      </w:r>
      <w:r w:rsidRPr="008F124E">
        <w:rPr>
          <w:rFonts w:ascii="Times New Roman" w:hAnsi="Times New Roman" w:cs="Times New Roman"/>
        </w:rPr>
        <w:t>etróleo</w:t>
      </w:r>
      <w:r>
        <w:rPr>
          <w:rFonts w:ascii="Times New Roman" w:hAnsi="Times New Roman" w:cs="Times New Roman"/>
        </w:rPr>
        <w:t xml:space="preserve"> por un incremento de la demanda</w:t>
      </w:r>
      <w:r w:rsidRPr="008F124E">
        <w:rPr>
          <w:rFonts w:ascii="Times New Roman" w:hAnsi="Times New Roman" w:cs="Times New Roman"/>
        </w:rPr>
        <w:t>.</w:t>
      </w:r>
    </w:p>
    <w:p w:rsidR="008962F6" w:rsidRPr="002A7979" w:rsidRDefault="008962F6" w:rsidP="008962F6">
      <w:pPr>
        <w:spacing w:after="0" w:line="240" w:lineRule="auto"/>
        <w:jc w:val="both"/>
        <w:rPr>
          <w:rFonts w:ascii="Times New Roman" w:hAnsi="Times New Roman" w:cs="Times New Roman"/>
          <w:color w:val="FF0000"/>
        </w:rPr>
      </w:pPr>
    </w:p>
    <w:p w:rsidR="008962F6" w:rsidRPr="00EA145C" w:rsidRDefault="008962F6" w:rsidP="008962F6">
      <w:pPr>
        <w:spacing w:after="0" w:line="240" w:lineRule="auto"/>
        <w:jc w:val="center"/>
        <w:rPr>
          <w:rFonts w:ascii="Times New Roman" w:hAnsi="Times New Roman" w:cs="Times New Roman"/>
          <w:b/>
        </w:rPr>
      </w:pPr>
      <w:r w:rsidRPr="00EA145C">
        <w:rPr>
          <w:rFonts w:ascii="Times New Roman" w:hAnsi="Times New Roman" w:cs="Times New Roman"/>
          <w:b/>
        </w:rPr>
        <w:t xml:space="preserve">Variación de la recaudación tributaria neta de </w:t>
      </w:r>
      <w:r>
        <w:rPr>
          <w:rFonts w:ascii="Times New Roman" w:hAnsi="Times New Roman" w:cs="Times New Roman"/>
          <w:b/>
        </w:rPr>
        <w:t>septiembre</w:t>
      </w:r>
    </w:p>
    <w:p w:rsidR="008962F6" w:rsidRPr="00EA145C" w:rsidRDefault="008962F6" w:rsidP="008962F6">
      <w:pPr>
        <w:spacing w:after="0" w:line="240" w:lineRule="auto"/>
        <w:jc w:val="center"/>
        <w:rPr>
          <w:rFonts w:ascii="Times New Roman" w:hAnsi="Times New Roman" w:cs="Times New Roman"/>
          <w:sz w:val="20"/>
        </w:rPr>
      </w:pPr>
      <w:r w:rsidRPr="00EA145C">
        <w:rPr>
          <w:rFonts w:ascii="Times New Roman" w:hAnsi="Times New Roman" w:cs="Times New Roman"/>
          <w:sz w:val="20"/>
        </w:rPr>
        <w:t>Millones de quetzales</w:t>
      </w:r>
    </w:p>
    <w:p w:rsidR="008962F6" w:rsidRPr="00EA145C" w:rsidRDefault="008962F6" w:rsidP="008962F6">
      <w:pPr>
        <w:spacing w:after="0" w:line="240" w:lineRule="auto"/>
        <w:jc w:val="center"/>
        <w:rPr>
          <w:rFonts w:ascii="Times New Roman" w:hAnsi="Times New Roman" w:cs="Times New Roman"/>
          <w:sz w:val="20"/>
        </w:rPr>
      </w:pPr>
      <w:r w:rsidRPr="00EA145C">
        <w:rPr>
          <w:rFonts w:ascii="Times New Roman" w:hAnsi="Times New Roman" w:cs="Times New Roman"/>
          <w:noProof/>
          <w:lang w:eastAsia="es-GT"/>
        </w:rPr>
        <w:drawing>
          <wp:inline distT="0" distB="0" distL="0" distR="0" wp14:anchorId="58D2D211" wp14:editId="2AD1BFE7">
            <wp:extent cx="2673985" cy="2146852"/>
            <wp:effectExtent l="0" t="0" r="0" b="6350"/>
            <wp:docPr id="241" name="Gráfico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962F6" w:rsidRPr="00EA145C" w:rsidRDefault="008962F6" w:rsidP="008962F6">
      <w:pPr>
        <w:spacing w:after="0" w:line="240" w:lineRule="auto"/>
        <w:jc w:val="both"/>
        <w:rPr>
          <w:rFonts w:ascii="Times New Roman" w:hAnsi="Times New Roman" w:cs="Times New Roman"/>
        </w:rPr>
      </w:pPr>
      <w:r w:rsidRPr="00EA145C">
        <w:rPr>
          <w:rFonts w:ascii="Times New Roman" w:hAnsi="Times New Roman" w:cs="Times New Roman"/>
          <w:sz w:val="16"/>
        </w:rPr>
        <w:t>Fuente: Ministerio de Finanzas Públicas.</w:t>
      </w:r>
    </w:p>
    <w:p w:rsidR="008962F6" w:rsidRPr="008962F6" w:rsidRDefault="008962F6" w:rsidP="008962F6">
      <w:pPr>
        <w:spacing w:after="0" w:line="240" w:lineRule="auto"/>
        <w:jc w:val="both"/>
        <w:rPr>
          <w:rFonts w:ascii="Times New Roman" w:hAnsi="Times New Roman" w:cs="Times New Roman"/>
          <w:color w:val="FF0000"/>
          <w:sz w:val="20"/>
        </w:rPr>
      </w:pPr>
    </w:p>
    <w:p w:rsidR="008962F6" w:rsidRDefault="008962F6" w:rsidP="008962F6">
      <w:pPr>
        <w:spacing w:after="0" w:line="240" w:lineRule="auto"/>
        <w:jc w:val="both"/>
        <w:rPr>
          <w:rFonts w:ascii="Times New Roman" w:hAnsi="Times New Roman" w:cs="Times New Roman"/>
        </w:rPr>
      </w:pPr>
      <w:r w:rsidRPr="008F124E">
        <w:rPr>
          <w:rFonts w:ascii="Times New Roman" w:hAnsi="Times New Roman" w:cs="Times New Roman"/>
        </w:rPr>
        <w:t>Con relación a la recaudación acumulada</w:t>
      </w:r>
      <w:r>
        <w:rPr>
          <w:rFonts w:ascii="Times New Roman" w:hAnsi="Times New Roman" w:cs="Times New Roman"/>
        </w:rPr>
        <w:t>, observada</w:t>
      </w:r>
      <w:r w:rsidRPr="008F124E">
        <w:rPr>
          <w:rFonts w:ascii="Times New Roman" w:hAnsi="Times New Roman" w:cs="Times New Roman"/>
        </w:rPr>
        <w:t xml:space="preserve"> </w:t>
      </w:r>
      <w:r>
        <w:rPr>
          <w:rFonts w:ascii="Times New Roman" w:hAnsi="Times New Roman" w:cs="Times New Roman"/>
        </w:rPr>
        <w:t xml:space="preserve">a septiembre </w:t>
      </w:r>
      <w:r w:rsidRPr="008F124E">
        <w:rPr>
          <w:rFonts w:ascii="Times New Roman" w:hAnsi="Times New Roman" w:cs="Times New Roman"/>
        </w:rPr>
        <w:t>de 2020</w:t>
      </w:r>
      <w:r>
        <w:rPr>
          <w:rFonts w:ascii="Times New Roman" w:hAnsi="Times New Roman" w:cs="Times New Roman"/>
        </w:rPr>
        <w:t>, en el presente año</w:t>
      </w:r>
      <w:r w:rsidRPr="008F124E">
        <w:rPr>
          <w:rFonts w:ascii="Times New Roman" w:hAnsi="Times New Roman" w:cs="Times New Roman"/>
        </w:rPr>
        <w:t xml:space="preserve"> se observa un crecimiento de </w:t>
      </w:r>
      <w:r>
        <w:rPr>
          <w:rFonts w:ascii="Times New Roman" w:hAnsi="Times New Roman" w:cs="Times New Roman"/>
        </w:rPr>
        <w:t>29.7</w:t>
      </w:r>
      <w:r w:rsidRPr="008F124E">
        <w:rPr>
          <w:rFonts w:ascii="Times New Roman" w:hAnsi="Times New Roman" w:cs="Times New Roman"/>
        </w:rPr>
        <w:t>% (Q1</w:t>
      </w:r>
      <w:r>
        <w:rPr>
          <w:rFonts w:ascii="Times New Roman" w:hAnsi="Times New Roman" w:cs="Times New Roman"/>
        </w:rPr>
        <w:t>2</w:t>
      </w:r>
      <w:proofErr w:type="gramStart"/>
      <w:r>
        <w:rPr>
          <w:rFonts w:ascii="Times New Roman" w:hAnsi="Times New Roman" w:cs="Times New Roman"/>
        </w:rPr>
        <w:t>,710.6</w:t>
      </w:r>
      <w:proofErr w:type="gramEnd"/>
      <w:r>
        <w:rPr>
          <w:rFonts w:ascii="Times New Roman" w:hAnsi="Times New Roman" w:cs="Times New Roman"/>
        </w:rPr>
        <w:t xml:space="preserve"> </w:t>
      </w:r>
      <w:r w:rsidRPr="008F124E">
        <w:rPr>
          <w:rFonts w:ascii="Times New Roman" w:hAnsi="Times New Roman" w:cs="Times New Roman"/>
        </w:rPr>
        <w:t>millones)</w:t>
      </w:r>
      <w:r>
        <w:rPr>
          <w:rFonts w:ascii="Times New Roman" w:hAnsi="Times New Roman" w:cs="Times New Roman"/>
        </w:rPr>
        <w:t>,</w:t>
      </w:r>
      <w:r w:rsidRPr="008F124E">
        <w:rPr>
          <w:rFonts w:ascii="Times New Roman" w:hAnsi="Times New Roman" w:cs="Times New Roman"/>
        </w:rPr>
        <w:t xml:space="preserve"> de los cuales</w:t>
      </w:r>
      <w:r>
        <w:rPr>
          <w:rFonts w:ascii="Times New Roman" w:hAnsi="Times New Roman" w:cs="Times New Roman"/>
        </w:rPr>
        <w:t>,</w:t>
      </w:r>
      <w:r w:rsidRPr="008F124E">
        <w:rPr>
          <w:rFonts w:ascii="Times New Roman" w:hAnsi="Times New Roman" w:cs="Times New Roman"/>
        </w:rPr>
        <w:t xml:space="preserve"> el 80% de esa brecha se explica por la recuperación de impuestos como el ISR, ISO</w:t>
      </w:r>
      <w:r>
        <w:rPr>
          <w:rFonts w:ascii="Times New Roman" w:hAnsi="Times New Roman" w:cs="Times New Roman"/>
        </w:rPr>
        <w:t xml:space="preserve">, </w:t>
      </w:r>
      <w:r w:rsidRPr="008F124E">
        <w:rPr>
          <w:rFonts w:ascii="Times New Roman" w:hAnsi="Times New Roman" w:cs="Times New Roman"/>
        </w:rPr>
        <w:t>IVA</w:t>
      </w:r>
      <w:r>
        <w:rPr>
          <w:rFonts w:ascii="Times New Roman" w:hAnsi="Times New Roman" w:cs="Times New Roman"/>
        </w:rPr>
        <w:t>, DAI y Derivados del Petróleo.</w:t>
      </w:r>
    </w:p>
    <w:p w:rsidR="008962F6" w:rsidRDefault="008962F6" w:rsidP="008962F6">
      <w:pPr>
        <w:spacing w:after="0" w:line="240" w:lineRule="auto"/>
        <w:jc w:val="both"/>
        <w:rPr>
          <w:rFonts w:ascii="Times New Roman" w:hAnsi="Times New Roman" w:cs="Times New Roman"/>
        </w:rPr>
      </w:pPr>
    </w:p>
    <w:p w:rsidR="008962F6" w:rsidRDefault="008962F6" w:rsidP="008962F6">
      <w:pPr>
        <w:spacing w:after="0" w:line="240" w:lineRule="auto"/>
        <w:jc w:val="both"/>
        <w:rPr>
          <w:rFonts w:ascii="Times New Roman" w:hAnsi="Times New Roman" w:cs="Times New Roman"/>
        </w:rPr>
      </w:pPr>
      <w:r w:rsidRPr="008F124E">
        <w:rPr>
          <w:rFonts w:ascii="Times New Roman" w:hAnsi="Times New Roman" w:cs="Times New Roman"/>
        </w:rPr>
        <w:t xml:space="preserve">En la comparación interanual acumulada destaca </w:t>
      </w:r>
      <w:r>
        <w:rPr>
          <w:rFonts w:ascii="Times New Roman" w:hAnsi="Times New Roman" w:cs="Times New Roman"/>
        </w:rPr>
        <w:t xml:space="preserve">también </w:t>
      </w:r>
      <w:r w:rsidRPr="008F124E">
        <w:rPr>
          <w:rFonts w:ascii="Times New Roman" w:hAnsi="Times New Roman" w:cs="Times New Roman"/>
        </w:rPr>
        <w:t>la recuperación de la recaudación asociada al comercio internacional</w:t>
      </w:r>
      <w:r>
        <w:rPr>
          <w:rFonts w:ascii="Times New Roman" w:hAnsi="Times New Roman" w:cs="Times New Roman"/>
        </w:rPr>
        <w:t>,</w:t>
      </w:r>
      <w:r w:rsidRPr="008F124E">
        <w:rPr>
          <w:rFonts w:ascii="Times New Roman" w:hAnsi="Times New Roman" w:cs="Times New Roman"/>
        </w:rPr>
        <w:t xml:space="preserve"> la cual </w:t>
      </w:r>
      <w:r>
        <w:rPr>
          <w:rFonts w:ascii="Times New Roman" w:hAnsi="Times New Roman" w:cs="Times New Roman"/>
        </w:rPr>
        <w:t>c</w:t>
      </w:r>
      <w:r w:rsidRPr="008F124E">
        <w:rPr>
          <w:rFonts w:ascii="Times New Roman" w:hAnsi="Times New Roman" w:cs="Times New Roman"/>
        </w:rPr>
        <w:t xml:space="preserve">rece </w:t>
      </w:r>
      <w:r>
        <w:rPr>
          <w:rFonts w:ascii="Times New Roman" w:hAnsi="Times New Roman" w:cs="Times New Roman"/>
        </w:rPr>
        <w:t xml:space="preserve">al 30 de septiembre </w:t>
      </w:r>
      <w:r w:rsidRPr="008F124E">
        <w:rPr>
          <w:rFonts w:ascii="Times New Roman" w:hAnsi="Times New Roman" w:cs="Times New Roman"/>
        </w:rPr>
        <w:t>en 4</w:t>
      </w:r>
      <w:r>
        <w:rPr>
          <w:rFonts w:ascii="Times New Roman" w:hAnsi="Times New Roman" w:cs="Times New Roman"/>
        </w:rPr>
        <w:t>5.7</w:t>
      </w:r>
      <w:r w:rsidRPr="008F124E">
        <w:rPr>
          <w:rFonts w:ascii="Times New Roman" w:hAnsi="Times New Roman" w:cs="Times New Roman"/>
        </w:rPr>
        <w:t>% (Q</w:t>
      </w:r>
      <w:r>
        <w:rPr>
          <w:rFonts w:ascii="Times New Roman" w:hAnsi="Times New Roman" w:cs="Times New Roman"/>
        </w:rPr>
        <w:t>5</w:t>
      </w:r>
      <w:proofErr w:type="gramStart"/>
      <w:r>
        <w:rPr>
          <w:rFonts w:ascii="Times New Roman" w:hAnsi="Times New Roman" w:cs="Times New Roman"/>
        </w:rPr>
        <w:t>,224.5</w:t>
      </w:r>
      <w:proofErr w:type="gramEnd"/>
      <w:r>
        <w:rPr>
          <w:rFonts w:ascii="Times New Roman" w:hAnsi="Times New Roman" w:cs="Times New Roman"/>
        </w:rPr>
        <w:t xml:space="preserve"> </w:t>
      </w:r>
      <w:r w:rsidRPr="008F124E">
        <w:rPr>
          <w:rFonts w:ascii="Times New Roman" w:hAnsi="Times New Roman" w:cs="Times New Roman"/>
        </w:rPr>
        <w:t>millones) respecto a lo observado en 2020</w:t>
      </w:r>
      <w:r>
        <w:rPr>
          <w:rFonts w:ascii="Times New Roman" w:hAnsi="Times New Roman" w:cs="Times New Roman"/>
        </w:rPr>
        <w:t xml:space="preserve">.  Si la comparación se realiza respecto de 2019, para </w:t>
      </w:r>
      <w:r>
        <w:rPr>
          <w:rFonts w:ascii="Times New Roman" w:hAnsi="Times New Roman" w:cs="Times New Roman"/>
        </w:rPr>
        <w:lastRenderedPageBreak/>
        <w:t xml:space="preserve">aislar el efecto de la pandemia sobre la recaudación 2020, el crecimiento es de solo 28.5%, lo que confirma que existen factores externos que están influyendo en los resultados de recaudación. </w:t>
      </w:r>
    </w:p>
    <w:p w:rsidR="008962F6" w:rsidRDefault="008962F6" w:rsidP="008962F6">
      <w:pPr>
        <w:spacing w:after="0" w:line="240" w:lineRule="auto"/>
        <w:jc w:val="both"/>
        <w:rPr>
          <w:rFonts w:ascii="Times New Roman" w:hAnsi="Times New Roman" w:cs="Times New Roman"/>
        </w:rPr>
      </w:pPr>
      <w:r>
        <w:rPr>
          <w:rFonts w:ascii="Times New Roman" w:hAnsi="Times New Roman" w:cs="Times New Roman"/>
        </w:rPr>
        <w:t xml:space="preserve"> </w:t>
      </w:r>
    </w:p>
    <w:p w:rsidR="008962F6" w:rsidRDefault="008962F6" w:rsidP="008962F6">
      <w:pPr>
        <w:spacing w:after="0" w:line="240" w:lineRule="auto"/>
        <w:jc w:val="both"/>
        <w:rPr>
          <w:rFonts w:ascii="Times New Roman" w:hAnsi="Times New Roman" w:cs="Times New Roman"/>
        </w:rPr>
      </w:pPr>
      <w:r>
        <w:rPr>
          <w:rFonts w:ascii="Times New Roman" w:hAnsi="Times New Roman" w:cs="Times New Roman"/>
        </w:rPr>
        <w:t>E</w:t>
      </w:r>
      <w:r w:rsidRPr="008F124E">
        <w:rPr>
          <w:rFonts w:ascii="Times New Roman" w:hAnsi="Times New Roman" w:cs="Times New Roman"/>
        </w:rPr>
        <w:t xml:space="preserve">l IVA de importaciones supera lo observado </w:t>
      </w:r>
      <w:r>
        <w:rPr>
          <w:rFonts w:ascii="Times New Roman" w:hAnsi="Times New Roman" w:cs="Times New Roman"/>
        </w:rPr>
        <w:t xml:space="preserve">en 2020 </w:t>
      </w:r>
      <w:r w:rsidRPr="008F124E">
        <w:rPr>
          <w:rFonts w:ascii="Times New Roman" w:hAnsi="Times New Roman" w:cs="Times New Roman"/>
        </w:rPr>
        <w:t>en Q</w:t>
      </w:r>
      <w:r>
        <w:rPr>
          <w:rFonts w:ascii="Times New Roman" w:hAnsi="Times New Roman" w:cs="Times New Roman"/>
        </w:rPr>
        <w:t>4</w:t>
      </w:r>
      <w:proofErr w:type="gramStart"/>
      <w:r>
        <w:rPr>
          <w:rFonts w:ascii="Times New Roman" w:hAnsi="Times New Roman" w:cs="Times New Roman"/>
        </w:rPr>
        <w:t>,416.5</w:t>
      </w:r>
      <w:proofErr w:type="gramEnd"/>
      <w:r>
        <w:rPr>
          <w:rFonts w:ascii="Times New Roman" w:hAnsi="Times New Roman" w:cs="Times New Roman"/>
        </w:rPr>
        <w:t xml:space="preserve"> millones </w:t>
      </w:r>
      <w:r w:rsidRPr="008F124E">
        <w:rPr>
          <w:rFonts w:ascii="Times New Roman" w:hAnsi="Times New Roman" w:cs="Times New Roman"/>
        </w:rPr>
        <w:t>y los derechos arancelarios en Q</w:t>
      </w:r>
      <w:r>
        <w:rPr>
          <w:rFonts w:ascii="Times New Roman" w:hAnsi="Times New Roman" w:cs="Times New Roman"/>
        </w:rPr>
        <w:t xml:space="preserve">808.1 </w:t>
      </w:r>
      <w:r w:rsidRPr="008F124E">
        <w:rPr>
          <w:rFonts w:ascii="Times New Roman" w:hAnsi="Times New Roman" w:cs="Times New Roman"/>
        </w:rPr>
        <w:t>millones</w:t>
      </w:r>
      <w:r>
        <w:rPr>
          <w:rFonts w:ascii="Times New Roman" w:hAnsi="Times New Roman" w:cs="Times New Roman"/>
        </w:rPr>
        <w:t>.</w:t>
      </w:r>
      <w:r w:rsidRPr="008F124E">
        <w:rPr>
          <w:rFonts w:ascii="Times New Roman" w:hAnsi="Times New Roman" w:cs="Times New Roman"/>
        </w:rPr>
        <w:t xml:space="preserve"> </w:t>
      </w:r>
      <w:r>
        <w:rPr>
          <w:rFonts w:ascii="Times New Roman" w:hAnsi="Times New Roman" w:cs="Times New Roman"/>
        </w:rPr>
        <w:t>E</w:t>
      </w:r>
      <w:r w:rsidRPr="008F124E">
        <w:rPr>
          <w:rFonts w:ascii="Times New Roman" w:hAnsi="Times New Roman" w:cs="Times New Roman"/>
        </w:rPr>
        <w:t>ste crecimiento en las cifras de comercio para el ejercicio 2021 se ve influenciado primero</w:t>
      </w:r>
      <w:r>
        <w:rPr>
          <w:rFonts w:ascii="Times New Roman" w:hAnsi="Times New Roman" w:cs="Times New Roman"/>
        </w:rPr>
        <w:t>,</w:t>
      </w:r>
      <w:r w:rsidRPr="008F124E">
        <w:rPr>
          <w:rFonts w:ascii="Times New Roman" w:hAnsi="Times New Roman" w:cs="Times New Roman"/>
        </w:rPr>
        <w:t xml:space="preserve"> por el efecto de la pandemia del virus SARS-COV2 en 2020, año en el cual se contrajeron las negociaciones comerciales producto de las medidas adoptadas por los gobiernos, segundo</w:t>
      </w:r>
      <w:r>
        <w:rPr>
          <w:rFonts w:ascii="Times New Roman" w:hAnsi="Times New Roman" w:cs="Times New Roman"/>
        </w:rPr>
        <w:t>,</w:t>
      </w:r>
      <w:r w:rsidRPr="008F124E">
        <w:rPr>
          <w:rFonts w:ascii="Times New Roman" w:hAnsi="Times New Roman" w:cs="Times New Roman"/>
        </w:rPr>
        <w:t xml:space="preserve"> por el esfuerzo y trabajo realizado por la </w:t>
      </w:r>
      <w:r>
        <w:rPr>
          <w:rFonts w:ascii="Times New Roman" w:hAnsi="Times New Roman" w:cs="Times New Roman"/>
        </w:rPr>
        <w:t>S</w:t>
      </w:r>
      <w:r w:rsidRPr="008F124E">
        <w:rPr>
          <w:rFonts w:ascii="Times New Roman" w:hAnsi="Times New Roman" w:cs="Times New Roman"/>
        </w:rPr>
        <w:t xml:space="preserve">uperintendencia de </w:t>
      </w:r>
      <w:r>
        <w:rPr>
          <w:rFonts w:ascii="Times New Roman" w:hAnsi="Times New Roman" w:cs="Times New Roman"/>
        </w:rPr>
        <w:t>A</w:t>
      </w:r>
      <w:r w:rsidRPr="008F124E">
        <w:rPr>
          <w:rFonts w:ascii="Times New Roman" w:hAnsi="Times New Roman" w:cs="Times New Roman"/>
        </w:rPr>
        <w:t xml:space="preserve">dministración </w:t>
      </w:r>
      <w:r>
        <w:rPr>
          <w:rFonts w:ascii="Times New Roman" w:hAnsi="Times New Roman" w:cs="Times New Roman"/>
        </w:rPr>
        <w:t>T</w:t>
      </w:r>
      <w:r w:rsidRPr="008F124E">
        <w:rPr>
          <w:rFonts w:ascii="Times New Roman" w:hAnsi="Times New Roman" w:cs="Times New Roman"/>
        </w:rPr>
        <w:t>ributaria en el ramo de aduanas</w:t>
      </w:r>
      <w:r>
        <w:rPr>
          <w:rFonts w:ascii="Times New Roman" w:hAnsi="Times New Roman" w:cs="Times New Roman"/>
        </w:rPr>
        <w:t>,</w:t>
      </w:r>
      <w:r w:rsidRPr="008F124E">
        <w:rPr>
          <w:rFonts w:ascii="Times New Roman" w:hAnsi="Times New Roman" w:cs="Times New Roman"/>
        </w:rPr>
        <w:t xml:space="preserve"> en </w:t>
      </w:r>
      <w:r>
        <w:rPr>
          <w:rFonts w:ascii="Times New Roman" w:hAnsi="Times New Roman" w:cs="Times New Roman"/>
        </w:rPr>
        <w:t>donde</w:t>
      </w:r>
      <w:r w:rsidRPr="008F124E">
        <w:rPr>
          <w:rFonts w:ascii="Times New Roman" w:hAnsi="Times New Roman" w:cs="Times New Roman"/>
        </w:rPr>
        <w:t xml:space="preserve"> ha implementado acciones para combatir la defraudación y el contrabando</w:t>
      </w:r>
      <w:r>
        <w:rPr>
          <w:rFonts w:ascii="Times New Roman" w:hAnsi="Times New Roman" w:cs="Times New Roman"/>
        </w:rPr>
        <w:t xml:space="preserve"> </w:t>
      </w:r>
      <w:r w:rsidRPr="008F124E">
        <w:rPr>
          <w:rFonts w:ascii="Times New Roman" w:hAnsi="Times New Roman" w:cs="Times New Roman"/>
        </w:rPr>
        <w:t xml:space="preserve">tales como, mayor eficiencia </w:t>
      </w:r>
      <w:r>
        <w:rPr>
          <w:rFonts w:ascii="Times New Roman" w:hAnsi="Times New Roman" w:cs="Times New Roman"/>
        </w:rPr>
        <w:t xml:space="preserve">del control aduanero, seguimiento del plan de combate al contrabando aduanero mediante la puesta en marcha de puestos de control interinstitucional (a la fecha van 5) a la simplificación, automatización y transparencia en el ingreso y salida de la carga vía aérea entre otros. </w:t>
      </w:r>
    </w:p>
    <w:p w:rsidR="008962F6" w:rsidRPr="008962F6" w:rsidRDefault="008962F6" w:rsidP="008962F6">
      <w:pPr>
        <w:spacing w:after="0" w:line="240" w:lineRule="auto"/>
        <w:jc w:val="both"/>
        <w:rPr>
          <w:rFonts w:ascii="Times New Roman" w:hAnsi="Times New Roman" w:cs="Times New Roman"/>
        </w:rPr>
      </w:pPr>
    </w:p>
    <w:p w:rsidR="008962F6" w:rsidRPr="00AB38CA" w:rsidRDefault="008962F6" w:rsidP="008962F6">
      <w:pPr>
        <w:spacing w:after="0" w:line="240" w:lineRule="auto"/>
        <w:jc w:val="both"/>
        <w:rPr>
          <w:rFonts w:ascii="Times New Roman" w:hAnsi="Times New Roman" w:cs="Times New Roman"/>
          <w:b/>
        </w:rPr>
      </w:pPr>
      <w:r w:rsidRPr="00AB38CA">
        <w:rPr>
          <w:rFonts w:ascii="Times New Roman" w:hAnsi="Times New Roman" w:cs="Times New Roman"/>
          <w:b/>
        </w:rPr>
        <w:t xml:space="preserve">El Impuesto </w:t>
      </w:r>
      <w:r>
        <w:rPr>
          <w:rFonts w:ascii="Times New Roman" w:hAnsi="Times New Roman" w:cs="Times New Roman"/>
          <w:b/>
        </w:rPr>
        <w:t>S</w:t>
      </w:r>
      <w:r w:rsidRPr="00AB38CA">
        <w:rPr>
          <w:rFonts w:ascii="Times New Roman" w:hAnsi="Times New Roman" w:cs="Times New Roman"/>
          <w:b/>
        </w:rPr>
        <w:t xml:space="preserve">obre la </w:t>
      </w:r>
      <w:r>
        <w:rPr>
          <w:rFonts w:ascii="Times New Roman" w:hAnsi="Times New Roman" w:cs="Times New Roman"/>
          <w:b/>
        </w:rPr>
        <w:t>R</w:t>
      </w:r>
      <w:r w:rsidRPr="00AB38CA">
        <w:rPr>
          <w:rFonts w:ascii="Times New Roman" w:hAnsi="Times New Roman" w:cs="Times New Roman"/>
          <w:b/>
        </w:rPr>
        <w:t>enta y el ISO</w:t>
      </w:r>
    </w:p>
    <w:p w:rsidR="008962F6" w:rsidRPr="008962F6" w:rsidRDefault="008962F6" w:rsidP="008962F6">
      <w:pPr>
        <w:spacing w:after="0" w:line="240" w:lineRule="auto"/>
        <w:jc w:val="both"/>
        <w:rPr>
          <w:rFonts w:ascii="Times New Roman" w:hAnsi="Times New Roman" w:cs="Times New Roman"/>
          <w:b/>
        </w:rPr>
      </w:pPr>
    </w:p>
    <w:p w:rsidR="008962F6" w:rsidRDefault="008962F6" w:rsidP="008962F6">
      <w:pPr>
        <w:spacing w:after="0" w:line="240" w:lineRule="auto"/>
        <w:jc w:val="both"/>
        <w:rPr>
          <w:rFonts w:ascii="Times New Roman" w:hAnsi="Times New Roman" w:cs="Times New Roman"/>
        </w:rPr>
      </w:pPr>
      <w:r w:rsidRPr="00AB38CA">
        <w:rPr>
          <w:rFonts w:ascii="Times New Roman" w:hAnsi="Times New Roman" w:cs="Times New Roman"/>
        </w:rPr>
        <w:t xml:space="preserve">En </w:t>
      </w:r>
      <w:r>
        <w:rPr>
          <w:rFonts w:ascii="Times New Roman" w:hAnsi="Times New Roman" w:cs="Times New Roman"/>
        </w:rPr>
        <w:t>septiembre</w:t>
      </w:r>
      <w:r w:rsidRPr="00AB38CA">
        <w:rPr>
          <w:rFonts w:ascii="Times New Roman" w:hAnsi="Times New Roman" w:cs="Times New Roman"/>
        </w:rPr>
        <w:t xml:space="preserve"> estos impuestos </w:t>
      </w:r>
      <w:r>
        <w:rPr>
          <w:rFonts w:ascii="Times New Roman" w:hAnsi="Times New Roman" w:cs="Times New Roman"/>
        </w:rPr>
        <w:t xml:space="preserve">superaron la meta de presupuesto en Q309.7 millones, factores que permiten este resultado positivo </w:t>
      </w:r>
      <w:r w:rsidRPr="00AB38CA">
        <w:rPr>
          <w:rFonts w:ascii="Times New Roman" w:hAnsi="Times New Roman" w:cs="Times New Roman"/>
        </w:rPr>
        <w:t>pueden ser recaudación extraordinaria y mejora en la percepción de riesgo.</w:t>
      </w:r>
    </w:p>
    <w:p w:rsidR="008962F6" w:rsidRDefault="008962F6" w:rsidP="008962F6">
      <w:pPr>
        <w:spacing w:after="0" w:line="240" w:lineRule="auto"/>
        <w:jc w:val="both"/>
        <w:rPr>
          <w:rFonts w:ascii="Times New Roman" w:hAnsi="Times New Roman" w:cs="Times New Roman"/>
        </w:rPr>
      </w:pPr>
    </w:p>
    <w:p w:rsidR="008962F6" w:rsidRDefault="008962F6" w:rsidP="008962F6">
      <w:pPr>
        <w:spacing w:after="0" w:line="240" w:lineRule="auto"/>
        <w:jc w:val="both"/>
        <w:rPr>
          <w:rFonts w:ascii="Times New Roman" w:hAnsi="Times New Roman" w:cs="Times New Roman"/>
        </w:rPr>
      </w:pPr>
      <w:r>
        <w:rPr>
          <w:rFonts w:ascii="Times New Roman" w:hAnsi="Times New Roman" w:cs="Times New Roman"/>
        </w:rPr>
        <w:t xml:space="preserve">De </w:t>
      </w:r>
      <w:r w:rsidRPr="00AB38CA">
        <w:rPr>
          <w:rFonts w:ascii="Times New Roman" w:hAnsi="Times New Roman" w:cs="Times New Roman"/>
        </w:rPr>
        <w:t>manera acumula estos dos impuestos generan una brecha positiva de Q</w:t>
      </w:r>
      <w:r>
        <w:rPr>
          <w:rFonts w:ascii="Times New Roman" w:hAnsi="Times New Roman" w:cs="Times New Roman"/>
        </w:rPr>
        <w:t>4</w:t>
      </w:r>
      <w:proofErr w:type="gramStart"/>
      <w:r>
        <w:rPr>
          <w:rFonts w:ascii="Times New Roman" w:hAnsi="Times New Roman" w:cs="Times New Roman"/>
        </w:rPr>
        <w:t>,010.6</w:t>
      </w:r>
      <w:proofErr w:type="gramEnd"/>
      <w:r>
        <w:rPr>
          <w:rFonts w:ascii="Times New Roman" w:hAnsi="Times New Roman" w:cs="Times New Roman"/>
        </w:rPr>
        <w:t xml:space="preserve"> </w:t>
      </w:r>
      <w:r w:rsidRPr="00AB38CA">
        <w:rPr>
          <w:rFonts w:ascii="Times New Roman" w:hAnsi="Times New Roman" w:cs="Times New Roman"/>
        </w:rPr>
        <w:t>millones respecto a la meta de presupuesto y con relación al año 2020 Q3,</w:t>
      </w:r>
      <w:r>
        <w:rPr>
          <w:rFonts w:ascii="Times New Roman" w:hAnsi="Times New Roman" w:cs="Times New Roman"/>
        </w:rPr>
        <w:t xml:space="preserve">887.4 </w:t>
      </w:r>
      <w:r w:rsidRPr="00AB38CA">
        <w:rPr>
          <w:rFonts w:ascii="Times New Roman" w:hAnsi="Times New Roman" w:cs="Times New Roman"/>
        </w:rPr>
        <w:t>millones.</w:t>
      </w:r>
    </w:p>
    <w:p w:rsidR="008962F6" w:rsidRDefault="008962F6" w:rsidP="008962F6">
      <w:pPr>
        <w:spacing w:after="0" w:line="240" w:lineRule="auto"/>
        <w:jc w:val="both"/>
        <w:rPr>
          <w:rFonts w:ascii="Times New Roman" w:hAnsi="Times New Roman" w:cs="Times New Roman"/>
          <w:b/>
        </w:rPr>
      </w:pPr>
    </w:p>
    <w:p w:rsidR="008962F6" w:rsidRPr="00AB38CA" w:rsidRDefault="008962F6" w:rsidP="008962F6">
      <w:pPr>
        <w:spacing w:after="0" w:line="240" w:lineRule="auto"/>
        <w:jc w:val="both"/>
        <w:rPr>
          <w:rFonts w:ascii="Times New Roman" w:hAnsi="Times New Roman" w:cs="Times New Roman"/>
          <w:b/>
        </w:rPr>
      </w:pPr>
      <w:r w:rsidRPr="00AB38CA">
        <w:rPr>
          <w:rFonts w:ascii="Times New Roman" w:hAnsi="Times New Roman" w:cs="Times New Roman"/>
          <w:b/>
        </w:rPr>
        <w:t>El Impuesto al Valor Agregado</w:t>
      </w:r>
    </w:p>
    <w:p w:rsidR="008962F6" w:rsidRPr="00AB38CA" w:rsidRDefault="008962F6" w:rsidP="008962F6">
      <w:pPr>
        <w:spacing w:after="0" w:line="240" w:lineRule="auto"/>
        <w:jc w:val="both"/>
        <w:rPr>
          <w:rFonts w:ascii="Times New Roman" w:hAnsi="Times New Roman" w:cs="Times New Roman"/>
          <w:sz w:val="18"/>
        </w:rPr>
      </w:pPr>
    </w:p>
    <w:p w:rsidR="008962F6" w:rsidRPr="00AB38CA" w:rsidRDefault="008962F6" w:rsidP="008962F6">
      <w:pPr>
        <w:spacing w:after="0" w:line="240" w:lineRule="auto"/>
        <w:jc w:val="both"/>
        <w:rPr>
          <w:rFonts w:ascii="Times New Roman" w:hAnsi="Times New Roman" w:cs="Times New Roman"/>
        </w:rPr>
      </w:pPr>
      <w:r w:rsidRPr="00AB38CA">
        <w:rPr>
          <w:rFonts w:ascii="Times New Roman" w:hAnsi="Times New Roman" w:cs="Times New Roman"/>
        </w:rPr>
        <w:lastRenderedPageBreak/>
        <w:t>Este impuesto recobró su dinámica influenciado principalmente por un aumento en el consumo</w:t>
      </w:r>
      <w:r>
        <w:rPr>
          <w:rFonts w:ascii="Times New Roman" w:hAnsi="Times New Roman" w:cs="Times New Roman"/>
        </w:rPr>
        <w:t>,</w:t>
      </w:r>
      <w:r w:rsidRPr="00AB38CA">
        <w:rPr>
          <w:rFonts w:ascii="Times New Roman" w:hAnsi="Times New Roman" w:cs="Times New Roman"/>
        </w:rPr>
        <w:t xml:space="preserve"> el cual puede haberse dinamizado por mayor disponibilidad de recursos ante una recuperación en las remesas familiares</w:t>
      </w:r>
      <w:r>
        <w:rPr>
          <w:rFonts w:ascii="Times New Roman" w:hAnsi="Times New Roman" w:cs="Times New Roman"/>
        </w:rPr>
        <w:t>,</w:t>
      </w:r>
      <w:r w:rsidRPr="00AB38CA">
        <w:rPr>
          <w:rFonts w:ascii="Times New Roman" w:hAnsi="Times New Roman" w:cs="Times New Roman"/>
        </w:rPr>
        <w:t xml:space="preserve"> las cuales crecen en </w:t>
      </w:r>
      <w:r>
        <w:rPr>
          <w:rFonts w:ascii="Times New Roman" w:hAnsi="Times New Roman" w:cs="Times New Roman"/>
        </w:rPr>
        <w:t>36.6</w:t>
      </w:r>
      <w:r w:rsidRPr="00AB38CA">
        <w:rPr>
          <w:rFonts w:ascii="Times New Roman" w:hAnsi="Times New Roman" w:cs="Times New Roman"/>
        </w:rPr>
        <w:t>%</w:t>
      </w:r>
      <w:r>
        <w:rPr>
          <w:rFonts w:ascii="Times New Roman" w:hAnsi="Times New Roman" w:cs="Times New Roman"/>
        </w:rPr>
        <w:t xml:space="preserve"> a septiembre de 2021</w:t>
      </w:r>
      <w:r w:rsidRPr="00AB38CA">
        <w:rPr>
          <w:rFonts w:ascii="Times New Roman" w:hAnsi="Times New Roman" w:cs="Times New Roman"/>
        </w:rPr>
        <w:t>, en 2020</w:t>
      </w:r>
      <w:r>
        <w:rPr>
          <w:rFonts w:ascii="Times New Roman" w:hAnsi="Times New Roman" w:cs="Times New Roman"/>
        </w:rPr>
        <w:t xml:space="preserve"> solo</w:t>
      </w:r>
      <w:r w:rsidRPr="00AB38CA">
        <w:rPr>
          <w:rFonts w:ascii="Times New Roman" w:hAnsi="Times New Roman" w:cs="Times New Roman"/>
        </w:rPr>
        <w:t xml:space="preserve"> crecían </w:t>
      </w:r>
      <w:r>
        <w:rPr>
          <w:rFonts w:ascii="Times New Roman" w:hAnsi="Times New Roman" w:cs="Times New Roman"/>
        </w:rPr>
        <w:t>4</w:t>
      </w:r>
      <w:r w:rsidRPr="00AB38CA">
        <w:rPr>
          <w:rFonts w:ascii="Times New Roman" w:hAnsi="Times New Roman" w:cs="Times New Roman"/>
        </w:rPr>
        <w:t>%.</w:t>
      </w:r>
    </w:p>
    <w:p w:rsidR="008962F6" w:rsidRPr="00AB38CA" w:rsidRDefault="008962F6" w:rsidP="008962F6">
      <w:pPr>
        <w:spacing w:after="0" w:line="240" w:lineRule="auto"/>
        <w:jc w:val="both"/>
        <w:rPr>
          <w:rFonts w:ascii="Times New Roman" w:hAnsi="Times New Roman" w:cs="Times New Roman"/>
        </w:rPr>
      </w:pPr>
    </w:p>
    <w:p w:rsidR="008962F6" w:rsidRDefault="008962F6" w:rsidP="008962F6">
      <w:pPr>
        <w:spacing w:after="0" w:line="240" w:lineRule="auto"/>
        <w:jc w:val="both"/>
        <w:rPr>
          <w:rFonts w:ascii="Times New Roman" w:hAnsi="Times New Roman" w:cs="Times New Roman"/>
        </w:rPr>
      </w:pPr>
      <w:r w:rsidRPr="00AB38CA">
        <w:rPr>
          <w:rFonts w:ascii="Times New Roman" w:hAnsi="Times New Roman" w:cs="Times New Roman"/>
        </w:rPr>
        <w:t xml:space="preserve">El IVA total </w:t>
      </w:r>
      <w:r>
        <w:rPr>
          <w:rFonts w:ascii="Times New Roman" w:hAnsi="Times New Roman" w:cs="Times New Roman"/>
        </w:rPr>
        <w:t xml:space="preserve">de septiembre </w:t>
      </w:r>
      <w:r w:rsidRPr="00AB38CA">
        <w:rPr>
          <w:rFonts w:ascii="Times New Roman" w:hAnsi="Times New Roman" w:cs="Times New Roman"/>
        </w:rPr>
        <w:t>genera una brecha mensual de Q</w:t>
      </w:r>
      <w:r>
        <w:rPr>
          <w:rFonts w:ascii="Times New Roman" w:hAnsi="Times New Roman" w:cs="Times New Roman"/>
        </w:rPr>
        <w:t xml:space="preserve">342.5 </w:t>
      </w:r>
      <w:r w:rsidRPr="00AB38CA">
        <w:rPr>
          <w:rFonts w:ascii="Times New Roman" w:hAnsi="Times New Roman" w:cs="Times New Roman"/>
        </w:rPr>
        <w:t>millones respecto a la meta de presupuesto,</w:t>
      </w:r>
      <w:r>
        <w:rPr>
          <w:rFonts w:ascii="Times New Roman" w:hAnsi="Times New Roman" w:cs="Times New Roman"/>
        </w:rPr>
        <w:t xml:space="preserve"> </w:t>
      </w:r>
      <w:r w:rsidRPr="00AB38CA">
        <w:rPr>
          <w:rFonts w:ascii="Times New Roman" w:hAnsi="Times New Roman" w:cs="Times New Roman"/>
        </w:rPr>
        <w:t>el impuesto al valor agregado asociado al consumo interno superó la meta de presupuesto en Q</w:t>
      </w:r>
      <w:r>
        <w:rPr>
          <w:rFonts w:ascii="Times New Roman" w:hAnsi="Times New Roman" w:cs="Times New Roman"/>
        </w:rPr>
        <w:t xml:space="preserve">23.8 </w:t>
      </w:r>
      <w:r w:rsidRPr="00AB38CA">
        <w:rPr>
          <w:rFonts w:ascii="Times New Roman" w:hAnsi="Times New Roman" w:cs="Times New Roman"/>
        </w:rPr>
        <w:t>millones</w:t>
      </w:r>
      <w:r>
        <w:rPr>
          <w:rFonts w:ascii="Times New Roman" w:hAnsi="Times New Roman" w:cs="Times New Roman"/>
        </w:rPr>
        <w:t>, y el asociado al comercio exterior superó la meta de presupuesto en Q318.7 millones.  Vale indicar que el impuesto asociado al consumo interno ha venido mostrando una ralentización en su dinámica en los últimos dos meses.</w:t>
      </w:r>
    </w:p>
    <w:p w:rsidR="008962F6" w:rsidRDefault="008962F6" w:rsidP="008962F6">
      <w:pPr>
        <w:spacing w:after="0" w:line="240" w:lineRule="auto"/>
        <w:jc w:val="both"/>
        <w:rPr>
          <w:rFonts w:ascii="Times New Roman" w:hAnsi="Times New Roman" w:cs="Times New Roman"/>
        </w:rPr>
      </w:pPr>
    </w:p>
    <w:p w:rsidR="008962F6" w:rsidRPr="00AB38CA" w:rsidRDefault="008962F6" w:rsidP="008962F6">
      <w:pPr>
        <w:spacing w:after="0" w:line="240" w:lineRule="auto"/>
        <w:jc w:val="both"/>
        <w:rPr>
          <w:rFonts w:ascii="Times New Roman" w:hAnsi="Times New Roman" w:cs="Times New Roman"/>
        </w:rPr>
      </w:pPr>
      <w:r>
        <w:rPr>
          <w:rFonts w:ascii="Times New Roman" w:hAnsi="Times New Roman" w:cs="Times New Roman"/>
        </w:rPr>
        <w:t xml:space="preserve">De </w:t>
      </w:r>
      <w:r w:rsidRPr="00AB38CA">
        <w:rPr>
          <w:rFonts w:ascii="Times New Roman" w:hAnsi="Times New Roman" w:cs="Times New Roman"/>
        </w:rPr>
        <w:t>manera acumulada</w:t>
      </w:r>
      <w:r>
        <w:rPr>
          <w:rFonts w:ascii="Times New Roman" w:hAnsi="Times New Roman" w:cs="Times New Roman"/>
        </w:rPr>
        <w:t>,</w:t>
      </w:r>
      <w:r w:rsidRPr="00AB38CA">
        <w:rPr>
          <w:rFonts w:ascii="Times New Roman" w:hAnsi="Times New Roman" w:cs="Times New Roman"/>
        </w:rPr>
        <w:t xml:space="preserve"> el IVA total genera brecha positiva de Q3</w:t>
      </w:r>
      <w:proofErr w:type="gramStart"/>
      <w:r w:rsidRPr="00AB38CA">
        <w:rPr>
          <w:rFonts w:ascii="Times New Roman" w:hAnsi="Times New Roman" w:cs="Times New Roman"/>
        </w:rPr>
        <w:t>,</w:t>
      </w:r>
      <w:r>
        <w:rPr>
          <w:rFonts w:ascii="Times New Roman" w:hAnsi="Times New Roman" w:cs="Times New Roman"/>
        </w:rPr>
        <w:t>838.2</w:t>
      </w:r>
      <w:proofErr w:type="gramEnd"/>
      <w:r>
        <w:rPr>
          <w:rFonts w:ascii="Times New Roman" w:hAnsi="Times New Roman" w:cs="Times New Roman"/>
        </w:rPr>
        <w:t xml:space="preserve"> </w:t>
      </w:r>
      <w:r w:rsidRPr="00AB38CA">
        <w:rPr>
          <w:rFonts w:ascii="Times New Roman" w:hAnsi="Times New Roman" w:cs="Times New Roman"/>
        </w:rPr>
        <w:t>millones respecto a la meta de presupuesto y de Q</w:t>
      </w:r>
      <w:r>
        <w:rPr>
          <w:rFonts w:ascii="Times New Roman" w:hAnsi="Times New Roman" w:cs="Times New Roman"/>
        </w:rPr>
        <w:t>6,331.0</w:t>
      </w:r>
      <w:r w:rsidRPr="00AB38CA">
        <w:rPr>
          <w:rFonts w:ascii="Times New Roman" w:hAnsi="Times New Roman" w:cs="Times New Roman"/>
        </w:rPr>
        <w:t xml:space="preserve"> millones respecto a 2020.</w:t>
      </w:r>
    </w:p>
    <w:p w:rsidR="008962F6" w:rsidRDefault="008962F6" w:rsidP="008962F6">
      <w:pPr>
        <w:spacing w:after="0" w:line="240" w:lineRule="auto"/>
        <w:jc w:val="both"/>
        <w:rPr>
          <w:rFonts w:ascii="Times New Roman" w:hAnsi="Times New Roman" w:cs="Times New Roman"/>
        </w:rPr>
      </w:pPr>
    </w:p>
    <w:p w:rsidR="008962F6" w:rsidRPr="007C2079" w:rsidRDefault="008962F6" w:rsidP="008962F6">
      <w:pPr>
        <w:spacing w:after="0" w:line="240" w:lineRule="auto"/>
        <w:jc w:val="center"/>
        <w:rPr>
          <w:rFonts w:ascii="Times New Roman" w:hAnsi="Times New Roman" w:cs="Times New Roman"/>
          <w:b/>
          <w:bCs/>
          <w:color w:val="000000" w:themeColor="text1"/>
        </w:rPr>
      </w:pPr>
      <w:r w:rsidRPr="007C2079">
        <w:rPr>
          <w:rFonts w:ascii="Times New Roman" w:hAnsi="Times New Roman" w:cs="Times New Roman"/>
          <w:b/>
          <w:bCs/>
          <w:color w:val="000000" w:themeColor="text1"/>
        </w:rPr>
        <w:t>Variación del impuesto al valor agregado doméstico respecto a presupuesto</w:t>
      </w:r>
    </w:p>
    <w:p w:rsidR="008962F6" w:rsidRPr="00103705" w:rsidRDefault="008962F6" w:rsidP="008962F6">
      <w:pPr>
        <w:spacing w:after="0" w:line="240" w:lineRule="auto"/>
        <w:jc w:val="center"/>
        <w:rPr>
          <w:rFonts w:ascii="Times New Roman" w:hAnsi="Times New Roman" w:cs="Times New Roman"/>
          <w:bCs/>
          <w:color w:val="000000" w:themeColor="text1"/>
          <w:sz w:val="20"/>
        </w:rPr>
      </w:pPr>
      <w:r w:rsidRPr="00103705">
        <w:rPr>
          <w:rFonts w:ascii="Times New Roman" w:hAnsi="Times New Roman" w:cs="Times New Roman"/>
          <w:bCs/>
          <w:color w:val="000000" w:themeColor="text1"/>
          <w:sz w:val="20"/>
        </w:rPr>
        <w:t>Millones de quetzales</w:t>
      </w:r>
    </w:p>
    <w:p w:rsidR="008962F6" w:rsidRPr="00AB38CA" w:rsidRDefault="008962F6" w:rsidP="008962F6">
      <w:pPr>
        <w:spacing w:after="0" w:line="240" w:lineRule="auto"/>
        <w:jc w:val="both"/>
        <w:rPr>
          <w:rFonts w:ascii="Times New Roman" w:hAnsi="Times New Roman" w:cs="Times New Roman"/>
        </w:rPr>
      </w:pPr>
      <w:r>
        <w:rPr>
          <w:rFonts w:ascii="Times New Roman" w:hAnsi="Times New Roman" w:cs="Times New Roman"/>
          <w:noProof/>
          <w:lang w:eastAsia="es-GT"/>
        </w:rPr>
        <w:drawing>
          <wp:inline distT="0" distB="0" distL="0" distR="0" wp14:anchorId="4BBBBFB5" wp14:editId="7CB664D5">
            <wp:extent cx="2687541" cy="1923415"/>
            <wp:effectExtent l="0" t="0" r="0" b="0"/>
            <wp:docPr id="246" name="Gráfico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Times New Roman" w:hAnsi="Times New Roman" w:cs="Times New Roman"/>
        </w:rPr>
        <w:t xml:space="preserve"> </w:t>
      </w:r>
    </w:p>
    <w:p w:rsidR="008962F6" w:rsidRPr="00EA145C" w:rsidRDefault="008962F6" w:rsidP="008962F6">
      <w:pPr>
        <w:spacing w:after="0" w:line="240" w:lineRule="auto"/>
        <w:jc w:val="both"/>
        <w:rPr>
          <w:rFonts w:ascii="Times New Roman" w:hAnsi="Times New Roman" w:cs="Times New Roman"/>
        </w:rPr>
      </w:pPr>
      <w:r w:rsidRPr="00EA145C">
        <w:rPr>
          <w:rFonts w:ascii="Times New Roman" w:hAnsi="Times New Roman" w:cs="Times New Roman"/>
          <w:sz w:val="16"/>
        </w:rPr>
        <w:t>Fuente: Ministerio de Finanzas Públicas.</w:t>
      </w:r>
    </w:p>
    <w:p w:rsidR="008962F6" w:rsidRPr="00AB38CA" w:rsidRDefault="008962F6" w:rsidP="008962F6">
      <w:pPr>
        <w:spacing w:after="0" w:line="240" w:lineRule="auto"/>
        <w:jc w:val="both"/>
        <w:rPr>
          <w:rFonts w:ascii="Times New Roman" w:hAnsi="Times New Roman" w:cs="Times New Roman"/>
        </w:rPr>
      </w:pPr>
    </w:p>
    <w:p w:rsidR="008962F6" w:rsidRPr="00AB38CA" w:rsidRDefault="008962F6" w:rsidP="008962F6">
      <w:pPr>
        <w:spacing w:after="0" w:line="240" w:lineRule="auto"/>
        <w:jc w:val="both"/>
        <w:rPr>
          <w:rFonts w:ascii="Times New Roman" w:hAnsi="Times New Roman" w:cs="Times New Roman"/>
          <w:b/>
          <w:bCs/>
        </w:rPr>
      </w:pPr>
      <w:r w:rsidRPr="00AB38CA">
        <w:rPr>
          <w:rFonts w:ascii="Times New Roman" w:hAnsi="Times New Roman" w:cs="Times New Roman"/>
          <w:b/>
          <w:bCs/>
        </w:rPr>
        <w:t>Los demás impuestos</w:t>
      </w:r>
    </w:p>
    <w:p w:rsidR="008962F6" w:rsidRPr="00D112CE" w:rsidRDefault="008962F6" w:rsidP="008962F6">
      <w:pPr>
        <w:spacing w:after="0" w:line="240" w:lineRule="auto"/>
        <w:jc w:val="both"/>
        <w:rPr>
          <w:rFonts w:ascii="Times New Roman" w:hAnsi="Times New Roman" w:cs="Times New Roman"/>
          <w:b/>
          <w:bCs/>
          <w:sz w:val="18"/>
        </w:rPr>
      </w:pPr>
    </w:p>
    <w:p w:rsidR="008962F6" w:rsidRDefault="008962F6" w:rsidP="008962F6">
      <w:pPr>
        <w:spacing w:after="0" w:line="240" w:lineRule="auto"/>
        <w:jc w:val="both"/>
        <w:rPr>
          <w:rFonts w:ascii="Times New Roman" w:hAnsi="Times New Roman" w:cs="Times New Roman"/>
        </w:rPr>
      </w:pPr>
      <w:r>
        <w:rPr>
          <w:rFonts w:ascii="Times New Roman" w:hAnsi="Times New Roman" w:cs="Times New Roman"/>
        </w:rPr>
        <w:lastRenderedPageBreak/>
        <w:t>En la recaudación mensual d</w:t>
      </w:r>
      <w:r w:rsidRPr="00AB38CA">
        <w:rPr>
          <w:rFonts w:ascii="Times New Roman" w:hAnsi="Times New Roman" w:cs="Times New Roman"/>
        </w:rPr>
        <w:t xml:space="preserve">e los demás impuestos, destaca </w:t>
      </w:r>
      <w:r>
        <w:rPr>
          <w:rFonts w:ascii="Times New Roman" w:hAnsi="Times New Roman" w:cs="Times New Roman"/>
        </w:rPr>
        <w:t>la recuperación en septiembre del impuesto a las regalías e hidrocarburos compatibles que superó la meta de presupuesto en Q7.9 millones y que de manera interanual supera lo observado en 2020 en Q11.4 millones, la caída en la recaudación del impuesto al tabaco, de timbres fiscales y cemento generan una brecha negativa mensual de Q13.7 millones.</w:t>
      </w:r>
    </w:p>
    <w:p w:rsidR="008962F6" w:rsidRPr="00D112CE" w:rsidRDefault="008962F6" w:rsidP="008962F6">
      <w:pPr>
        <w:spacing w:after="0" w:line="240" w:lineRule="auto"/>
        <w:jc w:val="both"/>
        <w:rPr>
          <w:rFonts w:ascii="Times New Roman" w:hAnsi="Times New Roman" w:cs="Times New Roman"/>
          <w:sz w:val="18"/>
        </w:rPr>
      </w:pPr>
    </w:p>
    <w:p w:rsidR="008962F6" w:rsidRDefault="008962F6" w:rsidP="008962F6">
      <w:pPr>
        <w:spacing w:after="0" w:line="240" w:lineRule="auto"/>
        <w:jc w:val="both"/>
        <w:rPr>
          <w:rFonts w:ascii="Times New Roman" w:hAnsi="Times New Roman" w:cs="Times New Roman"/>
        </w:rPr>
      </w:pPr>
      <w:r w:rsidRPr="00AB38CA">
        <w:rPr>
          <w:rFonts w:ascii="Times New Roman" w:hAnsi="Times New Roman" w:cs="Times New Roman"/>
        </w:rPr>
        <w:t>De manera acumulada el impuesto a los tabacos genera brecha negativa de Q</w:t>
      </w:r>
      <w:r>
        <w:rPr>
          <w:rFonts w:ascii="Times New Roman" w:hAnsi="Times New Roman" w:cs="Times New Roman"/>
        </w:rPr>
        <w:t>23.1</w:t>
      </w:r>
      <w:r w:rsidRPr="00AB38CA">
        <w:rPr>
          <w:rFonts w:ascii="Times New Roman" w:hAnsi="Times New Roman" w:cs="Times New Roman"/>
        </w:rPr>
        <w:t xml:space="preserve"> millones y los impuestos no administrados </w:t>
      </w:r>
      <w:r w:rsidRPr="00AB38CA">
        <w:rPr>
          <w:rFonts w:ascii="Times New Roman" w:hAnsi="Times New Roman" w:cs="Times New Roman"/>
        </w:rPr>
        <w:lastRenderedPageBreak/>
        <w:t>por SAT generan brecha negativa de Q1</w:t>
      </w:r>
      <w:r>
        <w:rPr>
          <w:rFonts w:ascii="Times New Roman" w:hAnsi="Times New Roman" w:cs="Times New Roman"/>
        </w:rPr>
        <w:t>46.4</w:t>
      </w:r>
      <w:r w:rsidRPr="00AB38CA">
        <w:rPr>
          <w:rFonts w:ascii="Times New Roman" w:hAnsi="Times New Roman" w:cs="Times New Roman"/>
        </w:rPr>
        <w:t xml:space="preserve"> millones respecto a la meta de presupuesto.</w:t>
      </w:r>
    </w:p>
    <w:p w:rsidR="008962F6" w:rsidRDefault="008962F6" w:rsidP="008962F6">
      <w:pPr>
        <w:spacing w:after="0" w:line="240" w:lineRule="auto"/>
        <w:jc w:val="both"/>
        <w:rPr>
          <w:rFonts w:ascii="Times New Roman" w:hAnsi="Times New Roman" w:cs="Times New Roman"/>
          <w:noProof/>
        </w:rPr>
      </w:pPr>
      <w:r w:rsidRPr="00AB38CA">
        <w:rPr>
          <w:rFonts w:ascii="Times New Roman" w:hAnsi="Times New Roman" w:cs="Times New Roman"/>
          <w:noProof/>
        </w:rPr>
        <w:t xml:space="preserve"> </w:t>
      </w:r>
    </w:p>
    <w:p w:rsidR="004552E3" w:rsidRPr="008962F6" w:rsidRDefault="008962F6" w:rsidP="008962F6">
      <w:pPr>
        <w:spacing w:after="0" w:line="240" w:lineRule="auto"/>
        <w:jc w:val="both"/>
        <w:rPr>
          <w:rFonts w:ascii="Times New Roman" w:hAnsi="Times New Roman" w:cs="Times New Roman"/>
          <w:noProof/>
        </w:rPr>
      </w:pPr>
      <w:r w:rsidRPr="00AB38CA">
        <w:rPr>
          <w:rFonts w:ascii="Times New Roman" w:hAnsi="Times New Roman" w:cs="Times New Roman"/>
          <w:noProof/>
        </w:rPr>
        <w:t xml:space="preserve">Aspectos importantes a destacar </w:t>
      </w:r>
      <w:r>
        <w:rPr>
          <w:rFonts w:ascii="Times New Roman" w:hAnsi="Times New Roman" w:cs="Times New Roman"/>
          <w:noProof/>
        </w:rPr>
        <w:t>en el desempeño de la SAT y que tienen impacto directo en la recaudación</w:t>
      </w:r>
      <w:r w:rsidRPr="00AB38CA">
        <w:rPr>
          <w:rFonts w:ascii="Times New Roman" w:hAnsi="Times New Roman" w:cs="Times New Roman"/>
          <w:noProof/>
        </w:rPr>
        <w:t xml:space="preserve"> son</w:t>
      </w:r>
      <w:r>
        <w:rPr>
          <w:rFonts w:ascii="Times New Roman" w:hAnsi="Times New Roman" w:cs="Times New Roman"/>
          <w:noProof/>
        </w:rPr>
        <w:t>:</w:t>
      </w:r>
      <w:r w:rsidRPr="00AB38CA">
        <w:rPr>
          <w:rFonts w:ascii="Times New Roman" w:hAnsi="Times New Roman" w:cs="Times New Roman"/>
          <w:noProof/>
        </w:rPr>
        <w:t xml:space="preserve"> </w:t>
      </w:r>
      <w:r>
        <w:rPr>
          <w:rFonts w:ascii="Times New Roman" w:hAnsi="Times New Roman" w:cs="Times New Roman"/>
          <w:noProof/>
        </w:rPr>
        <w:t xml:space="preserve">el avance en las etapas complementarias a la modernización del </w:t>
      </w:r>
      <w:r w:rsidRPr="00AB38CA">
        <w:rPr>
          <w:rFonts w:ascii="Times New Roman" w:hAnsi="Times New Roman" w:cs="Times New Roman"/>
          <w:noProof/>
        </w:rPr>
        <w:t xml:space="preserve">RTU </w:t>
      </w:r>
      <w:r>
        <w:rPr>
          <w:rFonts w:ascii="Times New Roman" w:hAnsi="Times New Roman" w:cs="Times New Roman"/>
          <w:noProof/>
        </w:rPr>
        <w:t xml:space="preserve">digital, avances en el gobierno de datos, seguimiento del modelo de atención de factura electronica en linea, activación de agencia virtual a distancia y las mejoras al sistema de cita previa </w:t>
      </w:r>
      <w:r w:rsidRPr="00AB38CA">
        <w:rPr>
          <w:rFonts w:ascii="Times New Roman" w:hAnsi="Times New Roman" w:cs="Times New Roman"/>
          <w:noProof/>
        </w:rPr>
        <w:t>entre otras.</w:t>
      </w:r>
    </w:p>
    <w:p w:rsidR="00107D10" w:rsidRPr="005A7F2C" w:rsidRDefault="00107D10" w:rsidP="004552E3">
      <w:pPr>
        <w:spacing w:after="0" w:line="240" w:lineRule="auto"/>
        <w:jc w:val="both"/>
        <w:rPr>
          <w:rFonts w:ascii="Times New Roman" w:hAnsi="Times New Roman" w:cs="Times New Roman"/>
          <w:noProof/>
          <w:color w:val="FF0000"/>
        </w:rPr>
        <w:sectPr w:rsidR="00107D10" w:rsidRPr="005A7F2C" w:rsidSect="00A36C8F">
          <w:type w:val="continuous"/>
          <w:pgSz w:w="12240" w:h="15840"/>
          <w:pgMar w:top="1417" w:right="1701" w:bottom="1417" w:left="1701" w:header="720" w:footer="720" w:gutter="0"/>
          <w:cols w:num="2" w:space="720"/>
          <w:docGrid w:linePitch="360"/>
        </w:sectPr>
      </w:pPr>
    </w:p>
    <w:p w:rsidR="004552E3" w:rsidRPr="008962F6" w:rsidRDefault="004552E3" w:rsidP="00EF5550">
      <w:pPr>
        <w:spacing w:after="0" w:line="240" w:lineRule="auto"/>
        <w:jc w:val="both"/>
        <w:rPr>
          <w:rFonts w:ascii="Times New Roman" w:hAnsi="Times New Roman" w:cs="Times New Roman"/>
          <w:noProof/>
          <w:color w:val="FF0000"/>
        </w:rPr>
        <w:sectPr w:rsidR="004552E3" w:rsidRPr="008962F6" w:rsidSect="00A36C8F">
          <w:type w:val="continuous"/>
          <w:pgSz w:w="12240" w:h="15840"/>
          <w:pgMar w:top="1417" w:right="1701" w:bottom="1417" w:left="1701" w:header="720" w:footer="720" w:gutter="0"/>
          <w:cols w:num="2" w:space="720"/>
          <w:docGrid w:linePitch="360"/>
        </w:sectPr>
      </w:pPr>
    </w:p>
    <w:p w:rsidR="00107D10" w:rsidRPr="00AA7BFD" w:rsidRDefault="00107D10" w:rsidP="00107D10">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107D10" w:rsidRPr="00AA7BFD" w:rsidSect="00FA3B81">
          <w:headerReference w:type="default" r:id="rId19"/>
          <w:footerReference w:type="default" r:id="rId20"/>
          <w:type w:val="continuous"/>
          <w:pgSz w:w="12240" w:h="15840" w:code="1"/>
          <w:pgMar w:top="1418" w:right="1418" w:bottom="1418" w:left="1418" w:header="709" w:footer="709" w:gutter="0"/>
          <w:cols w:space="708"/>
          <w:docGrid w:linePitch="360"/>
        </w:sectPr>
      </w:pPr>
      <w:r w:rsidRPr="00AA7BFD">
        <w:rPr>
          <w:rFonts w:ascii="Times New Roman" w:hAnsi="Times New Roman" w:cs="Times New Roman"/>
          <w:b/>
          <w:lang w:val="es-MX"/>
        </w:rPr>
        <w:lastRenderedPageBreak/>
        <w:t>Se observa una contracción mayor en el gasto público</w:t>
      </w:r>
    </w:p>
    <w:p w:rsidR="00FA3B81" w:rsidRPr="005A7F2C" w:rsidRDefault="00FA3B81" w:rsidP="00FA3B81">
      <w:pPr>
        <w:pStyle w:val="Sinespaciado"/>
        <w:rPr>
          <w:rFonts w:ascii="Times New Roman" w:hAnsi="Times New Roman" w:cs="Times New Roman"/>
          <w:b/>
          <w:color w:val="FF0000"/>
          <w:sz w:val="18"/>
          <w:lang w:val="es-MX"/>
        </w:rPr>
      </w:pPr>
    </w:p>
    <w:p w:rsidR="00FA3B81" w:rsidRPr="005A7F2C" w:rsidRDefault="00FA3B81" w:rsidP="0041262B">
      <w:pPr>
        <w:pStyle w:val="Sinespaciado"/>
        <w:rPr>
          <w:rFonts w:ascii="Times New Roman" w:hAnsi="Times New Roman" w:cs="Times New Roman"/>
          <w:b/>
          <w:color w:val="FF0000"/>
          <w:sz w:val="24"/>
          <w:lang w:val="es-MX"/>
        </w:rPr>
        <w:sectPr w:rsidR="00FA3B81" w:rsidRPr="005A7F2C" w:rsidSect="004E358C">
          <w:headerReference w:type="default" r:id="rId21"/>
          <w:footerReference w:type="default" r:id="rId22"/>
          <w:type w:val="continuous"/>
          <w:pgSz w:w="12240" w:h="15840"/>
          <w:pgMar w:top="1417" w:right="1701" w:bottom="1417" w:left="1701" w:header="708" w:footer="708" w:gutter="0"/>
          <w:cols w:space="708"/>
          <w:docGrid w:linePitch="360"/>
        </w:sectPr>
      </w:pPr>
    </w:p>
    <w:p w:rsidR="00230240" w:rsidRDefault="00230240" w:rsidP="00230240">
      <w:pPr>
        <w:pStyle w:val="Sinespaciado"/>
        <w:jc w:val="both"/>
        <w:rPr>
          <w:rFonts w:ascii="Times New Roman" w:hAnsi="Times New Roman" w:cs="Times New Roman"/>
          <w:lang w:val="es-MX"/>
        </w:rPr>
      </w:pPr>
      <w:r w:rsidRPr="001E2D24">
        <w:rPr>
          <w:rFonts w:ascii="Times New Roman" w:hAnsi="Times New Roman" w:cs="Times New Roman"/>
          <w:lang w:val="es-MX"/>
        </w:rPr>
        <w:lastRenderedPageBreak/>
        <w:t xml:space="preserve">La </w:t>
      </w:r>
      <w:r w:rsidRPr="00ED090B">
        <w:rPr>
          <w:rFonts w:ascii="Times New Roman" w:hAnsi="Times New Roman" w:cs="Times New Roman"/>
          <w:lang w:val="es-MX"/>
        </w:rPr>
        <w:t xml:space="preserve">ejecución del gasto público a </w:t>
      </w:r>
      <w:r>
        <w:rPr>
          <w:rFonts w:ascii="Times New Roman" w:hAnsi="Times New Roman" w:cs="Times New Roman"/>
          <w:lang w:val="es-MX"/>
        </w:rPr>
        <w:t xml:space="preserve">septiembre </w:t>
      </w:r>
      <w:r w:rsidRPr="00ED090B">
        <w:rPr>
          <w:rFonts w:ascii="Times New Roman" w:hAnsi="Times New Roman" w:cs="Times New Roman"/>
          <w:lang w:val="es-MX"/>
        </w:rPr>
        <w:t>sin incluir las amortizaciones de la deuda pública se ubicó en Q</w:t>
      </w:r>
      <w:r>
        <w:rPr>
          <w:rFonts w:ascii="Times New Roman" w:hAnsi="Times New Roman" w:cs="Times New Roman"/>
          <w:lang w:val="es-MX"/>
        </w:rPr>
        <w:t>62</w:t>
      </w:r>
      <w:r w:rsidRPr="00ED090B">
        <w:rPr>
          <w:rFonts w:ascii="Times New Roman" w:hAnsi="Times New Roman" w:cs="Times New Roman"/>
          <w:lang w:val="es-MX"/>
        </w:rPr>
        <w:t>,</w:t>
      </w:r>
      <w:r>
        <w:rPr>
          <w:rFonts w:ascii="Times New Roman" w:hAnsi="Times New Roman" w:cs="Times New Roman"/>
          <w:lang w:val="es-MX"/>
        </w:rPr>
        <w:t>1</w:t>
      </w:r>
      <w:r w:rsidRPr="00ED090B">
        <w:rPr>
          <w:rFonts w:ascii="Times New Roman" w:hAnsi="Times New Roman" w:cs="Times New Roman"/>
          <w:lang w:val="es-MX"/>
        </w:rPr>
        <w:t>7</w:t>
      </w:r>
      <w:r>
        <w:rPr>
          <w:rFonts w:ascii="Times New Roman" w:hAnsi="Times New Roman" w:cs="Times New Roman"/>
          <w:lang w:val="es-MX"/>
        </w:rPr>
        <w:t>0.9</w:t>
      </w:r>
      <w:r w:rsidRPr="00ED090B">
        <w:rPr>
          <w:rFonts w:ascii="Times New Roman" w:hAnsi="Times New Roman" w:cs="Times New Roman"/>
          <w:lang w:val="es-MX"/>
        </w:rPr>
        <w:t xml:space="preserve"> millones con un</w:t>
      </w:r>
      <w:r>
        <w:rPr>
          <w:rFonts w:ascii="Times New Roman" w:hAnsi="Times New Roman" w:cs="Times New Roman"/>
          <w:lang w:val="es-MX"/>
        </w:rPr>
        <w:t>a variación</w:t>
      </w:r>
      <w:r w:rsidRPr="00ED090B">
        <w:rPr>
          <w:rFonts w:ascii="Times New Roman" w:hAnsi="Times New Roman" w:cs="Times New Roman"/>
          <w:lang w:val="es-MX"/>
        </w:rPr>
        <w:t xml:space="preserve"> interanual </w:t>
      </w:r>
      <w:r>
        <w:rPr>
          <w:rFonts w:ascii="Times New Roman" w:hAnsi="Times New Roman" w:cs="Times New Roman"/>
          <w:lang w:val="es-MX"/>
        </w:rPr>
        <w:t xml:space="preserve">negativa </w:t>
      </w:r>
      <w:r w:rsidRPr="00ED090B">
        <w:rPr>
          <w:rFonts w:ascii="Times New Roman" w:hAnsi="Times New Roman" w:cs="Times New Roman"/>
          <w:lang w:val="es-MX"/>
        </w:rPr>
        <w:t>de -</w:t>
      </w:r>
      <w:r>
        <w:rPr>
          <w:rFonts w:ascii="Times New Roman" w:hAnsi="Times New Roman" w:cs="Times New Roman"/>
          <w:lang w:val="es-MX"/>
        </w:rPr>
        <w:t>4</w:t>
      </w:r>
      <w:r w:rsidRPr="00ED090B">
        <w:rPr>
          <w:rFonts w:ascii="Times New Roman" w:hAnsi="Times New Roman" w:cs="Times New Roman"/>
          <w:lang w:val="es-MX"/>
        </w:rPr>
        <w:t>.</w:t>
      </w:r>
      <w:r>
        <w:rPr>
          <w:rFonts w:ascii="Times New Roman" w:hAnsi="Times New Roman" w:cs="Times New Roman"/>
          <w:lang w:val="es-MX"/>
        </w:rPr>
        <w:t>3</w:t>
      </w:r>
      <w:r w:rsidRPr="00ED090B">
        <w:rPr>
          <w:rFonts w:ascii="Times New Roman" w:hAnsi="Times New Roman" w:cs="Times New Roman"/>
          <w:lang w:val="es-MX"/>
        </w:rPr>
        <w:t>% (equivalente a</w:t>
      </w:r>
      <w:r>
        <w:rPr>
          <w:rFonts w:ascii="Times New Roman" w:hAnsi="Times New Roman" w:cs="Times New Roman"/>
          <w:lang w:val="es-MX"/>
        </w:rPr>
        <w:t xml:space="preserve"> Q2,822.0 millones), dado que en 2020 se encontraban en plena ejecución los programas para la atención económica y social del COVID-19 con Q9,807.8 millones encabezado por el bono familia, fondo para capital de trabajo y fondo de protección de empleo, mientras que en este año la mayor parte de dichas actividades ya no se encuentran en ejecución dado que cumplieron los objetivos correspondientes, salvo las actividades relacionadas a la atención de la salud y la vacunación asociadas a la pandemia que se encuentran vigentes en este ejercicio fiscal. </w:t>
      </w:r>
    </w:p>
    <w:p w:rsidR="00230240" w:rsidRPr="00474998" w:rsidRDefault="00230240" w:rsidP="00230240">
      <w:pPr>
        <w:pStyle w:val="Sinespaciado"/>
        <w:jc w:val="both"/>
        <w:rPr>
          <w:rFonts w:ascii="Times New Roman" w:hAnsi="Times New Roman" w:cs="Times New Roman"/>
          <w:lang w:val="es-MX"/>
        </w:rPr>
      </w:pPr>
    </w:p>
    <w:p w:rsidR="00230240" w:rsidRPr="00474998" w:rsidRDefault="00230240" w:rsidP="00230240">
      <w:pPr>
        <w:pStyle w:val="Sinespaciado"/>
        <w:jc w:val="center"/>
        <w:rPr>
          <w:rFonts w:ascii="Times New Roman" w:hAnsi="Times New Roman" w:cs="Times New Roman"/>
          <w:b/>
          <w:lang w:val="es-MX"/>
        </w:rPr>
      </w:pPr>
      <w:r w:rsidRPr="00474998">
        <w:rPr>
          <w:rFonts w:ascii="Times New Roman" w:hAnsi="Times New Roman" w:cs="Times New Roman"/>
          <w:b/>
          <w:lang w:val="es-MX"/>
        </w:rPr>
        <w:t>Ritmo de Ejecución del Gasto</w:t>
      </w:r>
    </w:p>
    <w:p w:rsidR="00230240" w:rsidRPr="00474998" w:rsidRDefault="00230240" w:rsidP="00230240">
      <w:pPr>
        <w:pStyle w:val="Sinespaciado"/>
        <w:jc w:val="center"/>
        <w:rPr>
          <w:rFonts w:ascii="Times New Roman" w:hAnsi="Times New Roman" w:cs="Times New Roman"/>
          <w:sz w:val="18"/>
          <w:lang w:val="es-MX"/>
        </w:rPr>
      </w:pPr>
      <w:r w:rsidRPr="00474998">
        <w:rPr>
          <w:rFonts w:ascii="Times New Roman" w:hAnsi="Times New Roman" w:cs="Times New Roman"/>
          <w:noProof/>
          <w:sz w:val="18"/>
          <w:lang w:eastAsia="es-GT"/>
        </w:rPr>
        <w:drawing>
          <wp:anchor distT="0" distB="0" distL="114300" distR="114300" simplePos="0" relativeHeight="251883520" behindDoc="0" locked="0" layoutInCell="1" allowOverlap="1" wp14:anchorId="465D861B" wp14:editId="0CEEA230">
            <wp:simplePos x="0" y="0"/>
            <wp:positionH relativeFrom="column">
              <wp:posOffset>635</wp:posOffset>
            </wp:positionH>
            <wp:positionV relativeFrom="paragraph">
              <wp:posOffset>133985</wp:posOffset>
            </wp:positionV>
            <wp:extent cx="2766695" cy="1995170"/>
            <wp:effectExtent l="0" t="0" r="0" b="5080"/>
            <wp:wrapSquare wrapText="bothSides"/>
            <wp:docPr id="23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474998">
        <w:rPr>
          <w:rFonts w:ascii="Times New Roman" w:hAnsi="Times New Roman" w:cs="Times New Roman"/>
          <w:sz w:val="18"/>
          <w:lang w:val="es-MX"/>
        </w:rPr>
        <w:t>Variación Interanual</w:t>
      </w:r>
      <w:r>
        <w:rPr>
          <w:rFonts w:ascii="Times New Roman" w:hAnsi="Times New Roman" w:cs="Times New Roman"/>
          <w:sz w:val="18"/>
          <w:lang w:val="es-MX"/>
        </w:rPr>
        <w:t xml:space="preserve"> (%)</w:t>
      </w:r>
      <w:r w:rsidRPr="00474998">
        <w:rPr>
          <w:rFonts w:ascii="Times New Roman" w:hAnsi="Times New Roman" w:cs="Times New Roman"/>
          <w:sz w:val="18"/>
          <w:lang w:val="es-MX"/>
        </w:rPr>
        <w:t>*</w:t>
      </w:r>
    </w:p>
    <w:p w:rsidR="00230240" w:rsidRPr="00474998" w:rsidRDefault="00230240" w:rsidP="00230240">
      <w:pPr>
        <w:pStyle w:val="Sinespaciado"/>
        <w:rPr>
          <w:rFonts w:ascii="Times New Roman" w:hAnsi="Times New Roman" w:cs="Times New Roman"/>
          <w:sz w:val="16"/>
          <w:lang w:val="es-MX"/>
        </w:rPr>
      </w:pPr>
      <w:r w:rsidRPr="00474998">
        <w:rPr>
          <w:rFonts w:ascii="Times New Roman" w:hAnsi="Times New Roman" w:cs="Times New Roman"/>
          <w:sz w:val="16"/>
          <w:lang w:val="es-MX"/>
        </w:rPr>
        <w:lastRenderedPageBreak/>
        <w:t>*No incluye amortizaciones de la deuda pública</w:t>
      </w:r>
    </w:p>
    <w:p w:rsidR="00230240" w:rsidRPr="00474998" w:rsidRDefault="00230240" w:rsidP="00230240">
      <w:pPr>
        <w:spacing w:after="0" w:line="240" w:lineRule="auto"/>
        <w:jc w:val="both"/>
        <w:rPr>
          <w:rFonts w:ascii="Times New Roman" w:hAnsi="Times New Roman" w:cs="Times New Roman"/>
          <w:sz w:val="16"/>
        </w:rPr>
      </w:pPr>
      <w:r w:rsidRPr="00474998">
        <w:rPr>
          <w:rFonts w:ascii="Times New Roman" w:hAnsi="Times New Roman" w:cs="Times New Roman"/>
          <w:sz w:val="16"/>
        </w:rPr>
        <w:t>Fuente: Dirección de Análisis y Política Fiscal</w:t>
      </w:r>
    </w:p>
    <w:p w:rsidR="00230240" w:rsidRPr="001D4429" w:rsidRDefault="00230240" w:rsidP="00230240">
      <w:pPr>
        <w:pStyle w:val="Sinespaciado"/>
        <w:jc w:val="both"/>
        <w:rPr>
          <w:rFonts w:ascii="Times New Roman" w:hAnsi="Times New Roman" w:cs="Times New Roman"/>
          <w:color w:val="FF0000"/>
          <w:lang w:val="es-MX"/>
        </w:rPr>
      </w:pPr>
      <w:r w:rsidRPr="003A1809">
        <w:rPr>
          <w:rFonts w:ascii="Times New Roman" w:hAnsi="Times New Roman" w:cs="Times New Roman"/>
          <w:color w:val="000000" w:themeColor="text1"/>
          <w:lang w:val="es-MX"/>
        </w:rPr>
        <w:t>A nivel de rubro de cuenta económica, el mayor crecimiento absoluto se reporta en los bienes y servicios con una ejecución mayor en Q2</w:t>
      </w:r>
      <w:proofErr w:type="gramStart"/>
      <w:r w:rsidRPr="003A1809">
        <w:rPr>
          <w:rFonts w:ascii="Times New Roman" w:hAnsi="Times New Roman" w:cs="Times New Roman"/>
          <w:color w:val="000000" w:themeColor="text1"/>
          <w:lang w:val="es-MX"/>
        </w:rPr>
        <w:t>,</w:t>
      </w:r>
      <w:r>
        <w:rPr>
          <w:rFonts w:ascii="Times New Roman" w:hAnsi="Times New Roman" w:cs="Times New Roman"/>
          <w:color w:val="000000" w:themeColor="text1"/>
          <w:lang w:val="es-MX"/>
        </w:rPr>
        <w:t>574</w:t>
      </w:r>
      <w:r w:rsidRPr="003A1809">
        <w:rPr>
          <w:rFonts w:ascii="Times New Roman" w:hAnsi="Times New Roman" w:cs="Times New Roman"/>
          <w:color w:val="000000" w:themeColor="text1"/>
          <w:lang w:val="es-MX"/>
        </w:rPr>
        <w:t>.</w:t>
      </w:r>
      <w:r>
        <w:rPr>
          <w:rFonts w:ascii="Times New Roman" w:hAnsi="Times New Roman" w:cs="Times New Roman"/>
          <w:color w:val="000000" w:themeColor="text1"/>
          <w:lang w:val="es-MX"/>
        </w:rPr>
        <w:t>7</w:t>
      </w:r>
      <w:proofErr w:type="gramEnd"/>
      <w:r w:rsidRPr="003A1809">
        <w:rPr>
          <w:rFonts w:ascii="Times New Roman" w:hAnsi="Times New Roman" w:cs="Times New Roman"/>
          <w:color w:val="000000" w:themeColor="text1"/>
          <w:lang w:val="es-MX"/>
        </w:rPr>
        <w:t xml:space="preserve"> millones (equivalente a un crecimiento interanual de </w:t>
      </w:r>
      <w:r>
        <w:rPr>
          <w:rFonts w:ascii="Times New Roman" w:hAnsi="Times New Roman" w:cs="Times New Roman"/>
          <w:color w:val="000000" w:themeColor="text1"/>
          <w:lang w:val="es-MX"/>
        </w:rPr>
        <w:t>4</w:t>
      </w:r>
      <w:r w:rsidRPr="003A1809">
        <w:rPr>
          <w:rFonts w:ascii="Times New Roman" w:hAnsi="Times New Roman" w:cs="Times New Roman"/>
          <w:color w:val="000000" w:themeColor="text1"/>
          <w:lang w:val="es-MX"/>
        </w:rPr>
        <w:t>5</w:t>
      </w:r>
      <w:r>
        <w:rPr>
          <w:rFonts w:ascii="Times New Roman" w:hAnsi="Times New Roman" w:cs="Times New Roman"/>
          <w:color w:val="000000" w:themeColor="text1"/>
          <w:lang w:val="es-MX"/>
        </w:rPr>
        <w:t>.8</w:t>
      </w:r>
      <w:r w:rsidRPr="003A1809">
        <w:rPr>
          <w:rFonts w:ascii="Times New Roman" w:hAnsi="Times New Roman" w:cs="Times New Roman"/>
          <w:color w:val="000000" w:themeColor="text1"/>
          <w:lang w:val="es-MX"/>
        </w:rPr>
        <w:t>%), explicado principalmente por un aumento de Q1</w:t>
      </w:r>
      <w:r>
        <w:rPr>
          <w:rFonts w:ascii="Times New Roman" w:hAnsi="Times New Roman" w:cs="Times New Roman"/>
          <w:color w:val="000000" w:themeColor="text1"/>
          <w:lang w:val="es-MX"/>
        </w:rPr>
        <w:t>,283</w:t>
      </w:r>
      <w:r w:rsidRPr="003A1809">
        <w:rPr>
          <w:rFonts w:ascii="Times New Roman" w:hAnsi="Times New Roman" w:cs="Times New Roman"/>
          <w:color w:val="000000" w:themeColor="text1"/>
          <w:lang w:val="es-MX"/>
        </w:rPr>
        <w:t>.</w:t>
      </w:r>
      <w:r>
        <w:rPr>
          <w:rFonts w:ascii="Times New Roman" w:hAnsi="Times New Roman" w:cs="Times New Roman"/>
          <w:color w:val="000000" w:themeColor="text1"/>
          <w:lang w:val="es-MX"/>
        </w:rPr>
        <w:t>6</w:t>
      </w:r>
      <w:r w:rsidRPr="003A1809">
        <w:rPr>
          <w:rFonts w:ascii="Times New Roman" w:hAnsi="Times New Roman" w:cs="Times New Roman"/>
          <w:color w:val="000000" w:themeColor="text1"/>
          <w:lang w:val="es-MX"/>
        </w:rPr>
        <w:t xml:space="preserve"> millones en el Ministerio de Salud Pública y Asistencia Social destinado </w:t>
      </w:r>
      <w:r>
        <w:rPr>
          <w:rFonts w:ascii="Times New Roman" w:hAnsi="Times New Roman" w:cs="Times New Roman"/>
          <w:color w:val="000000" w:themeColor="text1"/>
          <w:lang w:val="es-MX"/>
        </w:rPr>
        <w:t>a</w:t>
      </w:r>
      <w:r w:rsidRPr="003A1809">
        <w:rPr>
          <w:rFonts w:ascii="Times New Roman" w:hAnsi="Times New Roman" w:cs="Times New Roman"/>
          <w:color w:val="000000" w:themeColor="text1"/>
          <w:lang w:val="es-MX"/>
        </w:rPr>
        <w:t xml:space="preserve"> la compra de la vacuna contra el COVID-19</w:t>
      </w:r>
      <w:r>
        <w:rPr>
          <w:rFonts w:ascii="Times New Roman" w:hAnsi="Times New Roman" w:cs="Times New Roman"/>
          <w:color w:val="000000" w:themeColor="text1"/>
          <w:lang w:val="es-MX"/>
        </w:rPr>
        <w:t xml:space="preserve"> y el pago del personal </w:t>
      </w:r>
      <w:r w:rsidRPr="003A1809">
        <w:rPr>
          <w:rFonts w:ascii="Times New Roman" w:hAnsi="Times New Roman" w:cs="Times New Roman"/>
          <w:color w:val="000000" w:themeColor="text1"/>
          <w:lang w:val="es-MX"/>
        </w:rPr>
        <w:t>médico-sanitario</w:t>
      </w:r>
      <w:r>
        <w:rPr>
          <w:rFonts w:ascii="Times New Roman" w:hAnsi="Times New Roman" w:cs="Times New Roman"/>
          <w:color w:val="000000" w:themeColor="text1"/>
          <w:lang w:val="es-MX"/>
        </w:rPr>
        <w:t>.</w:t>
      </w:r>
      <w:r w:rsidRPr="003A1809">
        <w:rPr>
          <w:rFonts w:ascii="Times New Roman" w:hAnsi="Times New Roman" w:cs="Times New Roman"/>
          <w:color w:val="000000" w:themeColor="text1"/>
          <w:lang w:val="es-MX"/>
        </w:rPr>
        <w:t xml:space="preserve"> </w:t>
      </w:r>
    </w:p>
    <w:p w:rsidR="00230240" w:rsidRPr="008B062E" w:rsidRDefault="00230240" w:rsidP="00230240">
      <w:pPr>
        <w:pStyle w:val="Sinespaciado"/>
        <w:jc w:val="both"/>
        <w:rPr>
          <w:rFonts w:ascii="Times New Roman" w:hAnsi="Times New Roman" w:cs="Times New Roman"/>
          <w:sz w:val="18"/>
          <w:lang w:val="es-MX"/>
        </w:rPr>
      </w:pPr>
    </w:p>
    <w:p w:rsidR="00230240" w:rsidRDefault="00230240" w:rsidP="00230240">
      <w:pPr>
        <w:pStyle w:val="Sinespaciado"/>
        <w:jc w:val="both"/>
        <w:rPr>
          <w:rFonts w:ascii="Times New Roman" w:hAnsi="Times New Roman" w:cs="Times New Roman"/>
          <w:lang w:val="es-MX"/>
        </w:rPr>
      </w:pPr>
      <w:r>
        <w:rPr>
          <w:rFonts w:ascii="Times New Roman" w:hAnsi="Times New Roman" w:cs="Times New Roman"/>
          <w:lang w:val="es-MX"/>
        </w:rPr>
        <w:t xml:space="preserve">En las Obligaciones del Estado a </w:t>
      </w:r>
      <w:r w:rsidRPr="003A1809">
        <w:rPr>
          <w:rFonts w:ascii="Times New Roman" w:hAnsi="Times New Roman" w:cs="Times New Roman"/>
          <w:color w:val="000000" w:themeColor="text1"/>
          <w:lang w:val="es-MX"/>
        </w:rPr>
        <w:t>cargo del Tesoro, también se reporta un aumento de Q</w:t>
      </w:r>
      <w:r>
        <w:rPr>
          <w:rFonts w:ascii="Times New Roman" w:hAnsi="Times New Roman" w:cs="Times New Roman"/>
          <w:color w:val="000000" w:themeColor="text1"/>
          <w:lang w:val="es-MX"/>
        </w:rPr>
        <w:t>144.</w:t>
      </w:r>
      <w:r w:rsidRPr="003A1809">
        <w:rPr>
          <w:rFonts w:ascii="Times New Roman" w:hAnsi="Times New Roman" w:cs="Times New Roman"/>
          <w:color w:val="000000" w:themeColor="text1"/>
          <w:lang w:val="es-MX"/>
        </w:rPr>
        <w:t xml:space="preserve">0 millones, el cual se explica casi en su totalidad por las comisiones que </w:t>
      </w:r>
      <w:r>
        <w:rPr>
          <w:rFonts w:ascii="Times New Roman" w:hAnsi="Times New Roman" w:cs="Times New Roman"/>
          <w:lang w:val="es-MX"/>
        </w:rPr>
        <w:t>recibe la Superintendencia de Administración Tributaria (SAT), la cual está percibiendo una mayor cantidad de recursos en este año como resultado de un alto desempeño en la recaudación tributaria.</w:t>
      </w:r>
    </w:p>
    <w:p w:rsidR="00230240" w:rsidRPr="008B062E" w:rsidRDefault="00230240" w:rsidP="00230240">
      <w:pPr>
        <w:pStyle w:val="Sinespaciado"/>
        <w:jc w:val="both"/>
        <w:rPr>
          <w:rFonts w:ascii="Times New Roman" w:hAnsi="Times New Roman" w:cs="Times New Roman"/>
          <w:sz w:val="18"/>
          <w:lang w:val="es-MX"/>
        </w:rPr>
      </w:pPr>
    </w:p>
    <w:p w:rsidR="00230240" w:rsidRPr="008F58D0" w:rsidRDefault="00230240" w:rsidP="00230240">
      <w:pPr>
        <w:pStyle w:val="Sinespaciado"/>
        <w:jc w:val="both"/>
        <w:rPr>
          <w:rFonts w:ascii="Times New Roman" w:hAnsi="Times New Roman" w:cs="Times New Roman"/>
          <w:color w:val="FF0000"/>
          <w:lang w:val="es-MX"/>
        </w:rPr>
      </w:pPr>
      <w:r>
        <w:rPr>
          <w:rFonts w:ascii="Times New Roman" w:hAnsi="Times New Roman" w:cs="Times New Roman"/>
          <w:lang w:val="es-MX"/>
        </w:rPr>
        <w:t>En lo que respecta a los intereses de la deuda interna y externa se observa un aumento de Q1</w:t>
      </w:r>
      <w:proofErr w:type="gramStart"/>
      <w:r>
        <w:rPr>
          <w:rFonts w:ascii="Times New Roman" w:hAnsi="Times New Roman" w:cs="Times New Roman"/>
          <w:lang w:val="es-MX"/>
        </w:rPr>
        <w:t>,158.8</w:t>
      </w:r>
      <w:proofErr w:type="gramEnd"/>
      <w:r>
        <w:rPr>
          <w:rFonts w:ascii="Times New Roman" w:hAnsi="Times New Roman" w:cs="Times New Roman"/>
          <w:lang w:val="es-MX"/>
        </w:rPr>
        <w:t xml:space="preserve"> millones (equivalente a un crecimiento de 17.1%). En la deuda interna se encuentra concentrado la mayor parte de dicho incremento con Q1</w:t>
      </w:r>
      <w:proofErr w:type="gramStart"/>
      <w:r>
        <w:rPr>
          <w:rFonts w:ascii="Times New Roman" w:hAnsi="Times New Roman" w:cs="Times New Roman"/>
          <w:lang w:val="es-MX"/>
        </w:rPr>
        <w:t>,042.7</w:t>
      </w:r>
      <w:proofErr w:type="gramEnd"/>
      <w:r>
        <w:rPr>
          <w:rFonts w:ascii="Times New Roman" w:hAnsi="Times New Roman" w:cs="Times New Roman"/>
          <w:lang w:val="es-MX"/>
        </w:rPr>
        <w:t xml:space="preserve"> millones. </w:t>
      </w:r>
    </w:p>
    <w:p w:rsidR="00230240" w:rsidRPr="008B062E" w:rsidRDefault="00230240" w:rsidP="00230240">
      <w:pPr>
        <w:pStyle w:val="Sinespaciado"/>
        <w:jc w:val="both"/>
        <w:rPr>
          <w:rFonts w:ascii="Times New Roman" w:hAnsi="Times New Roman" w:cs="Times New Roman"/>
          <w:sz w:val="18"/>
          <w:lang w:val="es-MX"/>
        </w:rPr>
      </w:pPr>
    </w:p>
    <w:p w:rsidR="00230240" w:rsidRDefault="00230240" w:rsidP="00230240">
      <w:pPr>
        <w:pStyle w:val="Sinespaciado"/>
        <w:jc w:val="both"/>
        <w:rPr>
          <w:rFonts w:ascii="Times New Roman" w:hAnsi="Times New Roman" w:cs="Times New Roman"/>
          <w:lang w:val="es-MX"/>
        </w:rPr>
      </w:pPr>
      <w:r w:rsidRPr="00DE41EC">
        <w:rPr>
          <w:rFonts w:ascii="Times New Roman" w:hAnsi="Times New Roman" w:cs="Times New Roman"/>
          <w:lang w:val="es-MX"/>
        </w:rPr>
        <w:lastRenderedPageBreak/>
        <w:t>En el rubro de las</w:t>
      </w:r>
      <w:r>
        <w:rPr>
          <w:rFonts w:ascii="Times New Roman" w:hAnsi="Times New Roman" w:cs="Times New Roman"/>
          <w:lang w:val="es-MX"/>
        </w:rPr>
        <w:t xml:space="preserve"> transferencias de capital se reporta un aumento de Q713.0 millones, con un crecimiento interanual de 9.5%, en las cuales las que se dirigen al sector público reportan un crecimiento de 10.1%.</w:t>
      </w:r>
    </w:p>
    <w:p w:rsidR="00230240" w:rsidRDefault="00230240" w:rsidP="00230240">
      <w:pPr>
        <w:pStyle w:val="Sinespaciado"/>
        <w:jc w:val="both"/>
        <w:rPr>
          <w:rFonts w:ascii="Times New Roman" w:hAnsi="Times New Roman" w:cs="Times New Roman"/>
          <w:lang w:val="es-MX"/>
        </w:rPr>
      </w:pPr>
    </w:p>
    <w:p w:rsidR="00230240" w:rsidRDefault="00230240" w:rsidP="00230240">
      <w:pPr>
        <w:pStyle w:val="Sinespaciado"/>
        <w:jc w:val="both"/>
        <w:rPr>
          <w:rFonts w:ascii="Times New Roman" w:hAnsi="Times New Roman" w:cs="Times New Roman"/>
          <w:lang w:val="es-MX"/>
        </w:rPr>
      </w:pPr>
      <w:r>
        <w:rPr>
          <w:rFonts w:ascii="Times New Roman" w:hAnsi="Times New Roman" w:cs="Times New Roman"/>
          <w:lang w:val="es-MX"/>
        </w:rPr>
        <w:t>Por su parte, las remuneraciones</w:t>
      </w:r>
      <w:r w:rsidRPr="00DE41EC">
        <w:rPr>
          <w:rFonts w:ascii="Times New Roman" w:hAnsi="Times New Roman" w:cs="Times New Roman"/>
          <w:lang w:val="es-MX"/>
        </w:rPr>
        <w:t xml:space="preserve"> </w:t>
      </w:r>
      <w:r>
        <w:rPr>
          <w:rFonts w:ascii="Times New Roman" w:hAnsi="Times New Roman" w:cs="Times New Roman"/>
          <w:lang w:val="es-MX"/>
        </w:rPr>
        <w:t>reportan un aumento de Q608.8 millones (crecimiento interanual de 3.1%), mientras que la inversión real directa reporta un aumento de Q308.5 millones (crecimiento interanual de 16.1%), siendo relevante dado que en 2020 este fue uno de los rubros de gasto más castigados por la pandemia, l</w:t>
      </w:r>
      <w:r w:rsidRPr="0047468E">
        <w:rPr>
          <w:rFonts w:ascii="Times New Roman" w:hAnsi="Times New Roman" w:cs="Times New Roman"/>
          <w:lang w:val="es-MX"/>
        </w:rPr>
        <w:t>as entidades que suman a este aumento son: el Ministerio de Comunicaciones con Q24</w:t>
      </w:r>
      <w:r>
        <w:rPr>
          <w:rFonts w:ascii="Times New Roman" w:hAnsi="Times New Roman" w:cs="Times New Roman"/>
          <w:lang w:val="es-MX"/>
        </w:rPr>
        <w:t>4</w:t>
      </w:r>
      <w:r w:rsidRPr="0047468E">
        <w:rPr>
          <w:rFonts w:ascii="Times New Roman" w:hAnsi="Times New Roman" w:cs="Times New Roman"/>
          <w:lang w:val="es-MX"/>
        </w:rPr>
        <w:t>.</w:t>
      </w:r>
      <w:r>
        <w:rPr>
          <w:rFonts w:ascii="Times New Roman" w:hAnsi="Times New Roman" w:cs="Times New Roman"/>
          <w:lang w:val="es-MX"/>
        </w:rPr>
        <w:t>7</w:t>
      </w:r>
      <w:r w:rsidRPr="0047468E">
        <w:rPr>
          <w:rFonts w:ascii="Times New Roman" w:hAnsi="Times New Roman" w:cs="Times New Roman"/>
          <w:lang w:val="es-MX"/>
        </w:rPr>
        <w:t xml:space="preserve"> millones</w:t>
      </w:r>
      <w:r>
        <w:rPr>
          <w:rFonts w:ascii="Times New Roman" w:hAnsi="Times New Roman" w:cs="Times New Roman"/>
          <w:lang w:val="es-MX"/>
        </w:rPr>
        <w:t xml:space="preserve"> y</w:t>
      </w:r>
      <w:r w:rsidRPr="0047468E">
        <w:rPr>
          <w:rFonts w:ascii="Times New Roman" w:hAnsi="Times New Roman" w:cs="Times New Roman"/>
          <w:lang w:val="es-MX"/>
        </w:rPr>
        <w:t xml:space="preserve"> el Ministerio de Desarrollo Social con Q4</w:t>
      </w:r>
      <w:r>
        <w:rPr>
          <w:rFonts w:ascii="Times New Roman" w:hAnsi="Times New Roman" w:cs="Times New Roman"/>
          <w:lang w:val="es-MX"/>
        </w:rPr>
        <w:t>5.8</w:t>
      </w:r>
      <w:r w:rsidRPr="0047468E">
        <w:rPr>
          <w:rFonts w:ascii="Times New Roman" w:hAnsi="Times New Roman" w:cs="Times New Roman"/>
          <w:lang w:val="es-MX"/>
        </w:rPr>
        <w:t xml:space="preserve"> millones</w:t>
      </w:r>
      <w:r>
        <w:rPr>
          <w:rFonts w:ascii="Times New Roman" w:hAnsi="Times New Roman" w:cs="Times New Roman"/>
          <w:lang w:val="es-MX"/>
        </w:rPr>
        <w:t>.</w:t>
      </w:r>
      <w:r w:rsidRPr="0047468E">
        <w:rPr>
          <w:rFonts w:ascii="Times New Roman" w:hAnsi="Times New Roman" w:cs="Times New Roman"/>
          <w:lang w:val="es-MX"/>
        </w:rPr>
        <w:t xml:space="preserve"> </w:t>
      </w:r>
    </w:p>
    <w:p w:rsidR="00230240" w:rsidRDefault="00230240" w:rsidP="00230240">
      <w:pPr>
        <w:pStyle w:val="Sinespaciado"/>
        <w:jc w:val="both"/>
        <w:rPr>
          <w:rFonts w:ascii="Times New Roman" w:hAnsi="Times New Roman" w:cs="Times New Roman"/>
          <w:lang w:val="es-MX"/>
        </w:rPr>
      </w:pPr>
    </w:p>
    <w:p w:rsidR="00230240" w:rsidRDefault="00230240" w:rsidP="00230240">
      <w:pPr>
        <w:pStyle w:val="Sinespaciado"/>
        <w:jc w:val="both"/>
        <w:rPr>
          <w:rFonts w:ascii="Times New Roman" w:hAnsi="Times New Roman" w:cs="Times New Roman"/>
          <w:lang w:val="es-MX"/>
        </w:rPr>
      </w:pPr>
      <w:r>
        <w:rPr>
          <w:rFonts w:ascii="Times New Roman" w:hAnsi="Times New Roman" w:cs="Times New Roman"/>
          <w:lang w:val="es-MX"/>
        </w:rPr>
        <w:t>En cuanto a las prestaciones a la seguridad social, estás reportan un crecimiento interanual de 3.2%, equivalente a Q127.7 millones.</w:t>
      </w:r>
    </w:p>
    <w:p w:rsidR="00230240" w:rsidRPr="008B062E" w:rsidRDefault="00230240" w:rsidP="00230240">
      <w:pPr>
        <w:pStyle w:val="Sinespaciado"/>
        <w:jc w:val="both"/>
        <w:rPr>
          <w:rFonts w:ascii="Times New Roman" w:hAnsi="Times New Roman" w:cs="Times New Roman"/>
          <w:sz w:val="16"/>
          <w:lang w:val="es-MX"/>
        </w:rPr>
      </w:pPr>
    </w:p>
    <w:p w:rsidR="00230240" w:rsidRDefault="00230240" w:rsidP="00230240">
      <w:pPr>
        <w:pStyle w:val="Sinespaciado"/>
        <w:jc w:val="both"/>
        <w:rPr>
          <w:rFonts w:ascii="Times New Roman" w:hAnsi="Times New Roman" w:cs="Times New Roman"/>
          <w:lang w:val="es-MX"/>
        </w:rPr>
      </w:pPr>
      <w:r>
        <w:rPr>
          <w:rFonts w:ascii="Times New Roman" w:hAnsi="Times New Roman" w:cs="Times New Roman"/>
          <w:lang w:val="es-MX"/>
        </w:rPr>
        <w:t xml:space="preserve">Respecto a la </w:t>
      </w:r>
      <w:r w:rsidRPr="009F5523">
        <w:rPr>
          <w:rFonts w:ascii="Times New Roman" w:hAnsi="Times New Roman" w:cs="Times New Roman"/>
          <w:lang w:val="es-MX"/>
        </w:rPr>
        <w:t>inversión financiera</w:t>
      </w:r>
      <w:r>
        <w:rPr>
          <w:rFonts w:ascii="Times New Roman" w:hAnsi="Times New Roman" w:cs="Times New Roman"/>
          <w:lang w:val="es-MX"/>
        </w:rPr>
        <w:t xml:space="preserve"> y las transferencias corrientes estas reportarán una contracción importante </w:t>
      </w:r>
      <w:r w:rsidRPr="009F5523">
        <w:rPr>
          <w:rFonts w:ascii="Times New Roman" w:hAnsi="Times New Roman" w:cs="Times New Roman"/>
          <w:lang w:val="es-MX"/>
        </w:rPr>
        <w:t>durante el resto del año,</w:t>
      </w:r>
      <w:r>
        <w:rPr>
          <w:rFonts w:ascii="Times New Roman" w:hAnsi="Times New Roman" w:cs="Times New Roman"/>
          <w:lang w:val="es-MX"/>
        </w:rPr>
        <w:t xml:space="preserve"> a septiembre fue equivalente a -99.6% y     -36.2%, respectivamente. Esto se encuentra asociado a los programas COVID-19 que se encontraban en ejecución durante 2020, cuyo registro recaía en dichos rubros.</w:t>
      </w:r>
    </w:p>
    <w:p w:rsidR="00230240" w:rsidRDefault="00230240" w:rsidP="00230240">
      <w:pPr>
        <w:pStyle w:val="Sinespaciado"/>
        <w:jc w:val="both"/>
        <w:rPr>
          <w:rFonts w:ascii="Times New Roman" w:hAnsi="Times New Roman" w:cs="Times New Roman"/>
          <w:lang w:val="es-MX"/>
        </w:rPr>
      </w:pPr>
    </w:p>
    <w:p w:rsidR="00230240" w:rsidRPr="002C4CB2" w:rsidRDefault="00230240" w:rsidP="00230240">
      <w:pPr>
        <w:pStyle w:val="Sinespaciado"/>
        <w:jc w:val="center"/>
      </w:pPr>
      <w:r w:rsidRPr="002C4CB2">
        <w:rPr>
          <w:rFonts w:ascii="Times New Roman" w:hAnsi="Times New Roman" w:cs="Times New Roman"/>
          <w:b/>
          <w:lang w:val="es-MX"/>
        </w:rPr>
        <w:t>Ejecución por rubro de Cuenta Económica</w:t>
      </w:r>
    </w:p>
    <w:p w:rsidR="00230240" w:rsidRPr="002C4CB2" w:rsidRDefault="00230240" w:rsidP="00230240">
      <w:pPr>
        <w:pStyle w:val="Sinespaciado"/>
        <w:jc w:val="center"/>
        <w:rPr>
          <w:rFonts w:ascii="Times New Roman" w:hAnsi="Times New Roman" w:cs="Times New Roman"/>
          <w:sz w:val="18"/>
          <w:lang w:val="es-MX"/>
        </w:rPr>
      </w:pPr>
      <w:r w:rsidRPr="002C4CB2">
        <w:rPr>
          <w:rFonts w:ascii="Times New Roman" w:hAnsi="Times New Roman" w:cs="Times New Roman"/>
          <w:sz w:val="18"/>
          <w:szCs w:val="18"/>
          <w:lang w:val="es-MX"/>
        </w:rPr>
        <w:t>2021 – 2020</w:t>
      </w:r>
    </w:p>
    <w:p w:rsidR="00230240" w:rsidRDefault="00230240" w:rsidP="00230240">
      <w:pPr>
        <w:pStyle w:val="Sinespaciado"/>
        <w:jc w:val="center"/>
        <w:rPr>
          <w:rFonts w:ascii="Times New Roman" w:hAnsi="Times New Roman" w:cs="Times New Roman"/>
          <w:sz w:val="18"/>
          <w:lang w:val="es-MX"/>
        </w:rPr>
      </w:pPr>
      <w:r w:rsidRPr="002C4CB2">
        <w:rPr>
          <w:rFonts w:ascii="Times New Roman" w:hAnsi="Times New Roman" w:cs="Times New Roman"/>
          <w:sz w:val="18"/>
          <w:lang w:val="es-MX"/>
        </w:rPr>
        <w:t>Variación absoluta interanual</w:t>
      </w:r>
    </w:p>
    <w:p w:rsidR="00230240" w:rsidRPr="002C4CB2" w:rsidRDefault="00230240" w:rsidP="00230240">
      <w:pPr>
        <w:pStyle w:val="Sinespaciado"/>
        <w:jc w:val="center"/>
        <w:rPr>
          <w:rFonts w:ascii="Times New Roman" w:hAnsi="Times New Roman" w:cs="Times New Roman"/>
          <w:sz w:val="18"/>
          <w:lang w:val="es-MX"/>
        </w:rPr>
      </w:pPr>
      <w:r w:rsidRPr="002C4CB2">
        <w:rPr>
          <w:rFonts w:ascii="Times New Roman" w:hAnsi="Times New Roman" w:cs="Times New Roman"/>
          <w:noProof/>
          <w:sz w:val="18"/>
          <w:lang w:eastAsia="es-GT"/>
        </w:rPr>
        <w:lastRenderedPageBreak/>
        <w:drawing>
          <wp:inline distT="0" distB="0" distL="0" distR="0" wp14:anchorId="39D0BFE3" wp14:editId="185E4700">
            <wp:extent cx="2610485" cy="2854518"/>
            <wp:effectExtent l="0" t="0" r="0" b="3175"/>
            <wp:docPr id="24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30240" w:rsidRPr="002C4CB2" w:rsidRDefault="00230240" w:rsidP="00230240">
      <w:pPr>
        <w:spacing w:after="0" w:line="240" w:lineRule="auto"/>
        <w:jc w:val="both"/>
        <w:rPr>
          <w:rFonts w:ascii="Times New Roman" w:hAnsi="Times New Roman" w:cs="Times New Roman"/>
          <w:sz w:val="16"/>
        </w:rPr>
      </w:pPr>
      <w:r w:rsidRPr="002C4CB2">
        <w:rPr>
          <w:rFonts w:ascii="Times New Roman" w:hAnsi="Times New Roman" w:cs="Times New Roman"/>
          <w:sz w:val="16"/>
        </w:rPr>
        <w:t>Fuente: Dirección de Análisis y Política Fiscal</w:t>
      </w:r>
    </w:p>
    <w:p w:rsidR="00230240" w:rsidRPr="008E3A30" w:rsidRDefault="00230240" w:rsidP="00230240">
      <w:pPr>
        <w:pStyle w:val="Sinespaciado"/>
        <w:jc w:val="both"/>
        <w:rPr>
          <w:rFonts w:ascii="Times New Roman" w:hAnsi="Times New Roman" w:cs="Times New Roman"/>
          <w:lang w:val="es-MX"/>
        </w:rPr>
      </w:pPr>
      <w:r w:rsidRPr="008E3A30">
        <w:rPr>
          <w:rFonts w:ascii="Times New Roman" w:hAnsi="Times New Roman" w:cs="Times New Roman"/>
          <w:lang w:val="es-MX"/>
        </w:rPr>
        <w:t xml:space="preserve">En cuanto al gasto total, el cual incluye amortizaciones de </w:t>
      </w:r>
      <w:r>
        <w:rPr>
          <w:rFonts w:ascii="Times New Roman" w:hAnsi="Times New Roman" w:cs="Times New Roman"/>
          <w:lang w:val="es-MX"/>
        </w:rPr>
        <w:t>la deuda pública, se situó en Q64</w:t>
      </w:r>
      <w:proofErr w:type="gramStart"/>
      <w:r w:rsidRPr="008E3A30">
        <w:rPr>
          <w:rFonts w:ascii="Times New Roman" w:hAnsi="Times New Roman" w:cs="Times New Roman"/>
          <w:lang w:val="es-MX"/>
        </w:rPr>
        <w:t>,</w:t>
      </w:r>
      <w:r>
        <w:rPr>
          <w:rFonts w:ascii="Times New Roman" w:hAnsi="Times New Roman" w:cs="Times New Roman"/>
          <w:lang w:val="es-MX"/>
        </w:rPr>
        <w:t>442.7</w:t>
      </w:r>
      <w:proofErr w:type="gramEnd"/>
      <w:r>
        <w:rPr>
          <w:rFonts w:ascii="Times New Roman" w:hAnsi="Times New Roman" w:cs="Times New Roman"/>
          <w:lang w:val="es-MX"/>
        </w:rPr>
        <w:t xml:space="preserve"> m</w:t>
      </w:r>
      <w:r w:rsidRPr="008E3A30">
        <w:rPr>
          <w:rFonts w:ascii="Times New Roman" w:hAnsi="Times New Roman" w:cs="Times New Roman"/>
          <w:lang w:val="es-MX"/>
        </w:rPr>
        <w:t>illones,</w:t>
      </w:r>
      <w:r>
        <w:rPr>
          <w:rFonts w:ascii="Times New Roman" w:hAnsi="Times New Roman" w:cs="Times New Roman"/>
          <w:lang w:val="es-MX"/>
        </w:rPr>
        <w:t xml:space="preserve"> con un grado de ejecución de 59.9</w:t>
      </w:r>
      <w:r w:rsidRPr="008E3A30">
        <w:rPr>
          <w:rFonts w:ascii="Times New Roman" w:hAnsi="Times New Roman" w:cs="Times New Roman"/>
          <w:lang w:val="es-MX"/>
        </w:rPr>
        <w:t>%</w:t>
      </w:r>
      <w:r>
        <w:rPr>
          <w:rFonts w:ascii="Times New Roman" w:hAnsi="Times New Roman" w:cs="Times New Roman"/>
          <w:lang w:val="es-MX"/>
        </w:rPr>
        <w:t xml:space="preserve"> y una variación interanual negativa del 4</w:t>
      </w:r>
      <w:r w:rsidRPr="008E3A30">
        <w:rPr>
          <w:rFonts w:ascii="Times New Roman" w:hAnsi="Times New Roman" w:cs="Times New Roman"/>
          <w:lang w:val="es-MX"/>
        </w:rPr>
        <w:t>.</w:t>
      </w:r>
      <w:r>
        <w:rPr>
          <w:rFonts w:ascii="Times New Roman" w:hAnsi="Times New Roman" w:cs="Times New Roman"/>
          <w:lang w:val="es-MX"/>
        </w:rPr>
        <w:t>4</w:t>
      </w:r>
      <w:r w:rsidRPr="008E3A30">
        <w:rPr>
          <w:rFonts w:ascii="Times New Roman" w:hAnsi="Times New Roman" w:cs="Times New Roman"/>
          <w:lang w:val="es-MX"/>
        </w:rPr>
        <w:t>%. Este grado de ejecución se encuentra por abajo de la ejecución promedio de los últimos 5 años (</w:t>
      </w:r>
      <w:r>
        <w:rPr>
          <w:rFonts w:ascii="Times New Roman" w:hAnsi="Times New Roman" w:cs="Times New Roman"/>
          <w:lang w:val="es-MX"/>
        </w:rPr>
        <w:t>64.5</w:t>
      </w:r>
      <w:r w:rsidRPr="008E3A30">
        <w:rPr>
          <w:rFonts w:ascii="Times New Roman" w:hAnsi="Times New Roman" w:cs="Times New Roman"/>
          <w:lang w:val="es-MX"/>
        </w:rPr>
        <w:t xml:space="preserve">%) y es inferior a la reportada en cada uno de los años previos. </w:t>
      </w:r>
    </w:p>
    <w:p w:rsidR="00230240" w:rsidRPr="008E3A30" w:rsidRDefault="00230240" w:rsidP="00230240">
      <w:pPr>
        <w:pStyle w:val="Sinespaciado"/>
        <w:jc w:val="both"/>
        <w:rPr>
          <w:rFonts w:ascii="Times New Roman" w:hAnsi="Times New Roman" w:cs="Times New Roman"/>
          <w:lang w:val="es-MX"/>
        </w:rPr>
      </w:pPr>
    </w:p>
    <w:p w:rsidR="00230240" w:rsidRDefault="00230240" w:rsidP="00230240">
      <w:pPr>
        <w:pStyle w:val="Sinespaciado"/>
        <w:jc w:val="both"/>
        <w:rPr>
          <w:rFonts w:ascii="Times New Roman" w:hAnsi="Times New Roman" w:cs="Times New Roman"/>
          <w:color w:val="FF0000"/>
          <w:lang w:val="es-MX"/>
        </w:rPr>
      </w:pPr>
      <w:r w:rsidRPr="008E3A30">
        <w:rPr>
          <w:rFonts w:ascii="Times New Roman" w:hAnsi="Times New Roman" w:cs="Times New Roman"/>
          <w:lang w:val="es-MX"/>
        </w:rPr>
        <w:t>En 2021 el gra</w:t>
      </w:r>
      <w:r>
        <w:rPr>
          <w:rFonts w:ascii="Times New Roman" w:hAnsi="Times New Roman" w:cs="Times New Roman"/>
          <w:lang w:val="es-MX"/>
        </w:rPr>
        <w:t xml:space="preserve">do de ejecución se percibe bajo, aunque hay que tomar en consideración la no aprobación del presupuesto y el </w:t>
      </w:r>
      <w:r w:rsidRPr="008E3A30">
        <w:rPr>
          <w:rFonts w:ascii="Times New Roman" w:hAnsi="Times New Roman" w:cs="Times New Roman"/>
          <w:lang w:val="es-MX"/>
        </w:rPr>
        <w:t>efecto de contar con un presupuesto vigente de Q107</w:t>
      </w:r>
      <w:proofErr w:type="gramStart"/>
      <w:r w:rsidRPr="008E3A30">
        <w:rPr>
          <w:rFonts w:ascii="Times New Roman" w:hAnsi="Times New Roman" w:cs="Times New Roman"/>
          <w:lang w:val="es-MX"/>
        </w:rPr>
        <w:t>,521.5</w:t>
      </w:r>
      <w:proofErr w:type="gramEnd"/>
      <w:r w:rsidRPr="008E3A30">
        <w:rPr>
          <w:rFonts w:ascii="Times New Roman" w:hAnsi="Times New Roman" w:cs="Times New Roman"/>
          <w:lang w:val="es-MX"/>
        </w:rPr>
        <w:t xml:space="preserve"> millones</w:t>
      </w:r>
      <w:r>
        <w:rPr>
          <w:rFonts w:ascii="Times New Roman" w:hAnsi="Times New Roman" w:cs="Times New Roman"/>
          <w:lang w:val="es-MX"/>
        </w:rPr>
        <w:t>, que responde a las necesidades de un ejercicio fiscal diferente y totalmente atípico</w:t>
      </w:r>
      <w:r w:rsidRPr="008E3A30">
        <w:rPr>
          <w:rFonts w:ascii="Times New Roman" w:hAnsi="Times New Roman" w:cs="Times New Roman"/>
          <w:lang w:val="es-MX"/>
        </w:rPr>
        <w:t>.</w:t>
      </w:r>
      <w:r>
        <w:rPr>
          <w:rFonts w:ascii="Times New Roman" w:hAnsi="Times New Roman" w:cs="Times New Roman"/>
          <w:lang w:val="es-MX"/>
        </w:rPr>
        <w:t xml:space="preserve"> </w:t>
      </w:r>
      <w:r w:rsidRPr="008E3A30">
        <w:rPr>
          <w:rFonts w:ascii="Times New Roman" w:hAnsi="Times New Roman" w:cs="Times New Roman"/>
          <w:lang w:val="es-MX"/>
        </w:rPr>
        <w:t>Tomando en consideración el presupuesto operativo anunciado por el Ejecutivo (Q94</w:t>
      </w:r>
      <w:proofErr w:type="gramStart"/>
      <w:r w:rsidRPr="008E3A30">
        <w:rPr>
          <w:rFonts w:ascii="Times New Roman" w:hAnsi="Times New Roman" w:cs="Times New Roman"/>
          <w:lang w:val="es-MX"/>
        </w:rPr>
        <w:t>,354.0</w:t>
      </w:r>
      <w:proofErr w:type="gramEnd"/>
      <w:r>
        <w:rPr>
          <w:rFonts w:ascii="Times New Roman" w:hAnsi="Times New Roman" w:cs="Times New Roman"/>
          <w:lang w:val="es-MX"/>
        </w:rPr>
        <w:t xml:space="preserve"> millones) una ejecución más apegada a la realidad</w:t>
      </w:r>
      <w:r w:rsidRPr="008E3A30">
        <w:rPr>
          <w:rFonts w:ascii="Times New Roman" w:hAnsi="Times New Roman" w:cs="Times New Roman"/>
          <w:lang w:val="es-MX"/>
        </w:rPr>
        <w:t xml:space="preserve"> podría ubicarse en</w:t>
      </w:r>
      <w:r>
        <w:rPr>
          <w:rFonts w:ascii="Times New Roman" w:hAnsi="Times New Roman" w:cs="Times New Roman"/>
          <w:lang w:val="es-MX"/>
        </w:rPr>
        <w:t xml:space="preserve"> 68</w:t>
      </w:r>
      <w:r w:rsidRPr="008E3A30">
        <w:rPr>
          <w:rFonts w:ascii="Times New Roman" w:hAnsi="Times New Roman" w:cs="Times New Roman"/>
          <w:lang w:val="es-MX"/>
        </w:rPr>
        <w:t>.</w:t>
      </w:r>
      <w:r>
        <w:rPr>
          <w:rFonts w:ascii="Times New Roman" w:hAnsi="Times New Roman" w:cs="Times New Roman"/>
          <w:lang w:val="es-MX"/>
        </w:rPr>
        <w:t>3</w:t>
      </w:r>
      <w:r w:rsidRPr="008E3A30">
        <w:rPr>
          <w:rFonts w:ascii="Times New Roman" w:hAnsi="Times New Roman" w:cs="Times New Roman"/>
          <w:lang w:val="es-MX"/>
        </w:rPr>
        <w:t>%, siendo superior al promedio de los últimos 5 años y a cada uno de los años anteriores.</w:t>
      </w:r>
    </w:p>
    <w:p w:rsidR="00230240" w:rsidRDefault="00230240" w:rsidP="00230240">
      <w:pPr>
        <w:pStyle w:val="Sinespaciado"/>
        <w:jc w:val="both"/>
        <w:rPr>
          <w:rFonts w:ascii="Times New Roman" w:hAnsi="Times New Roman" w:cs="Times New Roman"/>
          <w:color w:val="FF0000"/>
          <w:lang w:val="es-MX"/>
        </w:rPr>
      </w:pPr>
    </w:p>
    <w:p w:rsidR="00230240" w:rsidRPr="002C4CB2" w:rsidRDefault="00230240" w:rsidP="00230240">
      <w:pPr>
        <w:spacing w:after="0" w:line="240" w:lineRule="auto"/>
        <w:jc w:val="center"/>
        <w:rPr>
          <w:rFonts w:ascii="Times New Roman" w:hAnsi="Times New Roman" w:cs="Times New Roman"/>
          <w:b/>
          <w:lang w:val="es-MX"/>
        </w:rPr>
      </w:pPr>
      <w:r w:rsidRPr="002C4CB2">
        <w:rPr>
          <w:rFonts w:ascii="Times New Roman" w:hAnsi="Times New Roman" w:cs="Times New Roman"/>
          <w:b/>
          <w:lang w:val="es-MX"/>
        </w:rPr>
        <w:t>Grado de Ejecución de los últimos 5 años</w:t>
      </w:r>
    </w:p>
    <w:p w:rsidR="00230240" w:rsidRPr="002C4CB2" w:rsidRDefault="00230240" w:rsidP="00230240">
      <w:pPr>
        <w:pStyle w:val="Sinespaciado"/>
        <w:jc w:val="center"/>
        <w:rPr>
          <w:rFonts w:ascii="Times New Roman" w:hAnsi="Times New Roman" w:cs="Times New Roman"/>
          <w:sz w:val="18"/>
          <w:szCs w:val="18"/>
          <w:lang w:val="es-MX"/>
        </w:rPr>
      </w:pPr>
      <w:r>
        <w:rPr>
          <w:rFonts w:ascii="Times New Roman" w:hAnsi="Times New Roman" w:cs="Times New Roman"/>
          <w:sz w:val="18"/>
          <w:szCs w:val="18"/>
          <w:lang w:val="es-MX"/>
        </w:rPr>
        <w:t>Al 30</w:t>
      </w:r>
      <w:r w:rsidRPr="002C4CB2">
        <w:rPr>
          <w:rFonts w:ascii="Times New Roman" w:hAnsi="Times New Roman" w:cs="Times New Roman"/>
          <w:sz w:val="18"/>
          <w:szCs w:val="18"/>
          <w:lang w:val="es-MX"/>
        </w:rPr>
        <w:t xml:space="preserve"> de </w:t>
      </w:r>
      <w:r>
        <w:rPr>
          <w:rFonts w:ascii="Times New Roman" w:hAnsi="Times New Roman" w:cs="Times New Roman"/>
          <w:sz w:val="18"/>
          <w:szCs w:val="18"/>
          <w:lang w:val="es-MX"/>
        </w:rPr>
        <w:t>septiembre</w:t>
      </w:r>
      <w:r w:rsidRPr="002C4CB2">
        <w:rPr>
          <w:rFonts w:ascii="Times New Roman" w:hAnsi="Times New Roman" w:cs="Times New Roman"/>
          <w:sz w:val="18"/>
          <w:szCs w:val="18"/>
          <w:lang w:val="es-MX"/>
        </w:rPr>
        <w:t xml:space="preserve"> de cada año</w:t>
      </w:r>
    </w:p>
    <w:p w:rsidR="00230240" w:rsidRPr="002C4CB2" w:rsidRDefault="00230240" w:rsidP="00230240">
      <w:pPr>
        <w:pStyle w:val="Sinespaciado"/>
        <w:jc w:val="center"/>
        <w:rPr>
          <w:rFonts w:ascii="Times New Roman" w:hAnsi="Times New Roman" w:cs="Times New Roman"/>
          <w:sz w:val="18"/>
          <w:szCs w:val="18"/>
          <w:lang w:val="es-MX"/>
        </w:rPr>
      </w:pPr>
      <w:r w:rsidRPr="002C4CB2">
        <w:rPr>
          <w:rFonts w:ascii="Times New Roman" w:hAnsi="Times New Roman" w:cs="Times New Roman"/>
          <w:noProof/>
          <w:sz w:val="18"/>
          <w:szCs w:val="18"/>
          <w:lang w:eastAsia="es-GT"/>
        </w:rPr>
        <w:lastRenderedPageBreak/>
        <w:drawing>
          <wp:anchor distT="0" distB="0" distL="114300" distR="114300" simplePos="0" relativeHeight="251882496" behindDoc="0" locked="0" layoutInCell="1" allowOverlap="1" wp14:anchorId="73D6952D" wp14:editId="0A25D8CF">
            <wp:simplePos x="0" y="0"/>
            <wp:positionH relativeFrom="column">
              <wp:posOffset>-152400</wp:posOffset>
            </wp:positionH>
            <wp:positionV relativeFrom="paragraph">
              <wp:posOffset>150136</wp:posOffset>
            </wp:positionV>
            <wp:extent cx="2760345" cy="1790700"/>
            <wp:effectExtent l="0" t="0" r="1905" b="0"/>
            <wp:wrapSquare wrapText="bothSides"/>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2C4CB2">
        <w:rPr>
          <w:rFonts w:ascii="Times New Roman" w:hAnsi="Times New Roman" w:cs="Times New Roman"/>
          <w:sz w:val="18"/>
          <w:szCs w:val="18"/>
          <w:lang w:val="es-MX"/>
        </w:rPr>
        <w:t>Cifras en porcentajes</w:t>
      </w:r>
    </w:p>
    <w:p w:rsidR="00230240" w:rsidRPr="002C4CB2" w:rsidRDefault="00230240" w:rsidP="00230240">
      <w:pPr>
        <w:spacing w:after="0" w:line="240" w:lineRule="auto"/>
        <w:jc w:val="both"/>
        <w:rPr>
          <w:rFonts w:ascii="Times New Roman" w:hAnsi="Times New Roman" w:cs="Times New Roman"/>
          <w:b/>
          <w:i/>
          <w:sz w:val="16"/>
        </w:rPr>
      </w:pPr>
      <w:r w:rsidRPr="002C4CB2">
        <w:rPr>
          <w:rFonts w:ascii="Times New Roman" w:hAnsi="Times New Roman" w:cs="Times New Roman"/>
          <w:b/>
          <w:i/>
          <w:sz w:val="16"/>
        </w:rPr>
        <w:t>*Con presupuesto 2021 ajustado Q94</w:t>
      </w:r>
      <w:proofErr w:type="gramStart"/>
      <w:r w:rsidRPr="002C4CB2">
        <w:rPr>
          <w:rFonts w:ascii="Times New Roman" w:hAnsi="Times New Roman" w:cs="Times New Roman"/>
          <w:b/>
          <w:i/>
          <w:sz w:val="16"/>
        </w:rPr>
        <w:t>,354.0</w:t>
      </w:r>
      <w:proofErr w:type="gramEnd"/>
      <w:r w:rsidRPr="002C4CB2">
        <w:rPr>
          <w:rFonts w:ascii="Times New Roman" w:hAnsi="Times New Roman" w:cs="Times New Roman"/>
          <w:b/>
          <w:i/>
          <w:sz w:val="16"/>
        </w:rPr>
        <w:t xml:space="preserve"> millones</w:t>
      </w:r>
    </w:p>
    <w:p w:rsidR="00230240" w:rsidRPr="002C4CB2" w:rsidRDefault="00230240" w:rsidP="00230240">
      <w:pPr>
        <w:spacing w:after="0" w:line="240" w:lineRule="auto"/>
        <w:jc w:val="both"/>
        <w:rPr>
          <w:rFonts w:ascii="Times New Roman" w:hAnsi="Times New Roman" w:cs="Times New Roman"/>
          <w:sz w:val="16"/>
        </w:rPr>
      </w:pPr>
      <w:r w:rsidRPr="002C4CB2">
        <w:rPr>
          <w:rFonts w:ascii="Times New Roman" w:hAnsi="Times New Roman" w:cs="Times New Roman"/>
          <w:sz w:val="16"/>
        </w:rPr>
        <w:t>Fuente: Dirección de Análisis y Política Fiscal</w:t>
      </w:r>
    </w:p>
    <w:p w:rsidR="00230240" w:rsidRPr="002C4CB2" w:rsidRDefault="00230240" w:rsidP="00230240">
      <w:pPr>
        <w:pStyle w:val="Sinespaciado"/>
        <w:jc w:val="both"/>
        <w:rPr>
          <w:rFonts w:ascii="Times New Roman" w:hAnsi="Times New Roman" w:cs="Times New Roman"/>
          <w:color w:val="FF0000"/>
        </w:rPr>
      </w:pPr>
    </w:p>
    <w:p w:rsidR="00230240" w:rsidRDefault="00230240" w:rsidP="00230240">
      <w:pPr>
        <w:pStyle w:val="Sinespaciado"/>
        <w:jc w:val="both"/>
        <w:rPr>
          <w:rFonts w:ascii="Times New Roman" w:hAnsi="Times New Roman" w:cs="Times New Roman"/>
        </w:rPr>
      </w:pPr>
      <w:r>
        <w:rPr>
          <w:rFonts w:ascii="Times New Roman" w:hAnsi="Times New Roman" w:cs="Times New Roman"/>
        </w:rPr>
        <w:t xml:space="preserve">A nivel del gasto público por entidades, las que muestran el mayor nivel de ejecución son: la PGN (72.2%), </w:t>
      </w:r>
      <w:r w:rsidRPr="008639E5">
        <w:rPr>
          <w:rFonts w:ascii="Times New Roman" w:hAnsi="Times New Roman" w:cs="Times New Roman"/>
        </w:rPr>
        <w:t>Educación (</w:t>
      </w:r>
      <w:r>
        <w:rPr>
          <w:rFonts w:ascii="Times New Roman" w:hAnsi="Times New Roman" w:cs="Times New Roman"/>
        </w:rPr>
        <w:t>71</w:t>
      </w:r>
      <w:r w:rsidRPr="008639E5">
        <w:rPr>
          <w:rFonts w:ascii="Times New Roman" w:hAnsi="Times New Roman" w:cs="Times New Roman"/>
        </w:rPr>
        <w:t>.</w:t>
      </w:r>
      <w:r>
        <w:rPr>
          <w:rFonts w:ascii="Times New Roman" w:hAnsi="Times New Roman" w:cs="Times New Roman"/>
        </w:rPr>
        <w:t>2</w:t>
      </w:r>
      <w:r w:rsidRPr="008639E5">
        <w:rPr>
          <w:rFonts w:ascii="Times New Roman" w:hAnsi="Times New Roman" w:cs="Times New Roman"/>
        </w:rPr>
        <w:t xml:space="preserve">%), </w:t>
      </w:r>
      <w:r>
        <w:rPr>
          <w:rFonts w:ascii="Times New Roman" w:hAnsi="Times New Roman" w:cs="Times New Roman"/>
        </w:rPr>
        <w:t xml:space="preserve"> Gobernación (70.7%), </w:t>
      </w:r>
      <w:r w:rsidRPr="004523BC">
        <w:rPr>
          <w:rFonts w:ascii="Times New Roman" w:hAnsi="Times New Roman" w:cs="Times New Roman"/>
        </w:rPr>
        <w:t xml:space="preserve">Deuda Pública </w:t>
      </w:r>
      <w:r>
        <w:rPr>
          <w:rFonts w:ascii="Times New Roman" w:hAnsi="Times New Roman" w:cs="Times New Roman"/>
        </w:rPr>
        <w:t>(69.8%), Salud Pública (69.4%),</w:t>
      </w:r>
      <w:r w:rsidRPr="000D1E0C">
        <w:rPr>
          <w:rFonts w:ascii="Times New Roman" w:hAnsi="Times New Roman" w:cs="Times New Roman"/>
        </w:rPr>
        <w:t xml:space="preserve"> </w:t>
      </w:r>
      <w:r>
        <w:rPr>
          <w:rFonts w:ascii="Times New Roman" w:hAnsi="Times New Roman" w:cs="Times New Roman"/>
        </w:rPr>
        <w:t>MINREX (66.3</w:t>
      </w:r>
      <w:r>
        <w:rPr>
          <w:rFonts w:ascii="Times New Roman" w:hAnsi="Times New Roman" w:cs="Times New Roman"/>
        </w:rPr>
        <w:br/>
        <w:t>%), Ambiente (66.1%), Trabajo (65.4%), Desarrollo Social (62.6%), Defensa (62.2%) y Finanzas (60.2%) todas estas entidades se encuentran por arriba de la ejecución institucional total (59.9%). Por su parte, el resto de las entidades se encuentran por debajo de la ejecución total, resalta el caso de dos entidades, siendo Economía (51.2%) y las Obligaciones del Estado (48.2%).</w:t>
      </w:r>
    </w:p>
    <w:p w:rsidR="00230240" w:rsidRDefault="00230240" w:rsidP="00230240">
      <w:pPr>
        <w:pStyle w:val="Sinespaciado"/>
        <w:jc w:val="both"/>
        <w:rPr>
          <w:rFonts w:ascii="Times New Roman" w:hAnsi="Times New Roman" w:cs="Times New Roman"/>
        </w:rPr>
      </w:pPr>
    </w:p>
    <w:p w:rsidR="00230240" w:rsidRPr="002C4CB2" w:rsidRDefault="00230240" w:rsidP="00230240">
      <w:pPr>
        <w:spacing w:after="0" w:line="240" w:lineRule="auto"/>
        <w:jc w:val="center"/>
        <w:rPr>
          <w:rFonts w:ascii="Times New Roman" w:hAnsi="Times New Roman" w:cs="Times New Roman"/>
          <w:b/>
          <w:lang w:val="es-MX"/>
        </w:rPr>
      </w:pPr>
      <w:r w:rsidRPr="002C4CB2">
        <w:rPr>
          <w:rFonts w:ascii="Times New Roman" w:hAnsi="Times New Roman" w:cs="Times New Roman"/>
          <w:b/>
          <w:lang w:val="es-MX"/>
        </w:rPr>
        <w:t>Grado de Ejecución por Entidad</w:t>
      </w:r>
    </w:p>
    <w:p w:rsidR="00230240" w:rsidRPr="002C4CB2" w:rsidRDefault="00230240" w:rsidP="00230240">
      <w:pPr>
        <w:spacing w:after="0" w:line="240" w:lineRule="auto"/>
        <w:jc w:val="center"/>
        <w:rPr>
          <w:rFonts w:ascii="Times New Roman" w:hAnsi="Times New Roman" w:cs="Times New Roman"/>
          <w:sz w:val="18"/>
          <w:szCs w:val="18"/>
          <w:lang w:val="es-MX"/>
        </w:rPr>
      </w:pPr>
      <w:r w:rsidRPr="002C4CB2">
        <w:rPr>
          <w:rFonts w:ascii="Times New Roman" w:hAnsi="Times New Roman" w:cs="Times New Roman"/>
          <w:sz w:val="18"/>
          <w:szCs w:val="18"/>
          <w:lang w:val="es-MX"/>
        </w:rPr>
        <w:t>Al 3</w:t>
      </w:r>
      <w:r>
        <w:rPr>
          <w:rFonts w:ascii="Times New Roman" w:hAnsi="Times New Roman" w:cs="Times New Roman"/>
          <w:sz w:val="18"/>
          <w:szCs w:val="18"/>
          <w:lang w:val="es-MX"/>
        </w:rPr>
        <w:t>0 de septiembre</w:t>
      </w:r>
      <w:r w:rsidRPr="002C4CB2">
        <w:rPr>
          <w:rFonts w:ascii="Times New Roman" w:hAnsi="Times New Roman" w:cs="Times New Roman"/>
          <w:sz w:val="18"/>
          <w:szCs w:val="18"/>
          <w:lang w:val="es-MX"/>
        </w:rPr>
        <w:t xml:space="preserve"> del 2021</w:t>
      </w:r>
    </w:p>
    <w:p w:rsidR="00230240" w:rsidRDefault="00230240" w:rsidP="00230240">
      <w:pPr>
        <w:spacing w:after="0" w:line="240" w:lineRule="auto"/>
        <w:jc w:val="center"/>
        <w:rPr>
          <w:rFonts w:ascii="Times New Roman" w:hAnsi="Times New Roman" w:cs="Times New Roman"/>
          <w:sz w:val="18"/>
          <w:szCs w:val="18"/>
          <w:lang w:val="es-MX"/>
        </w:rPr>
      </w:pPr>
      <w:r w:rsidRPr="002C4CB2">
        <w:rPr>
          <w:rFonts w:ascii="Times New Roman" w:hAnsi="Times New Roman" w:cs="Times New Roman"/>
          <w:noProof/>
          <w:sz w:val="18"/>
          <w:szCs w:val="18"/>
          <w:lang w:eastAsia="es-GT"/>
        </w:rPr>
        <w:drawing>
          <wp:anchor distT="0" distB="0" distL="114300" distR="114300" simplePos="0" relativeHeight="251884544" behindDoc="0" locked="0" layoutInCell="1" allowOverlap="1" wp14:anchorId="68FB419B" wp14:editId="0A10D14C">
            <wp:simplePos x="0" y="0"/>
            <wp:positionH relativeFrom="column">
              <wp:posOffset>-46990</wp:posOffset>
            </wp:positionH>
            <wp:positionV relativeFrom="paragraph">
              <wp:posOffset>132080</wp:posOffset>
            </wp:positionV>
            <wp:extent cx="2694940" cy="3283585"/>
            <wp:effectExtent l="0" t="0" r="0" b="0"/>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Pr>
          <w:rFonts w:ascii="Times New Roman" w:hAnsi="Times New Roman" w:cs="Times New Roman"/>
          <w:sz w:val="18"/>
          <w:szCs w:val="18"/>
          <w:lang w:val="es-MX"/>
        </w:rPr>
        <w:t>En porcentaje</w:t>
      </w:r>
      <w:r w:rsidRPr="002C4CB2">
        <w:rPr>
          <w:rFonts w:ascii="Times New Roman" w:hAnsi="Times New Roman" w:cs="Times New Roman"/>
          <w:sz w:val="18"/>
          <w:szCs w:val="18"/>
          <w:lang w:val="es-MX"/>
        </w:rPr>
        <w:t>s</w:t>
      </w:r>
    </w:p>
    <w:p w:rsidR="00230240" w:rsidRPr="002C4CB2" w:rsidRDefault="00230240" w:rsidP="00230240">
      <w:pPr>
        <w:spacing w:after="0" w:line="240" w:lineRule="auto"/>
        <w:jc w:val="both"/>
        <w:rPr>
          <w:rFonts w:ascii="Times New Roman" w:hAnsi="Times New Roman" w:cs="Times New Roman"/>
          <w:sz w:val="16"/>
        </w:rPr>
      </w:pPr>
      <w:r w:rsidRPr="002C4CB2">
        <w:rPr>
          <w:rFonts w:ascii="Times New Roman" w:hAnsi="Times New Roman" w:cs="Times New Roman"/>
          <w:sz w:val="16"/>
        </w:rPr>
        <w:lastRenderedPageBreak/>
        <w:t>Fuente: Dirección de Análisis y Política Fiscal</w:t>
      </w:r>
    </w:p>
    <w:p w:rsidR="00230240" w:rsidRPr="008B062E" w:rsidRDefault="00230240" w:rsidP="00230240">
      <w:pPr>
        <w:pStyle w:val="Sinespaciado"/>
        <w:jc w:val="both"/>
        <w:rPr>
          <w:rFonts w:ascii="Times New Roman" w:hAnsi="Times New Roman" w:cs="Times New Roman"/>
          <w:sz w:val="18"/>
          <w:lang w:val="es-MX"/>
        </w:rPr>
      </w:pPr>
    </w:p>
    <w:p w:rsidR="00230240" w:rsidRDefault="00230240" w:rsidP="00230240">
      <w:pPr>
        <w:pStyle w:val="Sinespaciado"/>
        <w:jc w:val="both"/>
        <w:rPr>
          <w:rFonts w:ascii="Times New Roman" w:hAnsi="Times New Roman" w:cs="Times New Roman"/>
          <w:lang w:val="es-MX"/>
        </w:rPr>
      </w:pPr>
      <w:r>
        <w:rPr>
          <w:rFonts w:ascii="Times New Roman" w:hAnsi="Times New Roman" w:cs="Times New Roman"/>
          <w:lang w:val="es-MX"/>
        </w:rPr>
        <w:t xml:space="preserve">De </w:t>
      </w:r>
      <w:r w:rsidRPr="00C74885">
        <w:rPr>
          <w:rFonts w:ascii="Times New Roman" w:hAnsi="Times New Roman" w:cs="Times New Roman"/>
          <w:lang w:val="es-MX"/>
        </w:rPr>
        <w:t>l</w:t>
      </w:r>
      <w:r>
        <w:rPr>
          <w:rFonts w:ascii="Times New Roman" w:hAnsi="Times New Roman" w:cs="Times New Roman"/>
          <w:lang w:val="es-MX"/>
        </w:rPr>
        <w:t>a ejecución del</w:t>
      </w:r>
      <w:r w:rsidRPr="00C74885">
        <w:rPr>
          <w:rFonts w:ascii="Times New Roman" w:hAnsi="Times New Roman" w:cs="Times New Roman"/>
          <w:lang w:val="es-MX"/>
        </w:rPr>
        <w:t xml:space="preserve"> gasto social, </w:t>
      </w:r>
      <w:r>
        <w:rPr>
          <w:rFonts w:ascii="Times New Roman" w:hAnsi="Times New Roman" w:cs="Times New Roman"/>
          <w:lang w:val="es-MX"/>
        </w:rPr>
        <w:t>este reporta un mayor dinamismo respecto al año previo, con un crecimiento interanual de 9.4</w:t>
      </w:r>
      <w:r w:rsidRPr="00321A9C">
        <w:rPr>
          <w:rFonts w:ascii="Times New Roman" w:hAnsi="Times New Roman" w:cs="Times New Roman"/>
          <w:lang w:val="es-MX"/>
        </w:rPr>
        <w:t>%</w:t>
      </w:r>
      <w:r>
        <w:rPr>
          <w:rFonts w:ascii="Times New Roman" w:hAnsi="Times New Roman" w:cs="Times New Roman"/>
          <w:lang w:val="es-MX"/>
        </w:rPr>
        <w:t>, equivalente a Q2</w:t>
      </w:r>
      <w:proofErr w:type="gramStart"/>
      <w:r>
        <w:rPr>
          <w:rFonts w:ascii="Times New Roman" w:hAnsi="Times New Roman" w:cs="Times New Roman"/>
          <w:lang w:val="es-MX"/>
        </w:rPr>
        <w:t>,763.0</w:t>
      </w:r>
      <w:proofErr w:type="gramEnd"/>
      <w:r>
        <w:rPr>
          <w:rFonts w:ascii="Times New Roman" w:hAnsi="Times New Roman" w:cs="Times New Roman"/>
          <w:lang w:val="es-MX"/>
        </w:rPr>
        <w:t xml:space="preserve"> millones</w:t>
      </w:r>
      <w:r w:rsidRPr="00321A9C">
        <w:rPr>
          <w:rFonts w:ascii="Times New Roman" w:hAnsi="Times New Roman" w:cs="Times New Roman"/>
          <w:lang w:val="es-MX"/>
        </w:rPr>
        <w:t xml:space="preserve">. </w:t>
      </w:r>
    </w:p>
    <w:p w:rsidR="00230240" w:rsidRPr="008B062E" w:rsidRDefault="00230240" w:rsidP="00230240">
      <w:pPr>
        <w:pStyle w:val="Sinespaciado"/>
        <w:jc w:val="both"/>
        <w:rPr>
          <w:rFonts w:ascii="Times New Roman" w:hAnsi="Times New Roman" w:cs="Times New Roman"/>
          <w:sz w:val="18"/>
          <w:lang w:val="es-MX"/>
        </w:rPr>
      </w:pPr>
    </w:p>
    <w:p w:rsidR="00230240" w:rsidRDefault="00230240" w:rsidP="00230240">
      <w:pPr>
        <w:pStyle w:val="Sinespaciado"/>
        <w:jc w:val="both"/>
        <w:rPr>
          <w:rFonts w:ascii="Times New Roman" w:hAnsi="Times New Roman" w:cs="Times New Roman"/>
          <w:lang w:val="es-MX"/>
        </w:rPr>
      </w:pPr>
      <w:r>
        <w:rPr>
          <w:rFonts w:ascii="Times New Roman" w:hAnsi="Times New Roman" w:cs="Times New Roman"/>
          <w:lang w:val="es-MX"/>
        </w:rPr>
        <w:t>Todas las finalidades del gasto social se encuentran creciendo en términos absolutos, con excepción de la vivienda el cual disminuyo en Q14.1 millones. Asimismo, se resalta el sector de Salud y Asistencia Social con un aumento importante de Q1</w:t>
      </w:r>
      <w:proofErr w:type="gramStart"/>
      <w:r>
        <w:rPr>
          <w:rFonts w:ascii="Times New Roman" w:hAnsi="Times New Roman" w:cs="Times New Roman"/>
          <w:lang w:val="es-MX"/>
        </w:rPr>
        <w:t>,782.6</w:t>
      </w:r>
      <w:proofErr w:type="gramEnd"/>
      <w:r>
        <w:rPr>
          <w:rFonts w:ascii="Times New Roman" w:hAnsi="Times New Roman" w:cs="Times New Roman"/>
          <w:lang w:val="es-MX"/>
        </w:rPr>
        <w:t xml:space="preserve"> millones (equivalente a 24.0%), asociado a la compra de las vacunas para hacer frente a la pandemia. Le sigue el sector de Educación con un aumento de Q536.1 millones (equivalente a 3.5%) y Seguridad Interna con un aumento de Q257.8 millones (equivalente a 6.7%). </w:t>
      </w:r>
    </w:p>
    <w:p w:rsidR="00230240" w:rsidRDefault="00230240" w:rsidP="00230240">
      <w:pPr>
        <w:pStyle w:val="Sinespaciado"/>
        <w:jc w:val="both"/>
        <w:rPr>
          <w:rFonts w:ascii="Times New Roman" w:hAnsi="Times New Roman" w:cs="Times New Roman"/>
          <w:lang w:val="es-MX"/>
        </w:rPr>
      </w:pPr>
    </w:p>
    <w:p w:rsidR="00230240" w:rsidRDefault="00230240" w:rsidP="00230240">
      <w:pPr>
        <w:pStyle w:val="Sinespaciado"/>
        <w:jc w:val="both"/>
        <w:rPr>
          <w:rFonts w:ascii="Times New Roman" w:hAnsi="Times New Roman" w:cs="Times New Roman"/>
          <w:lang w:val="es-MX"/>
        </w:rPr>
      </w:pPr>
      <w:r>
        <w:rPr>
          <w:rFonts w:ascii="Times New Roman" w:hAnsi="Times New Roman" w:cs="Times New Roman"/>
          <w:lang w:val="es-MX"/>
        </w:rPr>
        <w:t>Por su parte, los aportes hacia el Ministerio Público reportan un aumento de Q112.9 millones (equivalente a 10.0%) y el Organismo Judicial y Corte de Constitucionalidad reportan un aumento de Q87.6 millones (equivalente a 5.0%).</w:t>
      </w:r>
    </w:p>
    <w:p w:rsidR="00230240" w:rsidRDefault="00230240" w:rsidP="00230240">
      <w:pPr>
        <w:pStyle w:val="Sinespaciado"/>
        <w:jc w:val="both"/>
        <w:rPr>
          <w:rFonts w:ascii="Times New Roman" w:hAnsi="Times New Roman" w:cs="Times New Roman"/>
          <w:lang w:val="es-MX"/>
        </w:rPr>
      </w:pPr>
    </w:p>
    <w:p w:rsidR="00230240" w:rsidRPr="002C4CB2" w:rsidRDefault="00230240" w:rsidP="00230240">
      <w:pPr>
        <w:pStyle w:val="Sinespaciado"/>
        <w:jc w:val="center"/>
        <w:rPr>
          <w:rFonts w:ascii="Times New Roman" w:hAnsi="Times New Roman" w:cs="Times New Roman"/>
          <w:b/>
          <w:lang w:val="es-MX"/>
        </w:rPr>
      </w:pPr>
      <w:r w:rsidRPr="002C4CB2">
        <w:rPr>
          <w:rFonts w:ascii="Times New Roman" w:hAnsi="Times New Roman" w:cs="Times New Roman"/>
          <w:b/>
          <w:lang w:val="es-MX"/>
        </w:rPr>
        <w:t>Ejecución y crecimiento del Gasto Social</w:t>
      </w:r>
    </w:p>
    <w:p w:rsidR="00230240" w:rsidRPr="002C4CB2" w:rsidRDefault="00230240" w:rsidP="00230240">
      <w:pPr>
        <w:pStyle w:val="Sinespaciado"/>
        <w:jc w:val="center"/>
        <w:rPr>
          <w:rFonts w:ascii="Times New Roman" w:hAnsi="Times New Roman" w:cs="Times New Roman"/>
          <w:sz w:val="18"/>
          <w:szCs w:val="18"/>
          <w:lang w:val="es-MX"/>
        </w:rPr>
      </w:pPr>
      <w:r w:rsidRPr="002C4CB2">
        <w:rPr>
          <w:rFonts w:ascii="Times New Roman" w:hAnsi="Times New Roman" w:cs="Times New Roman"/>
          <w:sz w:val="18"/>
          <w:szCs w:val="18"/>
          <w:lang w:val="es-MX"/>
        </w:rPr>
        <w:t>Al 3</w:t>
      </w:r>
      <w:r>
        <w:rPr>
          <w:rFonts w:ascii="Times New Roman" w:hAnsi="Times New Roman" w:cs="Times New Roman"/>
          <w:sz w:val="18"/>
          <w:szCs w:val="18"/>
          <w:lang w:val="es-MX"/>
        </w:rPr>
        <w:t>0</w:t>
      </w:r>
      <w:r w:rsidRPr="002C4CB2">
        <w:rPr>
          <w:rFonts w:ascii="Times New Roman" w:hAnsi="Times New Roman" w:cs="Times New Roman"/>
          <w:sz w:val="18"/>
          <w:szCs w:val="18"/>
          <w:lang w:val="es-MX"/>
        </w:rPr>
        <w:t xml:space="preserve"> de </w:t>
      </w:r>
      <w:r>
        <w:rPr>
          <w:rFonts w:ascii="Times New Roman" w:hAnsi="Times New Roman" w:cs="Times New Roman"/>
          <w:sz w:val="18"/>
          <w:szCs w:val="18"/>
          <w:lang w:val="es-MX"/>
        </w:rPr>
        <w:t>septiembre</w:t>
      </w:r>
      <w:r w:rsidRPr="002C4CB2">
        <w:rPr>
          <w:rFonts w:ascii="Times New Roman" w:hAnsi="Times New Roman" w:cs="Times New Roman"/>
          <w:sz w:val="18"/>
          <w:szCs w:val="18"/>
          <w:lang w:val="es-MX"/>
        </w:rPr>
        <w:t xml:space="preserve"> 2021</w:t>
      </w:r>
    </w:p>
    <w:p w:rsidR="00230240" w:rsidRDefault="00230240" w:rsidP="00230240">
      <w:pPr>
        <w:pStyle w:val="Sinespaciado"/>
        <w:jc w:val="center"/>
        <w:rPr>
          <w:rFonts w:ascii="Times New Roman" w:hAnsi="Times New Roman" w:cs="Times New Roman"/>
          <w:sz w:val="18"/>
          <w:szCs w:val="18"/>
          <w:lang w:val="es-MX"/>
        </w:rPr>
      </w:pPr>
      <w:r w:rsidRPr="00AC4C27">
        <w:t xml:space="preserve"> </w:t>
      </w:r>
      <w:r w:rsidRPr="002C4CB2">
        <w:rPr>
          <w:rFonts w:ascii="Times New Roman" w:hAnsi="Times New Roman" w:cs="Times New Roman"/>
          <w:sz w:val="18"/>
          <w:szCs w:val="18"/>
          <w:lang w:val="es-MX"/>
        </w:rPr>
        <w:t>Cifras en porcentajes y en millones de quetzales</w:t>
      </w:r>
    </w:p>
    <w:p w:rsidR="00230240" w:rsidRPr="00A610D1" w:rsidRDefault="00820142" w:rsidP="00230240">
      <w:pPr>
        <w:pStyle w:val="Sinespaciado"/>
        <w:spacing w:after="240"/>
        <w:rPr>
          <w:rFonts w:ascii="Times New Roman" w:hAnsi="Times New Roman" w:cs="Times New Roman"/>
          <w:sz w:val="4"/>
        </w:rPr>
      </w:pPr>
      <w:r w:rsidRPr="00A610D1">
        <w:rPr>
          <w:noProof/>
          <w:lang w:eastAsia="es-GT"/>
        </w:rPr>
        <w:drawing>
          <wp:anchor distT="0" distB="0" distL="114300" distR="114300" simplePos="0" relativeHeight="251885568" behindDoc="0" locked="0" layoutInCell="1" allowOverlap="1" wp14:anchorId="518DBA09" wp14:editId="4526CEDA">
            <wp:simplePos x="0" y="0"/>
            <wp:positionH relativeFrom="column">
              <wp:posOffset>-66040</wp:posOffset>
            </wp:positionH>
            <wp:positionV relativeFrom="paragraph">
              <wp:posOffset>41275</wp:posOffset>
            </wp:positionV>
            <wp:extent cx="2816225" cy="1517650"/>
            <wp:effectExtent l="0" t="0" r="3175" b="6350"/>
            <wp:wrapSquare wrapText="bothSides"/>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6225" cy="151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7D10" w:rsidRDefault="00230240" w:rsidP="00230240">
      <w:pPr>
        <w:pStyle w:val="Sinespaciado"/>
        <w:jc w:val="both"/>
        <w:rPr>
          <w:rFonts w:ascii="Times New Roman" w:hAnsi="Times New Roman" w:cs="Times New Roman"/>
          <w:sz w:val="16"/>
        </w:rPr>
      </w:pPr>
      <w:r w:rsidRPr="002C4CB2">
        <w:rPr>
          <w:rFonts w:ascii="Times New Roman" w:hAnsi="Times New Roman" w:cs="Times New Roman"/>
          <w:sz w:val="16"/>
        </w:rPr>
        <w:t>Fuente: Dirección de Análisis y Política Fiscal</w:t>
      </w:r>
    </w:p>
    <w:p w:rsidR="00AA7BFD" w:rsidRPr="00AA7BFD" w:rsidRDefault="00AA7BFD" w:rsidP="00230240">
      <w:pPr>
        <w:pStyle w:val="Sinespaciado"/>
        <w:jc w:val="both"/>
        <w:rPr>
          <w:rFonts w:ascii="Times New Roman" w:hAnsi="Times New Roman" w:cs="Times New Roman"/>
          <w:color w:val="FF0000"/>
        </w:rPr>
      </w:pPr>
    </w:p>
    <w:p w:rsidR="00107D10" w:rsidRPr="005A7F2C" w:rsidRDefault="00107D10" w:rsidP="00BA782D">
      <w:pPr>
        <w:pStyle w:val="Sinespaciado"/>
        <w:jc w:val="both"/>
        <w:rPr>
          <w:rFonts w:ascii="Times New Roman" w:hAnsi="Times New Roman" w:cs="Times New Roman"/>
          <w:color w:val="FF0000"/>
          <w:sz w:val="8"/>
        </w:rPr>
        <w:sectPr w:rsidR="00107D10" w:rsidRPr="005A7F2C" w:rsidSect="00474998">
          <w:headerReference w:type="default" r:id="rId28"/>
          <w:footerReference w:type="default" r:id="rId29"/>
          <w:type w:val="continuous"/>
          <w:pgSz w:w="12240" w:h="15840" w:code="1"/>
          <w:pgMar w:top="1418" w:right="1608" w:bottom="1418" w:left="1701" w:header="709" w:footer="709" w:gutter="0"/>
          <w:cols w:num="2" w:space="708"/>
          <w:docGrid w:linePitch="360"/>
        </w:sectPr>
      </w:pPr>
    </w:p>
    <w:p w:rsidR="00BA782D" w:rsidRPr="005A7F2C" w:rsidRDefault="00BA782D" w:rsidP="00216605">
      <w:pPr>
        <w:pStyle w:val="Sinespaciado"/>
        <w:jc w:val="both"/>
        <w:rPr>
          <w:rFonts w:ascii="Times New Roman" w:hAnsi="Times New Roman" w:cs="Times New Roman"/>
          <w:color w:val="FF0000"/>
          <w:sz w:val="2"/>
          <w:lang w:val="es-MX"/>
        </w:rPr>
      </w:pPr>
    </w:p>
    <w:p w:rsidR="00DC25F0" w:rsidRPr="00B9353E" w:rsidRDefault="00DC25F0" w:rsidP="00DC25F0">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DC25F0" w:rsidRPr="00B9353E" w:rsidSect="00FA3B81">
          <w:type w:val="continuous"/>
          <w:pgSz w:w="12240" w:h="15840" w:code="1"/>
          <w:pgMar w:top="1418" w:right="1418" w:bottom="1418" w:left="1418" w:header="709" w:footer="709" w:gutter="0"/>
          <w:cols w:space="708"/>
          <w:docGrid w:linePitch="360"/>
        </w:sectPr>
      </w:pPr>
      <w:r w:rsidRPr="00B9353E">
        <w:rPr>
          <w:rFonts w:ascii="Times New Roman" w:hAnsi="Times New Roman" w:cs="Times New Roman"/>
          <w:b/>
          <w:lang w:val="es-MX"/>
        </w:rPr>
        <w:t>Colocaciones pendientes son de Q8</w:t>
      </w:r>
      <w:proofErr w:type="gramStart"/>
      <w:r w:rsidRPr="00B9353E">
        <w:rPr>
          <w:rFonts w:ascii="Times New Roman" w:hAnsi="Times New Roman" w:cs="Times New Roman"/>
          <w:b/>
          <w:lang w:val="es-MX"/>
        </w:rPr>
        <w:t>,834.3</w:t>
      </w:r>
      <w:proofErr w:type="gramEnd"/>
      <w:r w:rsidRPr="00B9353E">
        <w:rPr>
          <w:rFonts w:ascii="Times New Roman" w:hAnsi="Times New Roman" w:cs="Times New Roman"/>
          <w:b/>
          <w:lang w:val="es-MX"/>
        </w:rPr>
        <w:t xml:space="preserve"> millones a la espera de liquidar el Eurobono  </w:t>
      </w:r>
    </w:p>
    <w:p w:rsidR="00216605" w:rsidRPr="005A7F2C" w:rsidRDefault="00216605" w:rsidP="00216605">
      <w:pPr>
        <w:pStyle w:val="Sinespaciado"/>
        <w:rPr>
          <w:rFonts w:ascii="Times New Roman" w:hAnsi="Times New Roman" w:cs="Times New Roman"/>
          <w:b/>
          <w:color w:val="FF0000"/>
          <w:sz w:val="18"/>
          <w:lang w:val="es-MX"/>
        </w:rPr>
      </w:pPr>
    </w:p>
    <w:p w:rsidR="00216605" w:rsidRPr="005A7F2C" w:rsidRDefault="00216605" w:rsidP="00216605">
      <w:pPr>
        <w:pStyle w:val="Sinespaciado"/>
        <w:rPr>
          <w:rFonts w:ascii="Times New Roman" w:hAnsi="Times New Roman" w:cs="Times New Roman"/>
          <w:b/>
          <w:color w:val="FF0000"/>
          <w:lang w:val="es-MX"/>
        </w:rPr>
        <w:sectPr w:rsidR="00216605" w:rsidRPr="005A7F2C" w:rsidSect="004E358C">
          <w:type w:val="continuous"/>
          <w:pgSz w:w="12240" w:h="15840"/>
          <w:pgMar w:top="1417" w:right="1701" w:bottom="1417" w:left="1701" w:header="708" w:footer="708" w:gutter="0"/>
          <w:cols w:space="708"/>
          <w:docGrid w:linePitch="360"/>
        </w:sectPr>
      </w:pPr>
    </w:p>
    <w:p w:rsidR="00230240" w:rsidRPr="00A36C8F" w:rsidRDefault="00230240" w:rsidP="00B9353E">
      <w:pPr>
        <w:pStyle w:val="Sinespaciado"/>
        <w:ind w:right="95"/>
        <w:jc w:val="both"/>
        <w:rPr>
          <w:rFonts w:ascii="Times New Roman" w:hAnsi="Times New Roman" w:cs="Times New Roman"/>
        </w:rPr>
      </w:pPr>
      <w:r w:rsidRPr="00A36C8F">
        <w:rPr>
          <w:rFonts w:ascii="Times New Roman" w:hAnsi="Times New Roman" w:cs="Times New Roman"/>
        </w:rPr>
        <w:lastRenderedPageBreak/>
        <w:t xml:space="preserve">Respecto al financiamiento del gasto público, los desembolsos de préstamos </w:t>
      </w:r>
      <w:r>
        <w:rPr>
          <w:rFonts w:ascii="Times New Roman" w:hAnsi="Times New Roman" w:cs="Times New Roman"/>
        </w:rPr>
        <w:t xml:space="preserve">se mantienen bajos en </w:t>
      </w:r>
      <w:r w:rsidRPr="00A36C8F">
        <w:rPr>
          <w:rFonts w:ascii="Times New Roman" w:hAnsi="Times New Roman" w:cs="Times New Roman"/>
        </w:rPr>
        <w:t xml:space="preserve">un </w:t>
      </w:r>
      <w:r>
        <w:rPr>
          <w:rFonts w:ascii="Times New Roman" w:hAnsi="Times New Roman" w:cs="Times New Roman"/>
        </w:rPr>
        <w:t>monto de Q316</w:t>
      </w:r>
      <w:r w:rsidRPr="00A36C8F">
        <w:rPr>
          <w:rFonts w:ascii="Times New Roman" w:hAnsi="Times New Roman" w:cs="Times New Roman"/>
        </w:rPr>
        <w:t>.</w:t>
      </w:r>
      <w:r>
        <w:rPr>
          <w:rFonts w:ascii="Times New Roman" w:hAnsi="Times New Roman" w:cs="Times New Roman"/>
        </w:rPr>
        <w:t>3</w:t>
      </w:r>
      <w:r w:rsidRPr="00A36C8F">
        <w:rPr>
          <w:rFonts w:ascii="Times New Roman" w:hAnsi="Times New Roman" w:cs="Times New Roman"/>
        </w:rPr>
        <w:t xml:space="preserve"> millones, mientras las amortizaciones alcanzaron los Q</w:t>
      </w:r>
      <w:r>
        <w:rPr>
          <w:rFonts w:ascii="Times New Roman" w:hAnsi="Times New Roman" w:cs="Times New Roman"/>
        </w:rPr>
        <w:t>2</w:t>
      </w:r>
      <w:proofErr w:type="gramStart"/>
      <w:r w:rsidRPr="00A36C8F">
        <w:rPr>
          <w:rFonts w:ascii="Times New Roman" w:hAnsi="Times New Roman" w:cs="Times New Roman"/>
        </w:rPr>
        <w:t>,</w:t>
      </w:r>
      <w:r>
        <w:rPr>
          <w:rFonts w:ascii="Times New Roman" w:hAnsi="Times New Roman" w:cs="Times New Roman"/>
        </w:rPr>
        <w:t>271.8</w:t>
      </w:r>
      <w:proofErr w:type="gramEnd"/>
      <w:r w:rsidRPr="00A36C8F">
        <w:rPr>
          <w:rFonts w:ascii="Times New Roman" w:hAnsi="Times New Roman" w:cs="Times New Roman"/>
        </w:rPr>
        <w:t xml:space="preserve"> millones y de esa cuenta, el financiamiento externo neto es negativo en Q1,</w:t>
      </w:r>
      <w:r>
        <w:rPr>
          <w:rFonts w:ascii="Times New Roman" w:hAnsi="Times New Roman" w:cs="Times New Roman"/>
        </w:rPr>
        <w:t>955.5</w:t>
      </w:r>
      <w:r w:rsidRPr="00A36C8F">
        <w:rPr>
          <w:rFonts w:ascii="Times New Roman" w:hAnsi="Times New Roman" w:cs="Times New Roman"/>
        </w:rPr>
        <w:t xml:space="preserve"> millones.</w:t>
      </w:r>
      <w:r>
        <w:rPr>
          <w:rFonts w:ascii="Times New Roman" w:hAnsi="Times New Roman" w:cs="Times New Roman"/>
        </w:rPr>
        <w:t xml:space="preserve"> Los desembolsos recibidos durante el año corresponden a cinco préstamos, siendo estos el “Programa de inversión y modernización para el sector justicia” por Q215.1 millones con el BCIE, “Programa de mejoramiento de carreteras en Zona Paz” con la Agencia Japonesa de Cooperación Internacional por Q52.9 millones, </w:t>
      </w:r>
      <w:r w:rsidRPr="005151DB">
        <w:rPr>
          <w:rFonts w:ascii="Times New Roman" w:hAnsi="Times New Roman" w:cs="Times New Roman"/>
        </w:rPr>
        <w:t>“Programa de Agua</w:t>
      </w:r>
      <w:r>
        <w:rPr>
          <w:rFonts w:ascii="Times New Roman" w:hAnsi="Times New Roman" w:cs="Times New Roman"/>
        </w:rPr>
        <w:t xml:space="preserve"> Potable y Saneamiento para el Desarrollo H</w:t>
      </w:r>
      <w:r w:rsidRPr="005151DB">
        <w:rPr>
          <w:rFonts w:ascii="Times New Roman" w:hAnsi="Times New Roman" w:cs="Times New Roman"/>
        </w:rPr>
        <w:t xml:space="preserve">umano (fase I)” </w:t>
      </w:r>
      <w:r>
        <w:rPr>
          <w:rFonts w:ascii="Times New Roman" w:hAnsi="Times New Roman" w:cs="Times New Roman"/>
        </w:rPr>
        <w:t>por Q32.5 millones con el BID,  “Crecer Sano: Proyecto de nutrición y salud en Guatemala” con BIRF por Q11.6 millones y “Proyecto de Educación Rural V (</w:t>
      </w:r>
      <w:proofErr w:type="spellStart"/>
      <w:r>
        <w:rPr>
          <w:rFonts w:ascii="Times New Roman" w:hAnsi="Times New Roman" w:cs="Times New Roman"/>
        </w:rPr>
        <w:t>Proeduc</w:t>
      </w:r>
      <w:proofErr w:type="spellEnd"/>
      <w:r>
        <w:rPr>
          <w:rFonts w:ascii="Times New Roman" w:hAnsi="Times New Roman" w:cs="Times New Roman"/>
        </w:rPr>
        <w:t xml:space="preserve"> V) con KFW por Q3.8 millones.  </w:t>
      </w:r>
    </w:p>
    <w:p w:rsidR="00230240" w:rsidRPr="008D3F91" w:rsidRDefault="00230240" w:rsidP="00230240">
      <w:pPr>
        <w:pStyle w:val="Sinespaciado"/>
        <w:ind w:right="237"/>
        <w:jc w:val="both"/>
        <w:rPr>
          <w:rFonts w:ascii="Times New Roman" w:hAnsi="Times New Roman" w:cs="Times New Roman"/>
          <w:color w:val="FF0000"/>
        </w:rPr>
      </w:pPr>
    </w:p>
    <w:p w:rsidR="00230240" w:rsidRDefault="00230240" w:rsidP="00B9353E">
      <w:pPr>
        <w:pStyle w:val="Sinespaciado"/>
        <w:ind w:right="95"/>
        <w:jc w:val="both"/>
        <w:rPr>
          <w:rFonts w:ascii="Times New Roman" w:hAnsi="Times New Roman" w:cs="Times New Roman"/>
        </w:rPr>
      </w:pPr>
      <w:r w:rsidRPr="00A36C8F">
        <w:rPr>
          <w:rFonts w:ascii="Times New Roman" w:hAnsi="Times New Roman" w:cs="Times New Roman"/>
        </w:rPr>
        <w:t>En cuanto al financiamiento interno, s</w:t>
      </w:r>
      <w:r>
        <w:rPr>
          <w:rFonts w:ascii="Times New Roman" w:hAnsi="Times New Roman" w:cs="Times New Roman"/>
        </w:rPr>
        <w:t>e han colocado hasta la fecha Q15</w:t>
      </w:r>
      <w:proofErr w:type="gramStart"/>
      <w:r>
        <w:rPr>
          <w:rFonts w:ascii="Times New Roman" w:hAnsi="Times New Roman" w:cs="Times New Roman"/>
        </w:rPr>
        <w:t>,644.1</w:t>
      </w:r>
      <w:proofErr w:type="gramEnd"/>
      <w:r w:rsidRPr="00A36C8F">
        <w:rPr>
          <w:rFonts w:ascii="Times New Roman" w:hAnsi="Times New Roman" w:cs="Times New Roman"/>
        </w:rPr>
        <w:t xml:space="preserve"> </w:t>
      </w:r>
      <w:r>
        <w:rPr>
          <w:rFonts w:ascii="Times New Roman" w:hAnsi="Times New Roman" w:cs="Times New Roman"/>
        </w:rPr>
        <w:t>millones, correspondiente al 64</w:t>
      </w:r>
      <w:r w:rsidRPr="00A36C8F">
        <w:rPr>
          <w:rFonts w:ascii="Times New Roman" w:hAnsi="Times New Roman" w:cs="Times New Roman"/>
        </w:rPr>
        <w:t>% del total autorizado, que</w:t>
      </w:r>
      <w:r>
        <w:rPr>
          <w:rFonts w:ascii="Times New Roman" w:hAnsi="Times New Roman" w:cs="Times New Roman"/>
        </w:rPr>
        <w:t>dando pendientes de colocar el 36</w:t>
      </w:r>
      <w:r w:rsidRPr="00A36C8F">
        <w:rPr>
          <w:rFonts w:ascii="Times New Roman" w:hAnsi="Times New Roman" w:cs="Times New Roman"/>
        </w:rPr>
        <w:t>% del total autorizado en el Decreto 25-2018</w:t>
      </w:r>
      <w:r>
        <w:rPr>
          <w:rFonts w:ascii="Times New Roman" w:hAnsi="Times New Roman" w:cs="Times New Roman"/>
        </w:rPr>
        <w:t xml:space="preserve">. </w:t>
      </w:r>
    </w:p>
    <w:p w:rsidR="00230240" w:rsidRDefault="00230240" w:rsidP="00230240">
      <w:pPr>
        <w:pStyle w:val="Sinespaciado"/>
        <w:ind w:right="237"/>
        <w:jc w:val="both"/>
        <w:rPr>
          <w:rFonts w:ascii="Times New Roman" w:hAnsi="Times New Roman" w:cs="Times New Roman"/>
        </w:rPr>
      </w:pPr>
    </w:p>
    <w:p w:rsidR="00230240" w:rsidRDefault="00230240" w:rsidP="00B9353E">
      <w:pPr>
        <w:pStyle w:val="Sinespaciado"/>
        <w:ind w:right="95"/>
        <w:jc w:val="both"/>
        <w:rPr>
          <w:rFonts w:ascii="Times New Roman" w:hAnsi="Times New Roman" w:cs="Times New Roman"/>
        </w:rPr>
      </w:pPr>
      <w:r>
        <w:rPr>
          <w:rFonts w:ascii="Times New Roman" w:hAnsi="Times New Roman" w:cs="Times New Roman"/>
        </w:rPr>
        <w:t>El 30 de septiembre se realizó la colocación en el mercado externo, conocida como Eurobono, por US$1,000 millones (equivalente a Q7</w:t>
      </w:r>
      <w:proofErr w:type="gramStart"/>
      <w:r>
        <w:rPr>
          <w:rFonts w:ascii="Times New Roman" w:hAnsi="Times New Roman" w:cs="Times New Roman"/>
        </w:rPr>
        <w:t>,733.0</w:t>
      </w:r>
      <w:proofErr w:type="gramEnd"/>
      <w:r>
        <w:rPr>
          <w:rFonts w:ascii="Times New Roman" w:hAnsi="Times New Roman" w:cs="Times New Roman"/>
        </w:rPr>
        <w:t xml:space="preserve"> millones). Esta emisión </w:t>
      </w:r>
      <w:r w:rsidRPr="00431C88">
        <w:rPr>
          <w:rFonts w:ascii="Times New Roman" w:hAnsi="Times New Roman" w:cs="Times New Roman"/>
        </w:rPr>
        <w:t xml:space="preserve">se posiciona en términos de tasa de interés como la más baja en la historia de colocaciones de deuda en el mercado </w:t>
      </w:r>
      <w:r w:rsidRPr="00431C88">
        <w:rPr>
          <w:rFonts w:ascii="Times New Roman" w:hAnsi="Times New Roman" w:cs="Times New Roman"/>
        </w:rPr>
        <w:lastRenderedPageBreak/>
        <w:t>internacional.</w:t>
      </w:r>
      <w:r>
        <w:rPr>
          <w:rFonts w:ascii="Times New Roman" w:hAnsi="Times New Roman" w:cs="Times New Roman"/>
        </w:rPr>
        <w:t xml:space="preserve"> La colocación se realizó en dos tramos, cada uno de US$500 millones a 12 y 20 años de plazo.</w:t>
      </w:r>
    </w:p>
    <w:p w:rsidR="00230240" w:rsidRDefault="00230240" w:rsidP="00230240">
      <w:pPr>
        <w:pStyle w:val="Sinespaciado"/>
        <w:ind w:right="237"/>
        <w:jc w:val="both"/>
        <w:rPr>
          <w:rFonts w:ascii="Times New Roman" w:hAnsi="Times New Roman" w:cs="Times New Roman"/>
        </w:rPr>
      </w:pPr>
    </w:p>
    <w:p w:rsidR="00230240" w:rsidRDefault="00230240" w:rsidP="00B9353E">
      <w:pPr>
        <w:pStyle w:val="Sinespaciado"/>
        <w:ind w:right="95"/>
        <w:jc w:val="both"/>
        <w:rPr>
          <w:rFonts w:ascii="Times New Roman" w:hAnsi="Times New Roman" w:cs="Times New Roman"/>
        </w:rPr>
      </w:pPr>
      <w:r>
        <w:rPr>
          <w:rFonts w:ascii="Times New Roman" w:hAnsi="Times New Roman" w:cs="Times New Roman"/>
        </w:rPr>
        <w:t>Dicha acción es parte de la estrategia de diversificación del financiamiento que tiene el Ministerio de Finanzas Públicas. La operación efectuada aún no se refleja en las cifras presentadas dado que la liquidación de los recursos se realizará en octubre y por ello los registros se observarán en dicho mes.</w:t>
      </w:r>
    </w:p>
    <w:p w:rsidR="00230240" w:rsidRDefault="00230240" w:rsidP="00230240">
      <w:pPr>
        <w:pStyle w:val="Sinespaciado"/>
        <w:ind w:right="237"/>
        <w:jc w:val="both"/>
        <w:rPr>
          <w:rFonts w:ascii="Times New Roman" w:hAnsi="Times New Roman" w:cs="Times New Roman"/>
        </w:rPr>
      </w:pPr>
    </w:p>
    <w:p w:rsidR="00230240" w:rsidRPr="002C4CB2" w:rsidRDefault="00230240" w:rsidP="00230240">
      <w:pPr>
        <w:spacing w:after="0" w:line="240" w:lineRule="auto"/>
        <w:ind w:right="237"/>
        <w:jc w:val="center"/>
        <w:rPr>
          <w:rFonts w:ascii="Times New Roman" w:hAnsi="Times New Roman" w:cs="Times New Roman"/>
          <w:b/>
        </w:rPr>
      </w:pPr>
      <w:r w:rsidRPr="002C4CB2">
        <w:rPr>
          <w:rFonts w:ascii="Times New Roman" w:hAnsi="Times New Roman" w:cs="Times New Roman"/>
          <w:b/>
        </w:rPr>
        <w:t>Colocación de Bonos del Tesoro</w:t>
      </w:r>
    </w:p>
    <w:p w:rsidR="00230240" w:rsidRDefault="00230240" w:rsidP="00230240">
      <w:pPr>
        <w:pStyle w:val="Sinespaciado"/>
        <w:ind w:right="237"/>
        <w:jc w:val="center"/>
        <w:rPr>
          <w:rFonts w:ascii="Times New Roman" w:hAnsi="Times New Roman" w:cs="Times New Roman"/>
          <w:sz w:val="18"/>
        </w:rPr>
      </w:pPr>
      <w:r>
        <w:rPr>
          <w:rFonts w:ascii="Times New Roman" w:hAnsi="Times New Roman" w:cs="Times New Roman"/>
          <w:sz w:val="18"/>
        </w:rPr>
        <w:t>A septiembre</w:t>
      </w:r>
      <w:r w:rsidRPr="002C4CB2">
        <w:rPr>
          <w:rFonts w:ascii="Times New Roman" w:hAnsi="Times New Roman" w:cs="Times New Roman"/>
          <w:sz w:val="18"/>
        </w:rPr>
        <w:t xml:space="preserve"> 2021</w:t>
      </w:r>
    </w:p>
    <w:p w:rsidR="00230240" w:rsidRDefault="00230240" w:rsidP="00230240">
      <w:pPr>
        <w:pStyle w:val="Sinespaciado"/>
        <w:ind w:right="237"/>
        <w:jc w:val="center"/>
        <w:rPr>
          <w:rFonts w:ascii="Times New Roman" w:hAnsi="Times New Roman" w:cs="Times New Roman"/>
          <w:sz w:val="18"/>
        </w:rPr>
      </w:pPr>
      <w:r>
        <w:rPr>
          <w:rFonts w:ascii="Times New Roman" w:hAnsi="Times New Roman" w:cs="Times New Roman"/>
          <w:noProof/>
          <w:sz w:val="18"/>
          <w:lang w:eastAsia="es-GT"/>
        </w:rPr>
        <w:drawing>
          <wp:anchor distT="0" distB="0" distL="114300" distR="114300" simplePos="0" relativeHeight="251887616" behindDoc="0" locked="0" layoutInCell="1" allowOverlap="1" wp14:anchorId="6A5AA49B" wp14:editId="3269CDEA">
            <wp:simplePos x="0" y="0"/>
            <wp:positionH relativeFrom="column">
              <wp:posOffset>-277878</wp:posOffset>
            </wp:positionH>
            <wp:positionV relativeFrom="paragraph">
              <wp:posOffset>198120</wp:posOffset>
            </wp:positionV>
            <wp:extent cx="2946400" cy="1793875"/>
            <wp:effectExtent l="0" t="0" r="6350" b="0"/>
            <wp:wrapSquare wrapText="bothSides"/>
            <wp:docPr id="22"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2C4CB2">
        <w:rPr>
          <w:rFonts w:ascii="Times New Roman" w:hAnsi="Times New Roman" w:cs="Times New Roman"/>
          <w:sz w:val="18"/>
        </w:rPr>
        <w:t>Millones de quetzales y porcentajes</w:t>
      </w:r>
    </w:p>
    <w:p w:rsidR="00230240" w:rsidRPr="002C4CB2" w:rsidRDefault="00230240" w:rsidP="00230240">
      <w:pPr>
        <w:pStyle w:val="Sinespaciado"/>
        <w:spacing w:after="240"/>
        <w:ind w:right="237"/>
        <w:rPr>
          <w:rFonts w:ascii="Times New Roman" w:hAnsi="Times New Roman" w:cs="Times New Roman"/>
          <w:sz w:val="16"/>
        </w:rPr>
      </w:pPr>
      <w:r w:rsidRPr="002C4CB2">
        <w:rPr>
          <w:rFonts w:ascii="Times New Roman" w:hAnsi="Times New Roman" w:cs="Times New Roman"/>
          <w:sz w:val="16"/>
        </w:rPr>
        <w:t>Fuente: Dirección de Análisis y Política Fiscal</w:t>
      </w:r>
    </w:p>
    <w:p w:rsidR="00DC25F0" w:rsidRPr="005A7F2C" w:rsidRDefault="00230240" w:rsidP="00B9353E">
      <w:pPr>
        <w:pStyle w:val="Sinespaciado"/>
        <w:spacing w:after="240"/>
        <w:ind w:right="95"/>
        <w:jc w:val="both"/>
        <w:rPr>
          <w:rFonts w:ascii="Times New Roman" w:hAnsi="Times New Roman" w:cs="Times New Roman"/>
          <w:color w:val="FF0000"/>
          <w:sz w:val="16"/>
        </w:rPr>
      </w:pPr>
      <w:r w:rsidRPr="000146A8">
        <w:rPr>
          <w:rFonts w:ascii="Times New Roman" w:hAnsi="Times New Roman" w:cs="Times New Roman"/>
        </w:rPr>
        <w:t>En cuanto al saldo de caja, se percibieron ingresos en septiembre de 2021 por Q7</w:t>
      </w:r>
      <w:proofErr w:type="gramStart"/>
      <w:r w:rsidRPr="000146A8">
        <w:rPr>
          <w:rFonts w:ascii="Times New Roman" w:hAnsi="Times New Roman" w:cs="Times New Roman"/>
        </w:rPr>
        <w:t>,859.9</w:t>
      </w:r>
      <w:proofErr w:type="gramEnd"/>
      <w:r w:rsidRPr="000146A8">
        <w:rPr>
          <w:rFonts w:ascii="Times New Roman" w:hAnsi="Times New Roman" w:cs="Times New Roman"/>
        </w:rPr>
        <w:t xml:space="preserve"> millones y se realizaron egresos en dicho mes por Q7,426.3 millones, por lo que el saldo de caja al final de mes se situó en Q7,039.7 millones.</w:t>
      </w:r>
    </w:p>
    <w:p w:rsidR="00DC25F0" w:rsidRPr="005A7F2C" w:rsidRDefault="00DC25F0" w:rsidP="000C65AB">
      <w:pPr>
        <w:pStyle w:val="Sinespaciado"/>
        <w:jc w:val="both"/>
        <w:rPr>
          <w:rFonts w:ascii="Times New Roman" w:hAnsi="Times New Roman" w:cs="Times New Roman"/>
          <w:color w:val="FF0000"/>
        </w:rPr>
        <w:sectPr w:rsidR="00DC25F0" w:rsidRPr="005A7F2C" w:rsidSect="00040C99">
          <w:headerReference w:type="default" r:id="rId31"/>
          <w:footerReference w:type="default" r:id="rId32"/>
          <w:type w:val="continuous"/>
          <w:pgSz w:w="12240" w:h="15840" w:code="1"/>
          <w:pgMar w:top="1418" w:right="1418" w:bottom="1418" w:left="1701" w:header="709" w:footer="709" w:gutter="0"/>
          <w:cols w:num="2" w:space="708"/>
          <w:docGrid w:linePitch="360"/>
        </w:sectPr>
      </w:pPr>
    </w:p>
    <w:p w:rsidR="008B062E" w:rsidRPr="00AA7BFD" w:rsidRDefault="008B062E" w:rsidP="00A21CA3">
      <w:pPr>
        <w:pStyle w:val="Sinespaciado"/>
        <w:rPr>
          <w:rFonts w:ascii="Times New Roman" w:hAnsi="Times New Roman" w:cs="Times New Roman"/>
          <w:color w:val="FF0000"/>
          <w:sz w:val="18"/>
        </w:rPr>
      </w:pPr>
    </w:p>
    <w:p w:rsidR="008B062E" w:rsidRPr="005A7F2C" w:rsidRDefault="008B062E" w:rsidP="00A21CA3">
      <w:pPr>
        <w:pStyle w:val="Sinespaciado"/>
        <w:rPr>
          <w:rFonts w:ascii="Times New Roman" w:hAnsi="Times New Roman" w:cs="Times New Roman"/>
          <w:color w:val="FF0000"/>
          <w:sz w:val="28"/>
        </w:rPr>
        <w:sectPr w:rsidR="008B062E" w:rsidRPr="005A7F2C" w:rsidSect="008E66C1">
          <w:type w:val="continuous"/>
          <w:pgSz w:w="12240" w:h="15840"/>
          <w:pgMar w:top="1417" w:right="1467" w:bottom="1417" w:left="1701" w:header="708" w:footer="708" w:gutter="0"/>
          <w:cols w:num="2" w:space="708"/>
          <w:docGrid w:linePitch="360"/>
        </w:sectPr>
      </w:pPr>
    </w:p>
    <w:p w:rsidR="000B20DC" w:rsidRPr="005A7F2C" w:rsidRDefault="000B20DC" w:rsidP="000B20DC">
      <w:pPr>
        <w:pStyle w:val="Sinespaciado"/>
        <w:jc w:val="both"/>
        <w:rPr>
          <w:rFonts w:ascii="Times New Roman" w:hAnsi="Times New Roman" w:cs="Times New Roman"/>
          <w:color w:val="FF0000"/>
          <w:sz w:val="12"/>
        </w:rPr>
      </w:pPr>
    </w:p>
    <w:p w:rsidR="00DC25F0" w:rsidRPr="00AA7BFD" w:rsidRDefault="00DC25F0" w:rsidP="00DC25F0">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DC25F0" w:rsidRPr="00AA7BFD" w:rsidSect="00FA3B81">
          <w:type w:val="continuous"/>
          <w:pgSz w:w="12240" w:h="15840" w:code="1"/>
          <w:pgMar w:top="1418" w:right="1418" w:bottom="1418" w:left="1418" w:header="709" w:footer="709" w:gutter="0"/>
          <w:cols w:space="708"/>
          <w:docGrid w:linePitch="360"/>
        </w:sectPr>
      </w:pPr>
      <w:r w:rsidRPr="00AA7BFD">
        <w:rPr>
          <w:rFonts w:ascii="Times New Roman" w:hAnsi="Times New Roman" w:cs="Times New Roman"/>
          <w:b/>
        </w:rPr>
        <w:t xml:space="preserve">Ejecución de gastos relacionados a la atención por desastres naturales y calamidades públicas </w:t>
      </w:r>
    </w:p>
    <w:p w:rsidR="000B20DC" w:rsidRPr="005A7F2C" w:rsidRDefault="000B20DC" w:rsidP="000B20DC">
      <w:pPr>
        <w:pStyle w:val="Sinespaciado"/>
        <w:rPr>
          <w:rFonts w:ascii="Times New Roman" w:hAnsi="Times New Roman" w:cs="Times New Roman"/>
          <w:b/>
          <w:color w:val="FF0000"/>
          <w:sz w:val="20"/>
          <w:lang w:val="es-MX"/>
        </w:rPr>
      </w:pPr>
    </w:p>
    <w:p w:rsidR="000B20DC" w:rsidRPr="005A7F2C" w:rsidRDefault="000B20DC" w:rsidP="000B20DC">
      <w:pPr>
        <w:pStyle w:val="Sinespaciado"/>
        <w:rPr>
          <w:rFonts w:ascii="Times New Roman" w:hAnsi="Times New Roman" w:cs="Times New Roman"/>
          <w:b/>
          <w:color w:val="FF0000"/>
          <w:sz w:val="18"/>
          <w:lang w:val="es-MX"/>
        </w:rPr>
        <w:sectPr w:rsidR="000B20DC" w:rsidRPr="005A7F2C" w:rsidSect="004E358C">
          <w:type w:val="continuous"/>
          <w:pgSz w:w="12240" w:h="15840"/>
          <w:pgMar w:top="1417" w:right="1701" w:bottom="1417" w:left="1701" w:header="708" w:footer="708" w:gutter="0"/>
          <w:cols w:space="708"/>
          <w:docGrid w:linePitch="360"/>
        </w:sectPr>
      </w:pPr>
    </w:p>
    <w:p w:rsidR="00230240" w:rsidRDefault="00230240" w:rsidP="00B9353E">
      <w:pPr>
        <w:spacing w:after="0" w:line="240" w:lineRule="auto"/>
        <w:ind w:right="71"/>
        <w:jc w:val="both"/>
        <w:rPr>
          <w:rFonts w:ascii="Times New Roman" w:hAnsi="Times New Roman" w:cs="Times New Roman"/>
        </w:rPr>
      </w:pPr>
      <w:r w:rsidRPr="000146A8">
        <w:rPr>
          <w:rFonts w:ascii="Times New Roman" w:hAnsi="Times New Roman" w:cs="Times New Roman"/>
        </w:rPr>
        <w:lastRenderedPageBreak/>
        <w:t>Durante 2021 se ha</w:t>
      </w:r>
      <w:r>
        <w:rPr>
          <w:rFonts w:ascii="Times New Roman" w:hAnsi="Times New Roman" w:cs="Times New Roman"/>
        </w:rPr>
        <w:t xml:space="preserve"> continuado dando atención oportuna al COVID-19, en enero fue aprobado el Decreto 01-2021 “Ley para el financiamiento y adquisición de vacunas contra el coronavirus COVID-19”, considerando que el Proyecto de Presupuesto 2021 no fue aprobado y no se disponían de los </w:t>
      </w:r>
      <w:r>
        <w:rPr>
          <w:rFonts w:ascii="Times New Roman" w:hAnsi="Times New Roman" w:cs="Times New Roman"/>
        </w:rPr>
        <w:lastRenderedPageBreak/>
        <w:t>mecanismos legales y recursos para el financiamiento, adquisición y distribución de la vacuna. Por ello, este decreto contempla la readecuación del presupuesto hasta por el monto de Q1</w:t>
      </w:r>
      <w:proofErr w:type="gramStart"/>
      <w:r>
        <w:rPr>
          <w:rFonts w:ascii="Times New Roman" w:hAnsi="Times New Roman" w:cs="Times New Roman"/>
        </w:rPr>
        <w:t>,500</w:t>
      </w:r>
      <w:proofErr w:type="gramEnd"/>
      <w:r>
        <w:rPr>
          <w:rFonts w:ascii="Times New Roman" w:hAnsi="Times New Roman" w:cs="Times New Roman"/>
        </w:rPr>
        <w:t xml:space="preserve"> millones con el objetivo de incrementar el presupuesto de egresos del Ministerio de Salud Pública y Asistencia </w:t>
      </w:r>
      <w:r>
        <w:rPr>
          <w:rFonts w:ascii="Times New Roman" w:hAnsi="Times New Roman" w:cs="Times New Roman"/>
        </w:rPr>
        <w:lastRenderedPageBreak/>
        <w:t xml:space="preserve">Social para la adquisición de la vacuna contra el COVID-19 y de esta forma el Estado cumpliera su objetivo de garantizar la vacunación gratuita. </w:t>
      </w:r>
    </w:p>
    <w:p w:rsidR="00230240" w:rsidRDefault="00230240" w:rsidP="00AA7BFD">
      <w:pPr>
        <w:spacing w:after="0" w:line="240" w:lineRule="auto"/>
        <w:ind w:right="213"/>
        <w:jc w:val="both"/>
        <w:rPr>
          <w:rFonts w:ascii="Times New Roman" w:hAnsi="Times New Roman" w:cs="Times New Roman"/>
        </w:rPr>
      </w:pPr>
    </w:p>
    <w:p w:rsidR="00230240" w:rsidRPr="008A4DF6" w:rsidRDefault="00230240" w:rsidP="00B9353E">
      <w:pPr>
        <w:spacing w:after="0" w:line="240" w:lineRule="auto"/>
        <w:ind w:right="71"/>
        <w:jc w:val="both"/>
        <w:rPr>
          <w:rFonts w:ascii="Times New Roman" w:hAnsi="Times New Roman" w:cs="Times New Roman"/>
        </w:rPr>
      </w:pPr>
      <w:r>
        <w:rPr>
          <w:rFonts w:ascii="Times New Roman" w:hAnsi="Times New Roman" w:cs="Times New Roman"/>
        </w:rPr>
        <w:t xml:space="preserve">Adicionalmente, el </w:t>
      </w:r>
      <w:r w:rsidRPr="008A4DF6">
        <w:rPr>
          <w:rFonts w:ascii="Times New Roman" w:hAnsi="Times New Roman" w:cs="Times New Roman"/>
        </w:rPr>
        <w:t>Ministerio de Salud Pública y Asistencia Social</w:t>
      </w:r>
      <w:r>
        <w:rPr>
          <w:rFonts w:ascii="Times New Roman" w:hAnsi="Times New Roman" w:cs="Times New Roman"/>
        </w:rPr>
        <w:t xml:space="preserve"> y el Instituto Guatemalteco de Seguridad Social (IGSS), quedaron autorizados para la compra de las vacunas y del equipo y servicios necesarios para su conservación y movilización en forma directa del fabricante, quedando exentos del cumplimiento de los requerimientos de la Ley de Contrataciones del Estado y su reglamento. </w:t>
      </w:r>
    </w:p>
    <w:p w:rsidR="00230240" w:rsidRDefault="00230240" w:rsidP="00AA7BFD">
      <w:pPr>
        <w:spacing w:after="0" w:line="240" w:lineRule="auto"/>
        <w:ind w:right="213"/>
        <w:jc w:val="both"/>
        <w:rPr>
          <w:rFonts w:ascii="Times New Roman" w:hAnsi="Times New Roman" w:cs="Times New Roman"/>
        </w:rPr>
      </w:pPr>
    </w:p>
    <w:p w:rsidR="00230240" w:rsidRDefault="00230240" w:rsidP="00B9353E">
      <w:pPr>
        <w:spacing w:after="0" w:line="240" w:lineRule="auto"/>
        <w:ind w:right="71"/>
        <w:jc w:val="both"/>
        <w:rPr>
          <w:rFonts w:ascii="Times New Roman" w:hAnsi="Times New Roman" w:cs="Times New Roman"/>
        </w:rPr>
      </w:pPr>
      <w:r>
        <w:rPr>
          <w:rFonts w:ascii="Times New Roman" w:hAnsi="Times New Roman" w:cs="Times New Roman"/>
        </w:rPr>
        <w:t>En julio se aprobó el Decreto 08-2021 “</w:t>
      </w:r>
      <w:r w:rsidRPr="003B2154">
        <w:rPr>
          <w:rFonts w:ascii="Times New Roman" w:hAnsi="Times New Roman" w:cs="Times New Roman"/>
        </w:rPr>
        <w:t>Ley de Exención de Responsabilidad y Creación del</w:t>
      </w:r>
      <w:r>
        <w:rPr>
          <w:rFonts w:ascii="Times New Roman" w:hAnsi="Times New Roman" w:cs="Times New Roman"/>
        </w:rPr>
        <w:t xml:space="preserve"> </w:t>
      </w:r>
      <w:r w:rsidRPr="003B2154">
        <w:rPr>
          <w:rFonts w:ascii="Times New Roman" w:hAnsi="Times New Roman" w:cs="Times New Roman"/>
        </w:rPr>
        <w:t>Mecanismo de Compensación por el Uso de</w:t>
      </w:r>
      <w:r>
        <w:rPr>
          <w:rFonts w:ascii="Times New Roman" w:hAnsi="Times New Roman" w:cs="Times New Roman"/>
        </w:rPr>
        <w:t xml:space="preserve"> </w:t>
      </w:r>
      <w:r w:rsidRPr="003B2154">
        <w:rPr>
          <w:rFonts w:ascii="Times New Roman" w:hAnsi="Times New Roman" w:cs="Times New Roman"/>
        </w:rPr>
        <w:t>Vacunas Contra la COVID-19 que posean</w:t>
      </w:r>
      <w:r>
        <w:rPr>
          <w:rFonts w:ascii="Times New Roman" w:hAnsi="Times New Roman" w:cs="Times New Roman"/>
        </w:rPr>
        <w:t xml:space="preserve"> </w:t>
      </w:r>
      <w:r w:rsidRPr="003B2154">
        <w:rPr>
          <w:rFonts w:ascii="Times New Roman" w:hAnsi="Times New Roman" w:cs="Times New Roman"/>
        </w:rPr>
        <w:t>Autorización de Uso de Emergencia por la</w:t>
      </w:r>
      <w:r>
        <w:rPr>
          <w:rFonts w:ascii="Times New Roman" w:hAnsi="Times New Roman" w:cs="Times New Roman"/>
        </w:rPr>
        <w:t xml:space="preserve"> </w:t>
      </w:r>
      <w:r w:rsidRPr="003B2154">
        <w:rPr>
          <w:rFonts w:ascii="Times New Roman" w:hAnsi="Times New Roman" w:cs="Times New Roman"/>
        </w:rPr>
        <w:t>Pandemia del Virus SARS-CoV-2</w:t>
      </w:r>
      <w:r>
        <w:rPr>
          <w:rFonts w:ascii="Times New Roman" w:hAnsi="Times New Roman" w:cs="Times New Roman"/>
        </w:rPr>
        <w:t xml:space="preserve">”. </w:t>
      </w:r>
    </w:p>
    <w:p w:rsidR="00B9353E" w:rsidRDefault="00B9353E" w:rsidP="00B9353E">
      <w:pPr>
        <w:spacing w:after="0" w:line="240" w:lineRule="auto"/>
        <w:ind w:right="71"/>
        <w:jc w:val="both"/>
        <w:rPr>
          <w:rFonts w:ascii="Times New Roman" w:hAnsi="Times New Roman" w:cs="Times New Roman"/>
        </w:rPr>
      </w:pPr>
    </w:p>
    <w:p w:rsidR="00230240" w:rsidRDefault="00230240" w:rsidP="00B9353E">
      <w:pPr>
        <w:spacing w:after="0" w:line="240" w:lineRule="auto"/>
        <w:ind w:right="71"/>
        <w:jc w:val="both"/>
        <w:rPr>
          <w:rFonts w:ascii="Times New Roman" w:hAnsi="Times New Roman" w:cs="Times New Roman"/>
        </w:rPr>
      </w:pPr>
      <w:r>
        <w:rPr>
          <w:rFonts w:ascii="Times New Roman" w:hAnsi="Times New Roman" w:cs="Times New Roman"/>
        </w:rPr>
        <w:t>En este decreto el Estado de Guatemala asume la responsabilidad y define el mecanismo de compensación a las personas afectadas, con reacción adversa seria, como parte del proceso de inmunización con vacunas adquiridas por compra o donación en los siguientes 24 meses de la aprobación del decreto. El decreto contempla tres formas de compensación:</w:t>
      </w:r>
    </w:p>
    <w:p w:rsidR="00B9353E" w:rsidRDefault="00B9353E" w:rsidP="00B9353E">
      <w:pPr>
        <w:spacing w:after="0" w:line="240" w:lineRule="auto"/>
        <w:ind w:right="71"/>
        <w:jc w:val="both"/>
        <w:rPr>
          <w:rFonts w:ascii="Times New Roman" w:hAnsi="Times New Roman" w:cs="Times New Roman"/>
        </w:rPr>
      </w:pPr>
    </w:p>
    <w:p w:rsidR="00230240" w:rsidRPr="001B444D" w:rsidRDefault="00230240" w:rsidP="00B9353E">
      <w:pPr>
        <w:pStyle w:val="Prrafodelista"/>
        <w:numPr>
          <w:ilvl w:val="0"/>
          <w:numId w:val="23"/>
        </w:numPr>
        <w:ind w:left="426" w:right="71"/>
        <w:jc w:val="both"/>
        <w:rPr>
          <w:rFonts w:ascii="Times New Roman" w:hAnsi="Times New Roman" w:cs="Times New Roman"/>
        </w:rPr>
      </w:pPr>
      <w:r w:rsidRPr="001B444D">
        <w:rPr>
          <w:rFonts w:ascii="Times New Roman" w:hAnsi="Times New Roman" w:cs="Times New Roman"/>
        </w:rPr>
        <w:t>Si la persona es hospitalizada será compensada con su hospitalización garantizándole cuidados y medicamentos necesarios y económicamente por cada día de internamiento y los subsiguientes de recuperación y rehabilitación por el monto que establezca el salario mínimo</w:t>
      </w:r>
      <w:r>
        <w:rPr>
          <w:rFonts w:ascii="Times New Roman" w:hAnsi="Times New Roman" w:cs="Times New Roman"/>
        </w:rPr>
        <w:t>.</w:t>
      </w:r>
    </w:p>
    <w:p w:rsidR="00230240" w:rsidRDefault="00230240" w:rsidP="00B9353E">
      <w:pPr>
        <w:pStyle w:val="Prrafodelista"/>
        <w:numPr>
          <w:ilvl w:val="0"/>
          <w:numId w:val="23"/>
        </w:numPr>
        <w:ind w:left="426" w:right="71"/>
        <w:jc w:val="both"/>
        <w:rPr>
          <w:rFonts w:ascii="Times New Roman" w:hAnsi="Times New Roman" w:cs="Times New Roman"/>
        </w:rPr>
      </w:pPr>
      <w:r w:rsidRPr="00D82CB0">
        <w:rPr>
          <w:rFonts w:ascii="Times New Roman" w:hAnsi="Times New Roman" w:cs="Times New Roman"/>
        </w:rPr>
        <w:t>Si la persona sufre discapacidad o incapacidad persistente o significativa, será compensada económicamente por un pago total equivalente a diez salarios mínimos mensuales</w:t>
      </w:r>
      <w:r>
        <w:rPr>
          <w:rFonts w:ascii="Times New Roman" w:hAnsi="Times New Roman" w:cs="Times New Roman"/>
        </w:rPr>
        <w:t>.</w:t>
      </w:r>
      <w:r w:rsidRPr="00D82CB0">
        <w:rPr>
          <w:rFonts w:ascii="Times New Roman" w:hAnsi="Times New Roman" w:cs="Times New Roman"/>
        </w:rPr>
        <w:t xml:space="preserve"> </w:t>
      </w:r>
    </w:p>
    <w:p w:rsidR="00230240" w:rsidRDefault="00230240" w:rsidP="00B9353E">
      <w:pPr>
        <w:pStyle w:val="Prrafodelista"/>
        <w:numPr>
          <w:ilvl w:val="0"/>
          <w:numId w:val="23"/>
        </w:numPr>
        <w:ind w:left="426" w:right="71"/>
        <w:jc w:val="both"/>
        <w:rPr>
          <w:rFonts w:ascii="Times New Roman" w:hAnsi="Times New Roman" w:cs="Times New Roman"/>
        </w:rPr>
      </w:pPr>
      <w:r w:rsidRPr="00D82CB0">
        <w:rPr>
          <w:rFonts w:ascii="Times New Roman" w:hAnsi="Times New Roman" w:cs="Times New Roman"/>
        </w:rPr>
        <w:t xml:space="preserve">Si la persona </w:t>
      </w:r>
      <w:r>
        <w:rPr>
          <w:rFonts w:ascii="Times New Roman" w:hAnsi="Times New Roman" w:cs="Times New Roman"/>
        </w:rPr>
        <w:t>muere</w:t>
      </w:r>
      <w:r w:rsidRPr="00D82CB0">
        <w:rPr>
          <w:rFonts w:ascii="Times New Roman" w:hAnsi="Times New Roman" w:cs="Times New Roman"/>
        </w:rPr>
        <w:t xml:space="preserve">, será compensada económicamente </w:t>
      </w:r>
      <w:r>
        <w:rPr>
          <w:rFonts w:ascii="Times New Roman" w:hAnsi="Times New Roman" w:cs="Times New Roman"/>
        </w:rPr>
        <w:t xml:space="preserve">la persona reclamante </w:t>
      </w:r>
      <w:r w:rsidRPr="00D82CB0">
        <w:rPr>
          <w:rFonts w:ascii="Times New Roman" w:hAnsi="Times New Roman" w:cs="Times New Roman"/>
        </w:rPr>
        <w:lastRenderedPageBreak/>
        <w:t xml:space="preserve">por un pago total equivalente a </w:t>
      </w:r>
      <w:r>
        <w:rPr>
          <w:rFonts w:ascii="Times New Roman" w:hAnsi="Times New Roman" w:cs="Times New Roman"/>
        </w:rPr>
        <w:t>quince</w:t>
      </w:r>
      <w:r w:rsidRPr="00D82CB0">
        <w:rPr>
          <w:rFonts w:ascii="Times New Roman" w:hAnsi="Times New Roman" w:cs="Times New Roman"/>
        </w:rPr>
        <w:t xml:space="preserve"> salarios mínimos mensuales</w:t>
      </w:r>
      <w:r>
        <w:rPr>
          <w:rFonts w:ascii="Times New Roman" w:hAnsi="Times New Roman" w:cs="Times New Roman"/>
        </w:rPr>
        <w:t>.</w:t>
      </w:r>
    </w:p>
    <w:p w:rsidR="00230240" w:rsidRDefault="00230240" w:rsidP="00AA7BFD">
      <w:pPr>
        <w:pStyle w:val="Prrafodelista"/>
        <w:jc w:val="both"/>
        <w:rPr>
          <w:rFonts w:ascii="Times New Roman" w:hAnsi="Times New Roman" w:cs="Times New Roman"/>
        </w:rPr>
      </w:pPr>
    </w:p>
    <w:p w:rsidR="00230240" w:rsidRDefault="00230240" w:rsidP="00B9353E">
      <w:pPr>
        <w:spacing w:after="0" w:line="240" w:lineRule="auto"/>
        <w:ind w:right="71"/>
        <w:jc w:val="both"/>
        <w:rPr>
          <w:rFonts w:ascii="Times New Roman" w:hAnsi="Times New Roman" w:cs="Times New Roman"/>
        </w:rPr>
      </w:pPr>
      <w:r>
        <w:rPr>
          <w:rFonts w:ascii="Times New Roman" w:hAnsi="Times New Roman" w:cs="Times New Roman"/>
        </w:rPr>
        <w:t xml:space="preserve">Para las tres formas de compensación se aplica el salario mínimo de actividades no agrícolas. En caso el afectado sea beneficiario del seguro social, se le aplicará la legislación específica del IGSS. </w:t>
      </w:r>
    </w:p>
    <w:p w:rsidR="00B9353E" w:rsidRDefault="00B9353E" w:rsidP="00B9353E">
      <w:pPr>
        <w:spacing w:after="0" w:line="240" w:lineRule="auto"/>
        <w:ind w:right="71"/>
        <w:jc w:val="both"/>
        <w:rPr>
          <w:rFonts w:ascii="Times New Roman" w:hAnsi="Times New Roman" w:cs="Times New Roman"/>
        </w:rPr>
      </w:pPr>
    </w:p>
    <w:p w:rsidR="00230240" w:rsidRDefault="00230240" w:rsidP="00B9353E">
      <w:pPr>
        <w:spacing w:after="0" w:line="240" w:lineRule="auto"/>
        <w:ind w:right="71"/>
        <w:jc w:val="both"/>
        <w:rPr>
          <w:rFonts w:ascii="Times New Roman" w:hAnsi="Times New Roman" w:cs="Times New Roman"/>
        </w:rPr>
      </w:pPr>
      <w:r>
        <w:rPr>
          <w:rFonts w:ascii="Times New Roman" w:hAnsi="Times New Roman" w:cs="Times New Roman"/>
        </w:rPr>
        <w:t xml:space="preserve">Derivado de este decreto se creó el Fondo de Compensación Económica vacuna COVID-19 con una asignación de Q20 millones en el Ministerio de Salud Pública y Asistencia Social para atender a los reclamantes y se autorizó al Ministerio de Finanzas Públicas para realizar las readecuaciones presupuestarias necesarias para el Fondo. </w:t>
      </w:r>
    </w:p>
    <w:p w:rsidR="00B9353E" w:rsidRDefault="00B9353E" w:rsidP="00B9353E">
      <w:pPr>
        <w:spacing w:after="0" w:line="240" w:lineRule="auto"/>
        <w:ind w:right="71"/>
        <w:jc w:val="both"/>
        <w:rPr>
          <w:rFonts w:ascii="Times New Roman" w:hAnsi="Times New Roman" w:cs="Times New Roman"/>
        </w:rPr>
      </w:pPr>
    </w:p>
    <w:p w:rsidR="00230240" w:rsidRDefault="00230240" w:rsidP="00B9353E">
      <w:pPr>
        <w:spacing w:after="0" w:line="240" w:lineRule="auto"/>
        <w:ind w:right="71"/>
        <w:jc w:val="both"/>
        <w:rPr>
          <w:rFonts w:ascii="Times New Roman" w:hAnsi="Times New Roman" w:cs="Times New Roman"/>
        </w:rPr>
      </w:pPr>
      <w:r>
        <w:rPr>
          <w:rFonts w:ascii="Times New Roman" w:hAnsi="Times New Roman" w:cs="Times New Roman"/>
        </w:rPr>
        <w:t>Por su parte, el Presidente de la República por medio del Decreto Gubernativo 06-2021 y 08-2021 de fecha de agosto y septiembre, respectivamente, intentó reforzar la lucha contra el COVID-19 declarando el Estado de Calamidad Pública en todo el territorio nacional, ambos con plazo de 30 días. Ambos fueron improbados por el Congreso de la República, por medio de los Decretos 09-2021 y 10-2021.</w:t>
      </w:r>
    </w:p>
    <w:p w:rsidR="00230240" w:rsidRDefault="00230240" w:rsidP="00AA7BFD">
      <w:pPr>
        <w:spacing w:after="0" w:line="240" w:lineRule="auto"/>
        <w:ind w:right="213"/>
        <w:jc w:val="both"/>
        <w:rPr>
          <w:rFonts w:ascii="Times New Roman" w:hAnsi="Times New Roman" w:cs="Times New Roman"/>
        </w:rPr>
      </w:pPr>
    </w:p>
    <w:p w:rsidR="00230240" w:rsidRDefault="00230240" w:rsidP="00B9353E">
      <w:pPr>
        <w:spacing w:after="0" w:line="240" w:lineRule="auto"/>
        <w:ind w:right="71"/>
        <w:jc w:val="both"/>
        <w:rPr>
          <w:rFonts w:ascii="Times New Roman" w:hAnsi="Times New Roman" w:cs="Times New Roman"/>
        </w:rPr>
      </w:pPr>
      <w:r>
        <w:rPr>
          <w:rFonts w:ascii="Times New Roman" w:hAnsi="Times New Roman" w:cs="Times New Roman"/>
        </w:rPr>
        <w:t xml:space="preserve">No obstante, en septiembre fue publicado el Decreto 11-2021 “Ley de Emergencia Nacional para la atención de la pandemia COVID-19” considerando que es necesario crear un mecanismo temporal de adquisición temporal de adquisición extraordinaria de medicamentos, suministros, material quirúrgico y servicios destinados a la atención de pacientes. </w:t>
      </w:r>
    </w:p>
    <w:p w:rsidR="00230240" w:rsidRDefault="00230240" w:rsidP="00AA7BFD">
      <w:pPr>
        <w:spacing w:after="0" w:line="240" w:lineRule="auto"/>
        <w:ind w:right="213"/>
        <w:jc w:val="both"/>
        <w:rPr>
          <w:rFonts w:ascii="Times New Roman" w:hAnsi="Times New Roman" w:cs="Times New Roman"/>
        </w:rPr>
      </w:pPr>
    </w:p>
    <w:p w:rsidR="00230240" w:rsidRDefault="00230240" w:rsidP="00B9353E">
      <w:pPr>
        <w:spacing w:after="0" w:line="240" w:lineRule="auto"/>
        <w:ind w:right="71"/>
        <w:jc w:val="both"/>
        <w:rPr>
          <w:rFonts w:ascii="Times New Roman" w:hAnsi="Times New Roman" w:cs="Times New Roman"/>
        </w:rPr>
      </w:pPr>
      <w:r w:rsidRPr="00261FCE">
        <w:rPr>
          <w:rFonts w:ascii="Times New Roman" w:hAnsi="Times New Roman" w:cs="Times New Roman"/>
        </w:rPr>
        <w:t xml:space="preserve">Dentro del decreto se contempla que las adquisiciones realizadas </w:t>
      </w:r>
      <w:r>
        <w:rPr>
          <w:rFonts w:ascii="Times New Roman" w:hAnsi="Times New Roman" w:cs="Times New Roman"/>
        </w:rPr>
        <w:t xml:space="preserve">deben publicarse y gestionarse en el sistema </w:t>
      </w:r>
      <w:proofErr w:type="spellStart"/>
      <w:r>
        <w:rPr>
          <w:rFonts w:ascii="Times New Roman" w:hAnsi="Times New Roman" w:cs="Times New Roman"/>
        </w:rPr>
        <w:t>Guatecompras</w:t>
      </w:r>
      <w:proofErr w:type="spellEnd"/>
      <w:r>
        <w:rPr>
          <w:rFonts w:ascii="Times New Roman" w:hAnsi="Times New Roman" w:cs="Times New Roman"/>
        </w:rPr>
        <w:t xml:space="preserve">, además las compras que se realicen al amparo de la ley sean ágiles y cuenten con los mejores precios, quedando exentas del pago de IVA, </w:t>
      </w:r>
      <w:r>
        <w:rPr>
          <w:rFonts w:ascii="Times New Roman" w:hAnsi="Times New Roman" w:cs="Times New Roman"/>
        </w:rPr>
        <w:lastRenderedPageBreak/>
        <w:t>las importaciones de los insumos de salud que se adquieran de convenios con agencias del Sistema de Naciones Unidas.</w:t>
      </w:r>
    </w:p>
    <w:p w:rsidR="00230240" w:rsidRDefault="00230240" w:rsidP="00AA7BFD">
      <w:pPr>
        <w:spacing w:after="0" w:line="240" w:lineRule="auto"/>
        <w:ind w:right="213"/>
        <w:jc w:val="both"/>
        <w:rPr>
          <w:rFonts w:ascii="Times New Roman" w:hAnsi="Times New Roman" w:cs="Times New Roman"/>
        </w:rPr>
      </w:pPr>
    </w:p>
    <w:p w:rsidR="00230240" w:rsidRPr="00261FCE" w:rsidRDefault="00230240" w:rsidP="00B9353E">
      <w:pPr>
        <w:spacing w:after="0" w:line="240" w:lineRule="auto"/>
        <w:ind w:right="71"/>
        <w:jc w:val="both"/>
        <w:rPr>
          <w:rFonts w:ascii="Times New Roman" w:hAnsi="Times New Roman" w:cs="Times New Roman"/>
        </w:rPr>
      </w:pPr>
      <w:r>
        <w:rPr>
          <w:rFonts w:ascii="Times New Roman" w:hAnsi="Times New Roman" w:cs="Times New Roman"/>
        </w:rPr>
        <w:t>Asimismo, el decreto contempla un beneficio monetario único por Q2</w:t>
      </w:r>
      <w:proofErr w:type="gramStart"/>
      <w:r>
        <w:rPr>
          <w:rFonts w:ascii="Times New Roman" w:hAnsi="Times New Roman" w:cs="Times New Roman"/>
        </w:rPr>
        <w:t>,000</w:t>
      </w:r>
      <w:proofErr w:type="gramEnd"/>
      <w:r>
        <w:rPr>
          <w:rFonts w:ascii="Times New Roman" w:hAnsi="Times New Roman" w:cs="Times New Roman"/>
        </w:rPr>
        <w:t xml:space="preserve"> a todo el personal del Ministerio de Salud Pública y Asistencia Social. </w:t>
      </w:r>
    </w:p>
    <w:p w:rsidR="00230240" w:rsidRPr="00865C58" w:rsidRDefault="00230240" w:rsidP="00AA7BFD">
      <w:pPr>
        <w:spacing w:after="0" w:line="240" w:lineRule="auto"/>
        <w:ind w:right="213"/>
        <w:jc w:val="both"/>
        <w:rPr>
          <w:rFonts w:ascii="Times New Roman" w:hAnsi="Times New Roman" w:cs="Times New Roman"/>
        </w:rPr>
      </w:pPr>
    </w:p>
    <w:p w:rsidR="00230240" w:rsidRDefault="00230240" w:rsidP="00B9353E">
      <w:pPr>
        <w:spacing w:after="0" w:line="240" w:lineRule="auto"/>
        <w:ind w:right="71"/>
        <w:jc w:val="both"/>
        <w:rPr>
          <w:rFonts w:ascii="Times New Roman" w:hAnsi="Times New Roman" w:cs="Times New Roman"/>
        </w:rPr>
      </w:pPr>
      <w:r w:rsidRPr="00865C58">
        <w:rPr>
          <w:rFonts w:ascii="Times New Roman" w:hAnsi="Times New Roman" w:cs="Times New Roman"/>
        </w:rPr>
        <w:t xml:space="preserve">Dentro del portal del Ministerio de Finanzas Publicas se creó un tablero de control para el seguimiento de las adquisiciones realizadas al amparo de </w:t>
      </w:r>
      <w:r>
        <w:rPr>
          <w:rFonts w:ascii="Times New Roman" w:hAnsi="Times New Roman" w:cs="Times New Roman"/>
        </w:rPr>
        <w:t xml:space="preserve">esta </w:t>
      </w:r>
      <w:r w:rsidRPr="00865C58">
        <w:rPr>
          <w:rFonts w:ascii="Times New Roman" w:hAnsi="Times New Roman" w:cs="Times New Roman"/>
        </w:rPr>
        <w:t xml:space="preserve">ley. </w:t>
      </w:r>
    </w:p>
    <w:p w:rsidR="00230240" w:rsidRDefault="00230240" w:rsidP="00AA7BFD">
      <w:pPr>
        <w:spacing w:after="0" w:line="240" w:lineRule="auto"/>
        <w:ind w:right="213"/>
        <w:jc w:val="both"/>
        <w:rPr>
          <w:rFonts w:ascii="Times New Roman" w:hAnsi="Times New Roman" w:cs="Times New Roman"/>
        </w:rPr>
      </w:pPr>
    </w:p>
    <w:p w:rsidR="00230240" w:rsidRPr="008C0BA2" w:rsidRDefault="00230240" w:rsidP="00B9353E">
      <w:pPr>
        <w:spacing w:after="0" w:line="240" w:lineRule="auto"/>
        <w:ind w:right="71"/>
        <w:jc w:val="both"/>
        <w:rPr>
          <w:rFonts w:ascii="Times New Roman" w:hAnsi="Times New Roman" w:cs="Times New Roman"/>
        </w:rPr>
      </w:pPr>
      <w:r w:rsidRPr="008C0BA2">
        <w:rPr>
          <w:rFonts w:ascii="Times New Roman" w:hAnsi="Times New Roman" w:cs="Times New Roman"/>
        </w:rPr>
        <w:t>Por su parte, se declararon exentas de todos los impuestos de importación y del IVA y derechos arancelarios todas las donaciones vinculadas directamente con la prevención y atención de la enfermedad COVID-19.</w:t>
      </w:r>
    </w:p>
    <w:p w:rsidR="00230240" w:rsidRDefault="00230240" w:rsidP="00AA7BFD">
      <w:pPr>
        <w:spacing w:after="0" w:line="240" w:lineRule="auto"/>
        <w:ind w:right="213"/>
        <w:jc w:val="both"/>
        <w:rPr>
          <w:rFonts w:ascii="Times New Roman" w:hAnsi="Times New Roman" w:cs="Times New Roman"/>
          <w:b/>
        </w:rPr>
      </w:pPr>
    </w:p>
    <w:p w:rsidR="00230240" w:rsidRDefault="00230240" w:rsidP="00B9353E">
      <w:pPr>
        <w:spacing w:after="0" w:line="240" w:lineRule="auto"/>
        <w:ind w:right="71"/>
        <w:jc w:val="both"/>
        <w:rPr>
          <w:rFonts w:ascii="Times New Roman" w:hAnsi="Times New Roman" w:cs="Times New Roman"/>
        </w:rPr>
      </w:pPr>
      <w:r w:rsidRPr="00641822">
        <w:rPr>
          <w:rFonts w:ascii="Times New Roman" w:hAnsi="Times New Roman" w:cs="Times New Roman"/>
        </w:rPr>
        <w:t xml:space="preserve">El Ministerio de Finanzas quedó facultado a reprogramar y ajustar las fuentes de financiamiento que se identifiquen dentro del presupuesto con el objeto de viabilizar la </w:t>
      </w:r>
      <w:r>
        <w:rPr>
          <w:rFonts w:ascii="Times New Roman" w:hAnsi="Times New Roman" w:cs="Times New Roman"/>
        </w:rPr>
        <w:t>readecuación presupuestaria por Q1</w:t>
      </w:r>
      <w:proofErr w:type="gramStart"/>
      <w:r>
        <w:rPr>
          <w:rFonts w:ascii="Times New Roman" w:hAnsi="Times New Roman" w:cs="Times New Roman"/>
        </w:rPr>
        <w:t>,878.0</w:t>
      </w:r>
      <w:proofErr w:type="gramEnd"/>
      <w:r>
        <w:rPr>
          <w:rFonts w:ascii="Times New Roman" w:hAnsi="Times New Roman" w:cs="Times New Roman"/>
        </w:rPr>
        <w:t xml:space="preserve"> millones, con el objetivo de incrementar el presupuesto del Ministerio de Salud Pública y Asistencia Social.  Adicionalmente, se faculta a que puedan realizarse reuniones semanales extraordinarias para someter a consideración del COPEP los requerimientos de cuota financiera que permitan dar cumplimiento a las erogaciones aprobadas. </w:t>
      </w:r>
    </w:p>
    <w:p w:rsidR="00230240" w:rsidRDefault="00230240" w:rsidP="00AA7BFD">
      <w:pPr>
        <w:spacing w:after="0" w:line="240" w:lineRule="auto"/>
        <w:ind w:right="213"/>
        <w:jc w:val="both"/>
        <w:rPr>
          <w:rFonts w:ascii="Times New Roman" w:hAnsi="Times New Roman" w:cs="Times New Roman"/>
        </w:rPr>
      </w:pPr>
    </w:p>
    <w:p w:rsidR="00230240" w:rsidRDefault="00230240" w:rsidP="00B9353E">
      <w:pPr>
        <w:spacing w:after="0" w:line="240" w:lineRule="auto"/>
        <w:ind w:right="71"/>
        <w:jc w:val="both"/>
        <w:rPr>
          <w:rFonts w:ascii="Times New Roman" w:hAnsi="Times New Roman" w:cs="Times New Roman"/>
        </w:rPr>
      </w:pPr>
      <w:r>
        <w:rPr>
          <w:rFonts w:ascii="Times New Roman" w:hAnsi="Times New Roman" w:cs="Times New Roman"/>
        </w:rPr>
        <w:t xml:space="preserve">Entre otras acciones relevantes aprobadas por el Decreto 11-2021 se encuentra la actualización de las disposiciones emitidas relacionadas a los aforos, cordones sanitarios, pruebas de diagnóstico con el fin de buscar la reducción de contagios, revisar medidas alternativas de trabajo presencial, programar y desarrollar el proceso de vacunación en menores de edad comprendidos entre los 12 a 17 años, facultar al MSPAS e IGSS a suscribir convenios de cooperación a título gratuito con </w:t>
      </w:r>
      <w:r>
        <w:rPr>
          <w:rFonts w:ascii="Times New Roman" w:hAnsi="Times New Roman" w:cs="Times New Roman"/>
        </w:rPr>
        <w:lastRenderedPageBreak/>
        <w:t>farmacias y entidades afines para ampliar el sistema de vacunación, incrementar las becas estudiantiles a todo estudiante que presta sus servicios para atender la emergencia del COVID-19 (siendo equivalente al monto del salario mínimo), permiso laboral a los trabajadores para que asistan a los centros de vacunación autorizados, entre otros.</w:t>
      </w:r>
    </w:p>
    <w:p w:rsidR="00230240" w:rsidRDefault="00230240" w:rsidP="00AA7BFD">
      <w:pPr>
        <w:spacing w:after="0" w:line="240" w:lineRule="auto"/>
        <w:ind w:right="213"/>
        <w:jc w:val="both"/>
        <w:rPr>
          <w:rFonts w:ascii="Times New Roman" w:hAnsi="Times New Roman" w:cs="Times New Roman"/>
          <w:b/>
        </w:rPr>
      </w:pPr>
    </w:p>
    <w:p w:rsidR="00230240" w:rsidRDefault="00230240" w:rsidP="00B9353E">
      <w:pPr>
        <w:spacing w:after="0" w:line="240" w:lineRule="auto"/>
        <w:ind w:right="71"/>
        <w:jc w:val="both"/>
        <w:rPr>
          <w:rFonts w:ascii="Times New Roman" w:hAnsi="Times New Roman" w:cs="Times New Roman"/>
        </w:rPr>
      </w:pPr>
      <w:r>
        <w:rPr>
          <w:rFonts w:ascii="Times New Roman" w:hAnsi="Times New Roman" w:cs="Times New Roman"/>
          <w:b/>
        </w:rPr>
        <w:t xml:space="preserve">Derivado de los </w:t>
      </w:r>
      <w:r w:rsidRPr="0080225F">
        <w:rPr>
          <w:rFonts w:ascii="Times New Roman" w:hAnsi="Times New Roman" w:cs="Times New Roman"/>
          <w:b/>
        </w:rPr>
        <w:t>decretos anteriormente mencionados, es posible darle seguimiento de la ejecución del gasto relacionado a la pandemia COVID-19, dado que fue creado el programa específico para su seguimiento,</w:t>
      </w:r>
      <w:r>
        <w:rPr>
          <w:rFonts w:ascii="Times New Roman" w:hAnsi="Times New Roman" w:cs="Times New Roman"/>
        </w:rPr>
        <w:t xml:space="preserve">  durante el año se han dado gastos importantes a nivel de tres ministerios, siendo el caso de Ministerio de Salud Pública y Asistencia Social por Q1,338.0 millones, Ministerio de Desarrollo Social por Q103.0 millones y Ministerio de Agricultura, Ganadería y Alimentación por Q113.3 millones que totalizan intervenciones por Q1,554.3 millones. </w:t>
      </w:r>
    </w:p>
    <w:p w:rsidR="00230240" w:rsidRDefault="00230240" w:rsidP="00AA7BFD">
      <w:pPr>
        <w:spacing w:after="0" w:line="240" w:lineRule="auto"/>
        <w:ind w:right="213"/>
        <w:jc w:val="both"/>
        <w:rPr>
          <w:rFonts w:ascii="Times New Roman" w:hAnsi="Times New Roman" w:cs="Times New Roman"/>
        </w:rPr>
      </w:pPr>
    </w:p>
    <w:p w:rsidR="00230240" w:rsidRDefault="00230240" w:rsidP="00B9353E">
      <w:pPr>
        <w:spacing w:after="0" w:line="240" w:lineRule="auto"/>
        <w:ind w:right="71"/>
        <w:jc w:val="both"/>
        <w:rPr>
          <w:rFonts w:ascii="Times New Roman" w:hAnsi="Times New Roman" w:cs="Times New Roman"/>
        </w:rPr>
      </w:pPr>
      <w:r>
        <w:rPr>
          <w:rFonts w:ascii="Times New Roman" w:hAnsi="Times New Roman" w:cs="Times New Roman"/>
        </w:rPr>
        <w:t xml:space="preserve">Dentro de los gastos, resalta la ejecución relacionada al esquema de vacunación contra el COVID-19 así mismo existen otras intervenciones importantes por parte del Ministerio de Salud Pública, tal es el caso para la atención de la emergencia y laboratorios beneficiados con materiales y equipo de atención de la emergencia COVID-19.  </w:t>
      </w:r>
    </w:p>
    <w:p w:rsidR="00230240" w:rsidRDefault="00230240" w:rsidP="00AA7BFD">
      <w:pPr>
        <w:pStyle w:val="Sinespaciado"/>
        <w:ind w:right="213"/>
        <w:jc w:val="center"/>
        <w:rPr>
          <w:rFonts w:ascii="Times New Roman" w:hAnsi="Times New Roman" w:cs="Times New Roman"/>
          <w:b/>
        </w:rPr>
      </w:pPr>
    </w:p>
    <w:p w:rsidR="00230240" w:rsidRPr="00474998" w:rsidRDefault="00230240" w:rsidP="00AA7BFD">
      <w:pPr>
        <w:pStyle w:val="Sinespaciado"/>
        <w:ind w:right="213"/>
        <w:jc w:val="center"/>
        <w:rPr>
          <w:rFonts w:ascii="Times New Roman" w:hAnsi="Times New Roman" w:cs="Times New Roman"/>
          <w:b/>
        </w:rPr>
      </w:pPr>
      <w:r w:rsidRPr="00474998">
        <w:rPr>
          <w:rFonts w:ascii="Times New Roman" w:hAnsi="Times New Roman" w:cs="Times New Roman"/>
          <w:b/>
        </w:rPr>
        <w:t>Ejecución acumulada de los programas en atención al COVID-19</w:t>
      </w:r>
    </w:p>
    <w:p w:rsidR="00230240" w:rsidRPr="00474998" w:rsidRDefault="00230240" w:rsidP="00AA7BFD">
      <w:pPr>
        <w:pStyle w:val="Sinespaciado"/>
        <w:ind w:right="213"/>
        <w:jc w:val="center"/>
        <w:rPr>
          <w:rFonts w:ascii="Times New Roman" w:hAnsi="Times New Roman" w:cs="Times New Roman"/>
          <w:sz w:val="18"/>
        </w:rPr>
      </w:pPr>
      <w:r w:rsidRPr="00474998">
        <w:rPr>
          <w:rFonts w:ascii="Times New Roman" w:hAnsi="Times New Roman" w:cs="Times New Roman"/>
          <w:noProof/>
          <w:lang w:eastAsia="es-GT"/>
        </w:rPr>
        <w:drawing>
          <wp:anchor distT="0" distB="0" distL="114300" distR="114300" simplePos="0" relativeHeight="251889664" behindDoc="0" locked="0" layoutInCell="1" allowOverlap="1" wp14:anchorId="375623E5" wp14:editId="7EABDF54">
            <wp:simplePos x="0" y="0"/>
            <wp:positionH relativeFrom="column">
              <wp:align>left</wp:align>
            </wp:positionH>
            <wp:positionV relativeFrom="paragraph">
              <wp:posOffset>138430</wp:posOffset>
            </wp:positionV>
            <wp:extent cx="2644140" cy="1780540"/>
            <wp:effectExtent l="0" t="0" r="3810" b="0"/>
            <wp:wrapSquare wrapText="bothSides"/>
            <wp:docPr id="25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474998">
        <w:rPr>
          <w:rFonts w:ascii="Times New Roman" w:hAnsi="Times New Roman" w:cs="Times New Roman"/>
          <w:sz w:val="18"/>
        </w:rPr>
        <w:t>Millones de quetzales y porcentajes</w:t>
      </w:r>
    </w:p>
    <w:p w:rsidR="00230240" w:rsidRPr="00474998" w:rsidRDefault="00230240" w:rsidP="00AA7BFD">
      <w:pPr>
        <w:pStyle w:val="Sinespaciado"/>
        <w:ind w:right="213"/>
        <w:rPr>
          <w:rFonts w:ascii="Times New Roman" w:hAnsi="Times New Roman" w:cs="Times New Roman"/>
          <w:sz w:val="16"/>
        </w:rPr>
      </w:pPr>
      <w:r w:rsidRPr="00474998">
        <w:rPr>
          <w:rFonts w:ascii="Times New Roman" w:hAnsi="Times New Roman" w:cs="Times New Roman"/>
          <w:sz w:val="16"/>
        </w:rPr>
        <w:lastRenderedPageBreak/>
        <w:t>Fuente: Dirección de Análisis y Política Fiscal</w:t>
      </w:r>
    </w:p>
    <w:p w:rsidR="00230240" w:rsidRDefault="00230240" w:rsidP="00AA7BFD">
      <w:pPr>
        <w:pStyle w:val="Sinespaciado"/>
        <w:ind w:right="213"/>
        <w:jc w:val="both"/>
        <w:rPr>
          <w:rFonts w:ascii="Times New Roman" w:hAnsi="Times New Roman" w:cs="Times New Roman"/>
          <w:color w:val="FF0000"/>
        </w:rPr>
      </w:pPr>
    </w:p>
    <w:p w:rsidR="00230240" w:rsidRDefault="00230240" w:rsidP="00B9353E">
      <w:pPr>
        <w:pStyle w:val="Sinespaciado"/>
        <w:ind w:right="71"/>
        <w:jc w:val="both"/>
        <w:rPr>
          <w:rFonts w:ascii="Times New Roman" w:hAnsi="Times New Roman" w:cs="Times New Roman"/>
        </w:rPr>
      </w:pPr>
      <w:r w:rsidRPr="009A1FBB">
        <w:rPr>
          <w:rFonts w:ascii="Times New Roman" w:hAnsi="Times New Roman" w:cs="Times New Roman"/>
        </w:rPr>
        <w:t xml:space="preserve">Respecto al tablero de control y seguimiento del decreto 11-2021 “Ley de Emergencia Nacional para la atención de la pandemia COVID-19” aun no reporta ninguna información, dado que el decreto fue publicado a mediados de septiembre. </w:t>
      </w:r>
    </w:p>
    <w:p w:rsidR="00230240" w:rsidRDefault="00230240" w:rsidP="00AA7BFD">
      <w:pPr>
        <w:pStyle w:val="Sinespaciado"/>
        <w:ind w:right="213"/>
        <w:jc w:val="both"/>
        <w:rPr>
          <w:rFonts w:ascii="Times New Roman" w:hAnsi="Times New Roman" w:cs="Times New Roman"/>
        </w:rPr>
      </w:pPr>
    </w:p>
    <w:p w:rsidR="00230240" w:rsidRDefault="00230240" w:rsidP="00B9353E">
      <w:pPr>
        <w:pStyle w:val="Sinespaciado"/>
        <w:ind w:right="71"/>
        <w:jc w:val="both"/>
        <w:rPr>
          <w:rFonts w:ascii="Times New Roman" w:hAnsi="Times New Roman" w:cs="Times New Roman"/>
        </w:rPr>
      </w:pPr>
      <w:r>
        <w:rPr>
          <w:rFonts w:ascii="Times New Roman" w:hAnsi="Times New Roman" w:cs="Times New Roman"/>
        </w:rPr>
        <w:t xml:space="preserve">Derivado de los esfuerzos antes mencionados, al cierre de septiembre de acuerdo al tablero de seguimiento de COVID-19 del MSPAS, se han administrado alrededor de 7 millones de dosis, de las cuales 4.5 millones corresponden a personas vacunadas con primera dosis y 2.5 millones corresponden a personas vacunadas con esquema completo. </w:t>
      </w:r>
    </w:p>
    <w:p w:rsidR="00230240" w:rsidRDefault="00230240" w:rsidP="00AA7BFD">
      <w:pPr>
        <w:pStyle w:val="Sinespaciado"/>
        <w:ind w:right="213"/>
        <w:jc w:val="both"/>
        <w:rPr>
          <w:rFonts w:ascii="Times New Roman" w:hAnsi="Times New Roman" w:cs="Times New Roman"/>
        </w:rPr>
      </w:pPr>
    </w:p>
    <w:p w:rsidR="00230240" w:rsidRDefault="00230240" w:rsidP="00B9353E">
      <w:pPr>
        <w:pStyle w:val="Sinespaciado"/>
        <w:ind w:right="71"/>
        <w:jc w:val="both"/>
        <w:rPr>
          <w:rFonts w:ascii="Times New Roman" w:hAnsi="Times New Roman" w:cs="Times New Roman"/>
        </w:rPr>
      </w:pPr>
      <w:r>
        <w:rPr>
          <w:rFonts w:ascii="Times New Roman" w:hAnsi="Times New Roman" w:cs="Times New Roman"/>
        </w:rPr>
        <w:t xml:space="preserve">De las personas vacunas con la primera dosis, el 31% lo ha hecho con Moderna, 17% con </w:t>
      </w:r>
      <w:proofErr w:type="spellStart"/>
      <w:r>
        <w:rPr>
          <w:rFonts w:ascii="Times New Roman" w:hAnsi="Times New Roman" w:cs="Times New Roman"/>
        </w:rPr>
        <w:t>Astrazeneca</w:t>
      </w:r>
      <w:proofErr w:type="spellEnd"/>
      <w:r>
        <w:rPr>
          <w:rFonts w:ascii="Times New Roman" w:hAnsi="Times New Roman" w:cs="Times New Roman"/>
        </w:rPr>
        <w:t xml:space="preserve">, 15% con </w:t>
      </w:r>
      <w:proofErr w:type="spellStart"/>
      <w:r>
        <w:rPr>
          <w:rFonts w:ascii="Times New Roman" w:hAnsi="Times New Roman" w:cs="Times New Roman"/>
        </w:rPr>
        <w:t>Sputnik</w:t>
      </w:r>
      <w:proofErr w:type="spellEnd"/>
      <w:r>
        <w:rPr>
          <w:rFonts w:ascii="Times New Roman" w:hAnsi="Times New Roman" w:cs="Times New Roman"/>
        </w:rPr>
        <w:t xml:space="preserve"> y 2% con Pfizer, lo cual corresponde a donaciones y compras hechas por el gobierno de Guatemala. Esto es relevante dado que en la vacunación se reflejan los esfuerzos del gobierno por asegurar la salud de los guatemaltecos ante los efectos de la pandemia COVID-19. </w:t>
      </w:r>
    </w:p>
    <w:p w:rsidR="00230240" w:rsidRDefault="00230240" w:rsidP="00AA7BFD">
      <w:pPr>
        <w:pStyle w:val="Sinespaciado"/>
        <w:ind w:right="213"/>
        <w:jc w:val="both"/>
        <w:rPr>
          <w:rFonts w:ascii="Times New Roman" w:hAnsi="Times New Roman" w:cs="Times New Roman"/>
        </w:rPr>
      </w:pPr>
    </w:p>
    <w:p w:rsidR="00230240" w:rsidRDefault="00230240" w:rsidP="00B9353E">
      <w:pPr>
        <w:pStyle w:val="Sinespaciado"/>
        <w:ind w:right="71"/>
        <w:jc w:val="both"/>
        <w:rPr>
          <w:rFonts w:ascii="Times New Roman" w:hAnsi="Times New Roman" w:cs="Times New Roman"/>
        </w:rPr>
      </w:pPr>
      <w:r>
        <w:rPr>
          <w:rFonts w:ascii="Times New Roman" w:hAnsi="Times New Roman" w:cs="Times New Roman"/>
        </w:rPr>
        <w:t>No obstante, es importante mencionar que aún queda camino por recorrer para alcanzar el 70% de la población guatemalteca vacunada con esquema completo, dado que es el objetivo que algunos expertos en salud han marcado como clave para que el virus pierda capacidad de propagación, aunque con la variante Delta este umbral cambio y se hace necesario vacunar a una mayor cantidad de personas para alcanzar la inmunidad de grupo.</w:t>
      </w:r>
    </w:p>
    <w:p w:rsidR="00230240" w:rsidRDefault="00230240" w:rsidP="00AA7BFD">
      <w:pPr>
        <w:pStyle w:val="Sinespaciado"/>
        <w:ind w:right="213"/>
        <w:jc w:val="both"/>
        <w:rPr>
          <w:rFonts w:ascii="Times New Roman" w:hAnsi="Times New Roman" w:cs="Times New Roman"/>
        </w:rPr>
      </w:pPr>
    </w:p>
    <w:p w:rsidR="00230240" w:rsidRDefault="00230240" w:rsidP="00AA7BFD">
      <w:pPr>
        <w:pStyle w:val="Sinespaciado"/>
        <w:ind w:right="213"/>
        <w:jc w:val="center"/>
        <w:rPr>
          <w:rFonts w:ascii="Times New Roman" w:hAnsi="Times New Roman" w:cs="Times New Roman"/>
          <w:b/>
        </w:rPr>
      </w:pPr>
      <w:r>
        <w:rPr>
          <w:rFonts w:ascii="Times New Roman" w:hAnsi="Times New Roman" w:cs="Times New Roman"/>
          <w:b/>
        </w:rPr>
        <w:t>Cantidad de personas vacunadas y tipo de vacuna</w:t>
      </w:r>
    </w:p>
    <w:p w:rsidR="00230240" w:rsidRPr="006C7775" w:rsidRDefault="00B9353E" w:rsidP="00AA7BFD">
      <w:pPr>
        <w:pStyle w:val="Sinespaciado"/>
        <w:ind w:right="213"/>
        <w:jc w:val="center"/>
        <w:rPr>
          <w:rFonts w:ascii="Times New Roman" w:hAnsi="Times New Roman" w:cs="Times New Roman"/>
          <w:sz w:val="18"/>
        </w:rPr>
      </w:pPr>
      <w:r w:rsidRPr="006C7775">
        <w:rPr>
          <w:rFonts w:ascii="Times New Roman" w:hAnsi="Times New Roman" w:cs="Times New Roman"/>
          <w:noProof/>
          <w:sz w:val="18"/>
          <w:lang w:eastAsia="es-GT"/>
        </w:rPr>
        <w:drawing>
          <wp:anchor distT="0" distB="0" distL="114300" distR="114300" simplePos="0" relativeHeight="251890688" behindDoc="0" locked="0" layoutInCell="1" allowOverlap="1" wp14:anchorId="36E1A5EA" wp14:editId="09A6CA18">
            <wp:simplePos x="0" y="0"/>
            <wp:positionH relativeFrom="column">
              <wp:posOffset>-229870</wp:posOffset>
            </wp:positionH>
            <wp:positionV relativeFrom="paragraph">
              <wp:posOffset>165100</wp:posOffset>
            </wp:positionV>
            <wp:extent cx="2814320" cy="1908175"/>
            <wp:effectExtent l="0" t="0" r="5080" b="0"/>
            <wp:wrapSquare wrapText="bothSides"/>
            <wp:docPr id="3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230240" w:rsidRPr="006C7775">
        <w:rPr>
          <w:rFonts w:ascii="Times New Roman" w:hAnsi="Times New Roman" w:cs="Times New Roman"/>
          <w:sz w:val="18"/>
        </w:rPr>
        <w:t>Cifras en millones y porcentajes</w:t>
      </w:r>
    </w:p>
    <w:p w:rsidR="00230240" w:rsidRPr="000E7632" w:rsidRDefault="00230240" w:rsidP="00AA7BFD">
      <w:pPr>
        <w:pStyle w:val="Sinespaciado"/>
        <w:ind w:right="213"/>
        <w:jc w:val="both"/>
        <w:rPr>
          <w:rFonts w:ascii="Times New Roman" w:hAnsi="Times New Roman" w:cs="Times New Roman"/>
          <w:sz w:val="16"/>
        </w:rPr>
      </w:pPr>
      <w:r w:rsidRPr="000E7632">
        <w:rPr>
          <w:rFonts w:ascii="Times New Roman" w:hAnsi="Times New Roman" w:cs="Times New Roman"/>
          <w:sz w:val="16"/>
        </w:rPr>
        <w:lastRenderedPageBreak/>
        <w:t xml:space="preserve">Fuente: Ministerio de Salud Pública y Asistencia Social </w:t>
      </w:r>
    </w:p>
    <w:p w:rsidR="00230240" w:rsidRDefault="00230240" w:rsidP="00AA7BFD">
      <w:pPr>
        <w:pStyle w:val="Sinespaciado"/>
        <w:ind w:right="213"/>
        <w:jc w:val="both"/>
        <w:rPr>
          <w:rFonts w:ascii="Times New Roman" w:hAnsi="Times New Roman" w:cs="Times New Roman"/>
          <w:b/>
        </w:rPr>
      </w:pPr>
    </w:p>
    <w:p w:rsidR="00230240" w:rsidRDefault="00230240" w:rsidP="00B9353E">
      <w:pPr>
        <w:pStyle w:val="Sinespaciado"/>
        <w:ind w:right="71"/>
        <w:jc w:val="both"/>
        <w:rPr>
          <w:rFonts w:ascii="Times New Roman" w:hAnsi="Times New Roman" w:cs="Times New Roman"/>
          <w:color w:val="FF0000"/>
        </w:rPr>
      </w:pPr>
      <w:r w:rsidRPr="008F16DC">
        <w:rPr>
          <w:rFonts w:ascii="Times New Roman" w:hAnsi="Times New Roman" w:cs="Times New Roman"/>
          <w:b/>
        </w:rPr>
        <w:t>Respecto al subprograma 11, relacionado al Estado de Calamidad Pública por la Depresión Tropical ETA (DG 20-2020 y 21-2020)</w:t>
      </w:r>
      <w:r>
        <w:rPr>
          <w:rFonts w:ascii="Times New Roman" w:hAnsi="Times New Roman" w:cs="Times New Roman"/>
        </w:rPr>
        <w:t xml:space="preserve"> reporta una ejecución de Q135</w:t>
      </w:r>
      <w:r w:rsidRPr="004C71BC">
        <w:rPr>
          <w:rFonts w:ascii="Times New Roman" w:hAnsi="Times New Roman" w:cs="Times New Roman"/>
        </w:rPr>
        <w:t>.</w:t>
      </w:r>
      <w:r>
        <w:rPr>
          <w:rFonts w:ascii="Times New Roman" w:hAnsi="Times New Roman" w:cs="Times New Roman"/>
        </w:rPr>
        <w:t>4</w:t>
      </w:r>
      <w:r w:rsidRPr="004C71BC">
        <w:rPr>
          <w:rFonts w:ascii="Times New Roman" w:hAnsi="Times New Roman" w:cs="Times New Roman"/>
        </w:rPr>
        <w:t xml:space="preserve"> millones, de los cuales Q</w:t>
      </w:r>
      <w:r>
        <w:rPr>
          <w:rFonts w:ascii="Times New Roman" w:hAnsi="Times New Roman" w:cs="Times New Roman"/>
        </w:rPr>
        <w:t>131</w:t>
      </w:r>
      <w:r w:rsidRPr="004C71BC">
        <w:rPr>
          <w:rFonts w:ascii="Times New Roman" w:hAnsi="Times New Roman" w:cs="Times New Roman"/>
        </w:rPr>
        <w:t>.</w:t>
      </w:r>
      <w:r>
        <w:rPr>
          <w:rFonts w:ascii="Times New Roman" w:hAnsi="Times New Roman" w:cs="Times New Roman"/>
        </w:rPr>
        <w:t>9</w:t>
      </w:r>
      <w:r w:rsidRPr="004C71BC">
        <w:rPr>
          <w:rFonts w:ascii="Times New Roman" w:hAnsi="Times New Roman" w:cs="Times New Roman"/>
        </w:rPr>
        <w:t xml:space="preserve"> millones corresponden al Ministerio de Comunicaciones, Infraestructura y Vivienda para el mantenimiento y reparación </w:t>
      </w:r>
      <w:r>
        <w:rPr>
          <w:rFonts w:ascii="Times New Roman" w:hAnsi="Times New Roman" w:cs="Times New Roman"/>
        </w:rPr>
        <w:t>de infraestructura</w:t>
      </w:r>
      <w:r w:rsidRPr="004C71BC">
        <w:rPr>
          <w:rFonts w:ascii="Times New Roman" w:hAnsi="Times New Roman" w:cs="Times New Roman"/>
        </w:rPr>
        <w:t>, lo cual incluye gastos de mantenimiento y repar</w:t>
      </w:r>
      <w:r>
        <w:rPr>
          <w:rFonts w:ascii="Times New Roman" w:hAnsi="Times New Roman" w:cs="Times New Roman"/>
        </w:rPr>
        <w:t>ación de carreteras y puentes y arrendamiento de maquinaria y equipo de construcción. Adicionalmente, el Ministerio de Desarrollo Social y el Ministerio de Cultura y Deportes reportan una ejecución de Q1.7 y Q1.8 millones, respectivamente, por materiales de construcción y enseres y mantenimiento y reparación de bienes nacionales.</w:t>
      </w:r>
      <w:r w:rsidRPr="00D700D1">
        <w:rPr>
          <w:rFonts w:ascii="Times New Roman" w:hAnsi="Times New Roman" w:cs="Times New Roman"/>
          <w:color w:val="FF0000"/>
        </w:rPr>
        <w:t xml:space="preserve">  </w:t>
      </w:r>
    </w:p>
    <w:p w:rsidR="00230240" w:rsidRDefault="00230240" w:rsidP="00AA7BFD">
      <w:pPr>
        <w:pStyle w:val="Sinespaciado"/>
        <w:ind w:right="213"/>
        <w:jc w:val="both"/>
        <w:rPr>
          <w:rFonts w:ascii="Times New Roman" w:hAnsi="Times New Roman" w:cs="Times New Roman"/>
          <w:color w:val="FF0000"/>
        </w:rPr>
      </w:pPr>
    </w:p>
    <w:p w:rsidR="00864787" w:rsidRDefault="00230240" w:rsidP="00B9353E">
      <w:pPr>
        <w:pStyle w:val="Sinespaciado"/>
        <w:ind w:right="71"/>
        <w:jc w:val="both"/>
        <w:rPr>
          <w:rFonts w:ascii="Times New Roman" w:hAnsi="Times New Roman" w:cs="Times New Roman"/>
          <w:color w:val="FF0000"/>
        </w:rPr>
      </w:pPr>
      <w:r>
        <w:rPr>
          <w:rFonts w:ascii="Times New Roman" w:hAnsi="Times New Roman" w:cs="Times New Roman"/>
        </w:rPr>
        <w:t>Dentro del portal del Ministerio de Finanzas se encuentra disponible el tablero de control “Estado de Calamidad Púbica por la Depresión Tropical ETA” con el objetivo de facilitar el seguimiento y auditoria social del gasto público, p</w:t>
      </w:r>
      <w:r w:rsidRPr="00DB0D21">
        <w:rPr>
          <w:rFonts w:ascii="Times New Roman" w:hAnsi="Times New Roman" w:cs="Times New Roman"/>
        </w:rPr>
        <w:t>or concepto de donaciones tanto externas como internas</w:t>
      </w:r>
      <w:r>
        <w:rPr>
          <w:rFonts w:ascii="Times New Roman" w:hAnsi="Times New Roman" w:cs="Times New Roman"/>
        </w:rPr>
        <w:t>, se han recibido Q1.6 millones y por concepto de compras, se han realizado 237 eventos, adjudicando 98 por un monto total de Q385.6 millones.</w:t>
      </w:r>
      <w:r w:rsidR="00474998" w:rsidRPr="005A7F2C">
        <w:rPr>
          <w:rFonts w:ascii="Times New Roman" w:hAnsi="Times New Roman" w:cs="Times New Roman"/>
          <w:color w:val="FF0000"/>
        </w:rPr>
        <w:t xml:space="preserve">  </w:t>
      </w:r>
    </w:p>
    <w:p w:rsidR="00B9353E" w:rsidRDefault="00B9353E" w:rsidP="00B9353E">
      <w:pPr>
        <w:pStyle w:val="Sinespaciado"/>
        <w:ind w:right="71"/>
        <w:jc w:val="both"/>
        <w:rPr>
          <w:rFonts w:ascii="Times New Roman" w:hAnsi="Times New Roman" w:cs="Times New Roman"/>
          <w:color w:val="FF0000"/>
        </w:rPr>
      </w:pPr>
    </w:p>
    <w:p w:rsidR="00B9353E" w:rsidRDefault="00B9353E" w:rsidP="00B9353E">
      <w:pPr>
        <w:pStyle w:val="Sinespaciado"/>
        <w:ind w:right="71"/>
        <w:jc w:val="both"/>
        <w:rPr>
          <w:rFonts w:ascii="Times New Roman" w:hAnsi="Times New Roman" w:cs="Times New Roman"/>
          <w:color w:val="FF0000"/>
        </w:rPr>
      </w:pPr>
    </w:p>
    <w:p w:rsidR="00B9353E" w:rsidRDefault="00B9353E" w:rsidP="00B9353E">
      <w:pPr>
        <w:pStyle w:val="Sinespaciado"/>
        <w:ind w:right="71"/>
        <w:jc w:val="both"/>
        <w:rPr>
          <w:rFonts w:ascii="Times New Roman" w:hAnsi="Times New Roman" w:cs="Times New Roman"/>
          <w:color w:val="FF0000"/>
        </w:rPr>
      </w:pPr>
    </w:p>
    <w:p w:rsidR="00B9353E" w:rsidRDefault="00B9353E" w:rsidP="00B9353E">
      <w:pPr>
        <w:pStyle w:val="Sinespaciado"/>
        <w:ind w:right="71"/>
        <w:jc w:val="both"/>
        <w:rPr>
          <w:rFonts w:ascii="Times New Roman" w:hAnsi="Times New Roman" w:cs="Times New Roman"/>
          <w:color w:val="FF0000"/>
        </w:rPr>
      </w:pPr>
    </w:p>
    <w:p w:rsidR="00B9353E" w:rsidRDefault="00B9353E" w:rsidP="00B9353E">
      <w:pPr>
        <w:pStyle w:val="Sinespaciado"/>
        <w:ind w:right="71"/>
        <w:jc w:val="both"/>
        <w:rPr>
          <w:rFonts w:ascii="Times New Roman" w:hAnsi="Times New Roman" w:cs="Times New Roman"/>
          <w:color w:val="FF0000"/>
        </w:rPr>
      </w:pPr>
    </w:p>
    <w:p w:rsidR="00E20BB6" w:rsidRDefault="00E20BB6" w:rsidP="00B9353E">
      <w:pPr>
        <w:pStyle w:val="Sinespaciado"/>
        <w:ind w:right="71"/>
        <w:jc w:val="both"/>
        <w:rPr>
          <w:rFonts w:ascii="Times New Roman" w:hAnsi="Times New Roman" w:cs="Times New Roman"/>
          <w:color w:val="FF0000"/>
        </w:rPr>
      </w:pPr>
    </w:p>
    <w:p w:rsidR="00E20BB6" w:rsidRDefault="00E20BB6" w:rsidP="00B9353E">
      <w:pPr>
        <w:pStyle w:val="Sinespaciado"/>
        <w:ind w:right="71"/>
        <w:jc w:val="both"/>
        <w:rPr>
          <w:rFonts w:ascii="Times New Roman" w:hAnsi="Times New Roman" w:cs="Times New Roman"/>
          <w:color w:val="FF0000"/>
        </w:rPr>
      </w:pPr>
    </w:p>
    <w:p w:rsidR="00E20BB6" w:rsidRDefault="00E20BB6" w:rsidP="00B9353E">
      <w:pPr>
        <w:pStyle w:val="Sinespaciado"/>
        <w:ind w:right="71"/>
        <w:jc w:val="both"/>
        <w:rPr>
          <w:rFonts w:ascii="Times New Roman" w:hAnsi="Times New Roman" w:cs="Times New Roman"/>
          <w:color w:val="FF0000"/>
        </w:rPr>
      </w:pPr>
    </w:p>
    <w:p w:rsidR="00E20BB6" w:rsidRDefault="00E20BB6" w:rsidP="00B9353E">
      <w:pPr>
        <w:pStyle w:val="Sinespaciado"/>
        <w:ind w:right="71"/>
        <w:jc w:val="both"/>
        <w:rPr>
          <w:rFonts w:ascii="Times New Roman" w:hAnsi="Times New Roman" w:cs="Times New Roman"/>
          <w:color w:val="FF0000"/>
        </w:rPr>
      </w:pPr>
    </w:p>
    <w:p w:rsidR="00E20BB6" w:rsidRDefault="00E20BB6" w:rsidP="00B9353E">
      <w:pPr>
        <w:pStyle w:val="Sinespaciado"/>
        <w:ind w:right="71"/>
        <w:jc w:val="both"/>
        <w:rPr>
          <w:rFonts w:ascii="Times New Roman" w:hAnsi="Times New Roman" w:cs="Times New Roman"/>
          <w:color w:val="FF0000"/>
        </w:rPr>
      </w:pPr>
    </w:p>
    <w:p w:rsidR="00E20BB6" w:rsidRDefault="00E20BB6" w:rsidP="00B9353E">
      <w:pPr>
        <w:pStyle w:val="Sinespaciado"/>
        <w:ind w:right="71"/>
        <w:jc w:val="both"/>
        <w:rPr>
          <w:rFonts w:ascii="Times New Roman" w:hAnsi="Times New Roman" w:cs="Times New Roman"/>
          <w:color w:val="FF0000"/>
        </w:rPr>
      </w:pPr>
    </w:p>
    <w:p w:rsidR="00E20BB6" w:rsidRDefault="00E20BB6" w:rsidP="00B9353E">
      <w:pPr>
        <w:pStyle w:val="Sinespaciado"/>
        <w:ind w:right="71"/>
        <w:jc w:val="both"/>
        <w:rPr>
          <w:rFonts w:ascii="Times New Roman" w:hAnsi="Times New Roman" w:cs="Times New Roman"/>
          <w:color w:val="FF0000"/>
        </w:rPr>
      </w:pPr>
    </w:p>
    <w:p w:rsidR="00E20BB6" w:rsidRDefault="00E20BB6" w:rsidP="00B9353E">
      <w:pPr>
        <w:pStyle w:val="Sinespaciado"/>
        <w:ind w:right="71"/>
        <w:jc w:val="both"/>
        <w:rPr>
          <w:rFonts w:ascii="Times New Roman" w:hAnsi="Times New Roman" w:cs="Times New Roman"/>
          <w:color w:val="FF0000"/>
        </w:rPr>
      </w:pPr>
    </w:p>
    <w:p w:rsidR="004C71BC" w:rsidRDefault="004C71BC" w:rsidP="004456FD">
      <w:pPr>
        <w:pStyle w:val="Sinespaciado"/>
        <w:rPr>
          <w:rFonts w:ascii="Times New Roman" w:hAnsi="Times New Roman" w:cs="Times New Roman"/>
          <w:color w:val="FF0000"/>
          <w:sz w:val="16"/>
        </w:rPr>
      </w:pPr>
    </w:p>
    <w:p w:rsidR="00E20BB6" w:rsidRDefault="00E20BB6" w:rsidP="004456FD">
      <w:pPr>
        <w:pStyle w:val="Sinespaciado"/>
        <w:rPr>
          <w:rFonts w:ascii="Times New Roman" w:hAnsi="Times New Roman" w:cs="Times New Roman"/>
          <w:color w:val="FF0000"/>
          <w:sz w:val="16"/>
        </w:rPr>
      </w:pPr>
    </w:p>
    <w:p w:rsidR="00E20BB6" w:rsidRDefault="00E20BB6" w:rsidP="004456FD">
      <w:pPr>
        <w:pStyle w:val="Sinespaciado"/>
        <w:rPr>
          <w:rFonts w:ascii="Times New Roman" w:hAnsi="Times New Roman" w:cs="Times New Roman"/>
          <w:color w:val="FF0000"/>
          <w:sz w:val="16"/>
        </w:rPr>
      </w:pPr>
    </w:p>
    <w:p w:rsidR="00E20BB6" w:rsidRDefault="00E20BB6" w:rsidP="004456FD">
      <w:pPr>
        <w:pStyle w:val="Sinespaciado"/>
        <w:rPr>
          <w:rFonts w:ascii="Times New Roman" w:hAnsi="Times New Roman" w:cs="Times New Roman"/>
          <w:color w:val="FF0000"/>
          <w:sz w:val="16"/>
        </w:rPr>
      </w:pPr>
    </w:p>
    <w:p w:rsidR="00E20BB6" w:rsidRPr="005A7F2C" w:rsidRDefault="00E20BB6" w:rsidP="004456FD">
      <w:pPr>
        <w:pStyle w:val="Sinespaciado"/>
        <w:rPr>
          <w:rFonts w:ascii="Times New Roman" w:hAnsi="Times New Roman" w:cs="Times New Roman"/>
          <w:color w:val="FF0000"/>
          <w:sz w:val="16"/>
        </w:rPr>
        <w:sectPr w:rsidR="00E20BB6" w:rsidRPr="005A7F2C" w:rsidSect="008E66C1">
          <w:type w:val="continuous"/>
          <w:pgSz w:w="12240" w:h="15840"/>
          <w:pgMar w:top="1417" w:right="1467" w:bottom="1417" w:left="1701" w:header="708" w:footer="708" w:gutter="0"/>
          <w:cols w:num="2" w:space="708"/>
          <w:docGrid w:linePitch="360"/>
        </w:sectPr>
      </w:pPr>
    </w:p>
    <w:p w:rsidR="009B76D6" w:rsidRPr="005A7F2C" w:rsidRDefault="009B76D6" w:rsidP="00D4202F">
      <w:pPr>
        <w:spacing w:after="0"/>
        <w:rPr>
          <w:rFonts w:ascii="Times New Roman" w:hAnsi="Times New Roman" w:cs="Times New Roman"/>
          <w:color w:val="FF0000"/>
          <w:sz w:val="10"/>
          <w:lang w:val="es-MX"/>
        </w:rPr>
        <w:sectPr w:rsidR="009B76D6" w:rsidRPr="005A7F2C" w:rsidSect="004E358C">
          <w:type w:val="continuous"/>
          <w:pgSz w:w="12240" w:h="15840"/>
          <w:pgMar w:top="1417" w:right="1701" w:bottom="1417" w:left="1701" w:header="708" w:footer="708" w:gutter="0"/>
          <w:cols w:num="2" w:space="708"/>
          <w:docGrid w:linePitch="360"/>
        </w:sectPr>
      </w:pPr>
    </w:p>
    <w:p w:rsidR="00E20BB6" w:rsidRPr="00AA7BFD" w:rsidRDefault="00E20BB6" w:rsidP="00E20BB6">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E20BB6" w:rsidRPr="00AA7BFD" w:rsidSect="00FA3B81">
          <w:type w:val="continuous"/>
          <w:pgSz w:w="12240" w:h="15840" w:code="1"/>
          <w:pgMar w:top="1418" w:right="1418" w:bottom="1418" w:left="1418" w:header="709" w:footer="709" w:gutter="0"/>
          <w:cols w:space="708"/>
          <w:docGrid w:linePitch="360"/>
        </w:sectPr>
      </w:pPr>
      <w:r w:rsidRPr="00AA7BFD">
        <w:rPr>
          <w:rFonts w:ascii="Times New Roman" w:hAnsi="Times New Roman" w:cs="Times New Roman"/>
          <w:b/>
        </w:rPr>
        <w:lastRenderedPageBreak/>
        <w:t xml:space="preserve">Ejecución de gastos relacionados a la atención por desastres naturales y calamidades públicas </w:t>
      </w:r>
    </w:p>
    <w:p w:rsidR="006470E2" w:rsidRDefault="006470E2" w:rsidP="008668B2">
      <w:pPr>
        <w:tabs>
          <w:tab w:val="left" w:pos="937"/>
        </w:tabs>
        <w:spacing w:after="0" w:line="240" w:lineRule="auto"/>
        <w:rPr>
          <w:lang w:val="es-MX"/>
        </w:rPr>
      </w:pPr>
    </w:p>
    <w:p w:rsidR="00E20BB6" w:rsidRDefault="00E20BB6" w:rsidP="00E20BB6">
      <w:pPr>
        <w:pStyle w:val="Textodeglobo"/>
        <w:jc w:val="both"/>
        <w:rPr>
          <w:rFonts w:ascii="Times New Roman" w:hAnsi="Times New Roman" w:cs="Times New Roman"/>
          <w:sz w:val="22"/>
          <w:szCs w:val="22"/>
        </w:rPr>
        <w:sectPr w:rsidR="00E20BB6" w:rsidSect="00E20BB6">
          <w:headerReference w:type="default" r:id="rId35"/>
          <w:footerReference w:type="default" r:id="rId36"/>
          <w:type w:val="continuous"/>
          <w:pgSz w:w="12240" w:h="15840" w:code="1"/>
          <w:pgMar w:top="1418" w:right="1418" w:bottom="1418" w:left="1418" w:header="709" w:footer="709" w:gutter="0"/>
          <w:cols w:space="708"/>
          <w:docGrid w:linePitch="360"/>
        </w:sectPr>
      </w:pPr>
    </w:p>
    <w:p w:rsidR="00E20BB6" w:rsidRDefault="00E20BB6" w:rsidP="00E20BB6">
      <w:pPr>
        <w:pStyle w:val="Sinespaciado"/>
        <w:ind w:right="71"/>
        <w:jc w:val="both"/>
        <w:rPr>
          <w:rFonts w:ascii="Times New Roman" w:hAnsi="Times New Roman" w:cs="Times New Roman"/>
        </w:rPr>
      </w:pPr>
      <w:r w:rsidRPr="00410B23">
        <w:rPr>
          <w:rFonts w:ascii="Times New Roman" w:hAnsi="Times New Roman" w:cs="Times New Roman"/>
        </w:rPr>
        <w:lastRenderedPageBreak/>
        <w:t xml:space="preserve">Entre lo más relevante acontecido en septiembre se destaca la postura de la Reserva Federal de Estados Unidos de tomar medidas para comenzar a reducir su apoyo a la economía el próximo mes, pese a una fuerte desaceleración en el aumento de empleos y al incremento en los casos de COVID-19.  La tasa de desempleo bajó a 4.8% en septiembre y se generaron menos puestos de trabajo de los esperados. El Departamento de Trabajo señaló que el empleo aumentó en el ocio y la hostelería, sectores muy afectados por </w:t>
      </w:r>
      <w:r>
        <w:rPr>
          <w:rFonts w:ascii="Times New Roman" w:hAnsi="Times New Roman" w:cs="Times New Roman"/>
        </w:rPr>
        <w:t>la pandemia</w:t>
      </w:r>
      <w:r w:rsidRPr="00410B23">
        <w:rPr>
          <w:rFonts w:ascii="Times New Roman" w:hAnsi="Times New Roman" w:cs="Times New Roman"/>
        </w:rPr>
        <w:t xml:space="preserve">, pero disminuyó en la enseñanza pública. </w:t>
      </w:r>
    </w:p>
    <w:p w:rsidR="00E20BB6" w:rsidRDefault="00E20BB6" w:rsidP="00E20BB6">
      <w:pPr>
        <w:pStyle w:val="Sinespaciado"/>
        <w:ind w:right="71"/>
        <w:jc w:val="both"/>
        <w:rPr>
          <w:rFonts w:ascii="Times New Roman" w:hAnsi="Times New Roman" w:cs="Times New Roman"/>
        </w:rPr>
      </w:pPr>
    </w:p>
    <w:p w:rsidR="00E20BB6" w:rsidRPr="00410B23" w:rsidRDefault="00E20BB6" w:rsidP="00E20BB6">
      <w:pPr>
        <w:pStyle w:val="Textodeglobo"/>
        <w:jc w:val="both"/>
        <w:rPr>
          <w:rFonts w:ascii="Times New Roman" w:hAnsi="Times New Roman" w:cs="Times New Roman"/>
          <w:sz w:val="22"/>
          <w:szCs w:val="22"/>
        </w:rPr>
      </w:pPr>
      <w:r>
        <w:rPr>
          <w:rFonts w:ascii="Times New Roman" w:hAnsi="Times New Roman" w:cs="Times New Roman"/>
          <w:sz w:val="22"/>
          <w:szCs w:val="22"/>
        </w:rPr>
        <w:t xml:space="preserve">Por su parte, </w:t>
      </w:r>
      <w:r w:rsidRPr="00410B23">
        <w:rPr>
          <w:rFonts w:ascii="Times New Roman" w:hAnsi="Times New Roman" w:cs="Times New Roman"/>
          <w:sz w:val="22"/>
          <w:szCs w:val="22"/>
        </w:rPr>
        <w:t>Estados Unidos evitó temporalmente una catastrófica cesación de pagos luego de que congresistas demócratas y republicanos llegaron a un acuerdo para elevar el tope de la deuda hasta diciembre.</w:t>
      </w:r>
      <w:r>
        <w:rPr>
          <w:rFonts w:ascii="Times New Roman" w:hAnsi="Times New Roman" w:cs="Times New Roman"/>
          <w:sz w:val="22"/>
          <w:szCs w:val="22"/>
        </w:rPr>
        <w:t xml:space="preserve">  </w:t>
      </w:r>
      <w:r w:rsidRPr="00410B23">
        <w:rPr>
          <w:rFonts w:ascii="Times New Roman" w:hAnsi="Times New Roman" w:cs="Times New Roman"/>
          <w:sz w:val="22"/>
          <w:szCs w:val="22"/>
        </w:rPr>
        <w:t xml:space="preserve">La Cámara de Representantes, a su vez, tendrá que aprobar esta medida para que el presidente </w:t>
      </w:r>
      <w:proofErr w:type="spellStart"/>
      <w:r w:rsidRPr="00410B23">
        <w:rPr>
          <w:rFonts w:ascii="Times New Roman" w:hAnsi="Times New Roman" w:cs="Times New Roman"/>
          <w:sz w:val="22"/>
          <w:szCs w:val="22"/>
        </w:rPr>
        <w:t>Joe</w:t>
      </w:r>
      <w:proofErr w:type="spellEnd"/>
      <w:r w:rsidRPr="00410B23">
        <w:rPr>
          <w:rFonts w:ascii="Times New Roman" w:hAnsi="Times New Roman" w:cs="Times New Roman"/>
          <w:sz w:val="22"/>
          <w:szCs w:val="22"/>
        </w:rPr>
        <w:t xml:space="preserve"> </w:t>
      </w:r>
      <w:proofErr w:type="spellStart"/>
      <w:r w:rsidRPr="00410B23">
        <w:rPr>
          <w:rFonts w:ascii="Times New Roman" w:hAnsi="Times New Roman" w:cs="Times New Roman"/>
          <w:sz w:val="22"/>
          <w:szCs w:val="22"/>
        </w:rPr>
        <w:t>Biden</w:t>
      </w:r>
      <w:proofErr w:type="spellEnd"/>
      <w:r w:rsidRPr="00410B23">
        <w:rPr>
          <w:rFonts w:ascii="Times New Roman" w:hAnsi="Times New Roman" w:cs="Times New Roman"/>
          <w:sz w:val="22"/>
          <w:szCs w:val="22"/>
        </w:rPr>
        <w:t xml:space="preserve"> pueda promulgarla. Esta votación final no se espera hasta </w:t>
      </w:r>
      <w:r>
        <w:rPr>
          <w:rFonts w:ascii="Times New Roman" w:hAnsi="Times New Roman" w:cs="Times New Roman"/>
          <w:sz w:val="22"/>
          <w:szCs w:val="22"/>
        </w:rPr>
        <w:t>mediados de octubre 2021</w:t>
      </w:r>
      <w:r w:rsidRPr="00410B23">
        <w:rPr>
          <w:rFonts w:ascii="Times New Roman" w:hAnsi="Times New Roman" w:cs="Times New Roman"/>
          <w:sz w:val="22"/>
          <w:szCs w:val="22"/>
        </w:rPr>
        <w:t>.</w:t>
      </w:r>
      <w:r>
        <w:rPr>
          <w:rFonts w:ascii="Times New Roman" w:hAnsi="Times New Roman" w:cs="Times New Roman"/>
          <w:sz w:val="22"/>
          <w:szCs w:val="22"/>
        </w:rPr>
        <w:t xml:space="preserve">  </w:t>
      </w:r>
      <w:r w:rsidRPr="00410B23">
        <w:rPr>
          <w:rFonts w:ascii="Times New Roman" w:hAnsi="Times New Roman" w:cs="Times New Roman"/>
          <w:sz w:val="22"/>
          <w:szCs w:val="22"/>
        </w:rPr>
        <w:t>De hecho, el acuerdo alcanzado pospone hasta finales de noviembre una batalla parlamentaria que promete ser épica por</w:t>
      </w:r>
      <w:r>
        <w:rPr>
          <w:rFonts w:ascii="Times New Roman" w:hAnsi="Times New Roman" w:cs="Times New Roman"/>
          <w:sz w:val="22"/>
          <w:szCs w:val="22"/>
        </w:rPr>
        <w:t xml:space="preserve"> las finanzas de Estados Unidos, p</w:t>
      </w:r>
      <w:r w:rsidRPr="00410B23">
        <w:rPr>
          <w:rFonts w:ascii="Times New Roman" w:hAnsi="Times New Roman" w:cs="Times New Roman"/>
          <w:sz w:val="22"/>
          <w:szCs w:val="22"/>
        </w:rPr>
        <w:t>orque en paralelo con el límite de la deuda, el Congreso también tendrá que acordar antes del 3 de diciembre un nuevo presupuesto si quiere evitar la paralización de los servicios federales, una situación también conocida como “cierre del gobierno” o ‘</w:t>
      </w:r>
      <w:proofErr w:type="spellStart"/>
      <w:r w:rsidRPr="00410B23">
        <w:rPr>
          <w:rFonts w:ascii="Times New Roman" w:hAnsi="Times New Roman" w:cs="Times New Roman"/>
          <w:sz w:val="22"/>
          <w:szCs w:val="22"/>
        </w:rPr>
        <w:t>shutdown</w:t>
      </w:r>
      <w:proofErr w:type="spellEnd"/>
      <w:r w:rsidRPr="00410B23">
        <w:rPr>
          <w:rFonts w:ascii="Times New Roman" w:hAnsi="Times New Roman" w:cs="Times New Roman"/>
          <w:sz w:val="22"/>
          <w:szCs w:val="22"/>
        </w:rPr>
        <w:t>’.</w:t>
      </w:r>
    </w:p>
    <w:p w:rsidR="00E20BB6" w:rsidRPr="00233EB9" w:rsidRDefault="00E20BB6" w:rsidP="00E20BB6">
      <w:pPr>
        <w:pStyle w:val="Textodeglobo"/>
        <w:jc w:val="both"/>
        <w:rPr>
          <w:rFonts w:ascii="Times New Roman" w:hAnsi="Times New Roman" w:cs="Times New Roman"/>
          <w:color w:val="FF0000"/>
          <w:sz w:val="22"/>
          <w:szCs w:val="22"/>
        </w:rPr>
      </w:pPr>
    </w:p>
    <w:p w:rsidR="00E20BB6" w:rsidRPr="000812E3" w:rsidRDefault="00E20BB6" w:rsidP="00E20BB6">
      <w:pPr>
        <w:pStyle w:val="Textodeglobo"/>
        <w:ind w:right="95"/>
        <w:jc w:val="both"/>
        <w:rPr>
          <w:rFonts w:ascii="Times New Roman" w:hAnsi="Times New Roman" w:cs="Times New Roman"/>
          <w:sz w:val="22"/>
          <w:szCs w:val="22"/>
        </w:rPr>
      </w:pPr>
      <w:r w:rsidRPr="000812E3">
        <w:rPr>
          <w:rFonts w:ascii="Times New Roman" w:hAnsi="Times New Roman" w:cs="Times New Roman"/>
          <w:sz w:val="22"/>
          <w:szCs w:val="22"/>
        </w:rPr>
        <w:t xml:space="preserve">En la zona euro, la inflación volvió a niveles desconocidos desde hace 13 años, en septiembre el IPC aumentó a 3.4% respecto al mismo mes de 2020, según </w:t>
      </w:r>
      <w:proofErr w:type="spellStart"/>
      <w:r w:rsidRPr="000812E3">
        <w:rPr>
          <w:rFonts w:ascii="Times New Roman" w:hAnsi="Times New Roman" w:cs="Times New Roman"/>
          <w:sz w:val="22"/>
          <w:szCs w:val="22"/>
        </w:rPr>
        <w:t>Eurostat</w:t>
      </w:r>
      <w:proofErr w:type="spellEnd"/>
      <w:r w:rsidRPr="000812E3">
        <w:rPr>
          <w:rFonts w:ascii="Times New Roman" w:hAnsi="Times New Roman" w:cs="Times New Roman"/>
          <w:sz w:val="22"/>
          <w:szCs w:val="22"/>
        </w:rPr>
        <w:t xml:space="preserve">. Dicha situación se atribuye al encarecimiento de la energía, los cuellos de botella de las cadenas de producción y el final de algunas medidas </w:t>
      </w:r>
      <w:r w:rsidRPr="000812E3">
        <w:rPr>
          <w:rFonts w:ascii="Times New Roman" w:hAnsi="Times New Roman" w:cs="Times New Roman"/>
          <w:sz w:val="22"/>
          <w:szCs w:val="22"/>
        </w:rPr>
        <w:lastRenderedPageBreak/>
        <w:t xml:space="preserve">impositivas adoptadas para luchar contra la </w:t>
      </w:r>
      <w:proofErr w:type="spellStart"/>
      <w:r w:rsidRPr="000812E3">
        <w:rPr>
          <w:rFonts w:ascii="Times New Roman" w:hAnsi="Times New Roman" w:cs="Times New Roman"/>
          <w:sz w:val="22"/>
          <w:szCs w:val="22"/>
        </w:rPr>
        <w:t>Covid</w:t>
      </w:r>
      <w:proofErr w:type="spellEnd"/>
      <w:r w:rsidRPr="000812E3">
        <w:rPr>
          <w:rFonts w:ascii="Times New Roman" w:hAnsi="Times New Roman" w:cs="Times New Roman"/>
          <w:sz w:val="22"/>
          <w:szCs w:val="22"/>
        </w:rPr>
        <w:t>.  Queda la incógnita de por cuánto tiempo y, con esa cuestión abierta, se da paso al debate sobre si el Banco Central Europeo (BCE) debe empezar a retirar estímulos, con las duras implicaciones que esto puede tener para las economías endeudadas como la española o la italiana.</w:t>
      </w:r>
    </w:p>
    <w:p w:rsidR="00E20BB6" w:rsidRPr="00233EB9" w:rsidRDefault="00E20BB6" w:rsidP="00E20BB6">
      <w:pPr>
        <w:pStyle w:val="Textodeglobo"/>
        <w:jc w:val="both"/>
        <w:rPr>
          <w:rFonts w:ascii="Times New Roman" w:hAnsi="Times New Roman" w:cs="Times New Roman"/>
          <w:color w:val="FF0000"/>
          <w:sz w:val="22"/>
          <w:szCs w:val="22"/>
        </w:rPr>
      </w:pPr>
    </w:p>
    <w:p w:rsidR="00E20BB6" w:rsidRPr="00B61961" w:rsidRDefault="00E20BB6" w:rsidP="00E20BB6">
      <w:pPr>
        <w:spacing w:after="0" w:line="240" w:lineRule="auto"/>
        <w:jc w:val="both"/>
        <w:rPr>
          <w:rFonts w:ascii="Times New Roman" w:hAnsi="Times New Roman" w:cs="Times New Roman"/>
        </w:rPr>
      </w:pPr>
      <w:r w:rsidRPr="00B61961">
        <w:rPr>
          <w:rFonts w:ascii="Times New Roman" w:hAnsi="Times New Roman" w:cs="Times New Roman"/>
        </w:rPr>
        <w:t>En China, su economía está siendo afectada, no solo por las secuelas de la pandemia, sino que por la incógnita si el gobierno decide mantener a flote a una de las principales constructoras del pa</w:t>
      </w:r>
      <w:r>
        <w:rPr>
          <w:rFonts w:ascii="Times New Roman" w:hAnsi="Times New Roman" w:cs="Times New Roman"/>
        </w:rPr>
        <w:t xml:space="preserve">ís, </w:t>
      </w:r>
      <w:proofErr w:type="spellStart"/>
      <w:r>
        <w:rPr>
          <w:rFonts w:ascii="Times New Roman" w:hAnsi="Times New Roman" w:cs="Times New Roman"/>
        </w:rPr>
        <w:t>Evergrande</w:t>
      </w:r>
      <w:proofErr w:type="spellEnd"/>
      <w:r>
        <w:rPr>
          <w:rFonts w:ascii="Times New Roman" w:hAnsi="Times New Roman" w:cs="Times New Roman"/>
        </w:rPr>
        <w:t xml:space="preserve"> con una deuda de US$300,000 millones </w:t>
      </w:r>
      <w:r w:rsidRPr="00B61961">
        <w:rPr>
          <w:rFonts w:ascii="Times New Roman" w:hAnsi="Times New Roman" w:cs="Times New Roman"/>
        </w:rPr>
        <w:t>o si la deja desaparecer poniendo en riesgo más de 1,300 desarrollos inmobiliarios en 280 ciudades del país.  El sector inmobiliario, uno de los pilares del crecimiento económico chino en las últimas décadas, representa según la Oficina Nacion</w:t>
      </w:r>
      <w:r>
        <w:rPr>
          <w:rFonts w:ascii="Times New Roman" w:hAnsi="Times New Roman" w:cs="Times New Roman"/>
        </w:rPr>
        <w:t>al de Estadística del país el 7.</w:t>
      </w:r>
      <w:r w:rsidRPr="00B61961">
        <w:rPr>
          <w:rFonts w:ascii="Times New Roman" w:hAnsi="Times New Roman" w:cs="Times New Roman"/>
        </w:rPr>
        <w:t>5% del producto interior bruto del país.</w:t>
      </w:r>
    </w:p>
    <w:p w:rsidR="00E20BB6" w:rsidRDefault="00E20BB6" w:rsidP="00E20BB6">
      <w:pPr>
        <w:spacing w:after="0" w:line="240" w:lineRule="auto"/>
        <w:jc w:val="both"/>
        <w:rPr>
          <w:rFonts w:ascii="Times New Roman" w:hAnsi="Times New Roman" w:cs="Times New Roman"/>
          <w:color w:val="FF0000"/>
        </w:rPr>
      </w:pPr>
    </w:p>
    <w:p w:rsidR="00E20BB6" w:rsidRPr="00DB0850" w:rsidRDefault="00E20BB6" w:rsidP="00E20BB6">
      <w:pPr>
        <w:spacing w:after="0" w:line="240" w:lineRule="auto"/>
        <w:jc w:val="both"/>
        <w:rPr>
          <w:rFonts w:ascii="Times New Roman" w:hAnsi="Times New Roman" w:cs="Times New Roman"/>
        </w:rPr>
      </w:pPr>
      <w:r w:rsidRPr="00DB0850">
        <w:rPr>
          <w:rFonts w:ascii="Times New Roman" w:hAnsi="Times New Roman" w:cs="Times New Roman"/>
        </w:rPr>
        <w:t xml:space="preserve">En Japón hay expectativas altas sobre la inmediata reactivación de la economía afectada por la pandemia, el 29 de septiembre se eligió al nuevo primer ministro </w:t>
      </w:r>
      <w:proofErr w:type="spellStart"/>
      <w:r w:rsidRPr="00DB0850">
        <w:rPr>
          <w:rFonts w:ascii="Times New Roman" w:hAnsi="Times New Roman" w:cs="Times New Roman"/>
        </w:rPr>
        <w:t>Fumio</w:t>
      </w:r>
      <w:proofErr w:type="spellEnd"/>
      <w:r w:rsidRPr="00DB0850">
        <w:rPr>
          <w:rFonts w:ascii="Times New Roman" w:hAnsi="Times New Roman" w:cs="Times New Roman"/>
        </w:rPr>
        <w:t xml:space="preserve"> </w:t>
      </w:r>
      <w:proofErr w:type="spellStart"/>
      <w:r w:rsidRPr="00DB0850">
        <w:rPr>
          <w:rFonts w:ascii="Times New Roman" w:hAnsi="Times New Roman" w:cs="Times New Roman"/>
        </w:rPr>
        <w:t>Kishida</w:t>
      </w:r>
      <w:proofErr w:type="spellEnd"/>
      <w:r w:rsidRPr="00DB0850">
        <w:rPr>
          <w:rFonts w:ascii="Times New Roman" w:hAnsi="Times New Roman" w:cs="Times New Roman"/>
        </w:rPr>
        <w:t xml:space="preserve"> del Partido Liberal.  Se ha referido a la propuesta con el término “nuevo capitalismo”, apuntando al crecimiento económico y a las políticas para reducir la disparidad de ingresos en Japón. En su propuesta señaló que una de las directrices que se barajan para la distribución de la riqueza es ajustar el tipo del impuesto sobre la renta, recaudando de los más ricos para subvenciona</w:t>
      </w:r>
      <w:r>
        <w:rPr>
          <w:rFonts w:ascii="Times New Roman" w:hAnsi="Times New Roman" w:cs="Times New Roman"/>
        </w:rPr>
        <w:t>r políticas para los más pobres y e</w:t>
      </w:r>
      <w:r w:rsidRPr="00DB0850">
        <w:rPr>
          <w:rFonts w:ascii="Times New Roman" w:hAnsi="Times New Roman" w:cs="Times New Roman"/>
        </w:rPr>
        <w:t>n cuanto al impuesto sobre el consumo, que grava la venta de productos, no debería aumentarse hasta dentro de “una década”</w:t>
      </w:r>
      <w:r>
        <w:rPr>
          <w:rFonts w:ascii="Times New Roman" w:hAnsi="Times New Roman" w:cs="Times New Roman"/>
        </w:rPr>
        <w:t>.</w:t>
      </w:r>
    </w:p>
    <w:p w:rsidR="00E20BB6" w:rsidRPr="00233EB9" w:rsidRDefault="00E20BB6" w:rsidP="00E20BB6">
      <w:pPr>
        <w:spacing w:after="0" w:line="240" w:lineRule="auto"/>
        <w:jc w:val="both"/>
        <w:rPr>
          <w:rFonts w:ascii="Times New Roman" w:hAnsi="Times New Roman" w:cs="Times New Roman"/>
          <w:color w:val="FF0000"/>
        </w:rPr>
      </w:pPr>
    </w:p>
    <w:p w:rsidR="00E20BB6" w:rsidRPr="007744C7" w:rsidRDefault="00E20BB6" w:rsidP="00E20BB6">
      <w:pPr>
        <w:spacing w:after="0" w:line="240" w:lineRule="auto"/>
        <w:jc w:val="both"/>
        <w:rPr>
          <w:rFonts w:ascii="Times New Roman" w:hAnsi="Times New Roman" w:cs="Times New Roman"/>
        </w:rPr>
      </w:pPr>
      <w:r w:rsidRPr="007744C7">
        <w:rPr>
          <w:rFonts w:ascii="Times New Roman" w:hAnsi="Times New Roman" w:cs="Times New Roman"/>
        </w:rPr>
        <w:t xml:space="preserve">El Banco Mundial en la actualización de su reporte sobre la región indicó que los países de </w:t>
      </w:r>
      <w:r w:rsidRPr="007744C7">
        <w:rPr>
          <w:rFonts w:ascii="Times New Roman" w:hAnsi="Times New Roman" w:cs="Times New Roman"/>
        </w:rPr>
        <w:lastRenderedPageBreak/>
        <w:t>América Latina y el Caribe se acercan a recuperar las pérdidas económicas por la pandemia, pero las secuelas son duras y los Gobiernos deben enfocarse en los problemas que ya cargaban desde antes de la covid-19.  En promedio, el PIB de Latinoamérica crecerá 6.3% este año, un mejor pronóstico que el 4.4% hecho por la organización hace siete meses, pero inferior a la caída del PIB regional de 6.7% el año pasado.  Las previsiones para 2022 y 2023 estiman un crecimiento menor al 3%, lo cual, es insuficiente para reactivar las economías y reducir la pobreza. El banco asegura que existen riesgos en el corto y mediano plazo para los países, entre ellos la recurrencia de brotes de covid-19, que detendrán la producción. Una contracción de la liquidez en los mercados financieros mundiales como respuesta a la inflación, la creciente deuda, tanto pública como del sector privado, y el aumento de los déficits en los presupuestos de los Gobiernos también funcionan como fuerzas en contra de la recuperación.</w:t>
      </w:r>
    </w:p>
    <w:p w:rsidR="00E20BB6" w:rsidRPr="00B13AF1" w:rsidRDefault="00E20BB6" w:rsidP="00E20BB6">
      <w:pPr>
        <w:pStyle w:val="Sinespaciado"/>
        <w:jc w:val="both"/>
        <w:rPr>
          <w:rFonts w:ascii="Times New Roman" w:eastAsia="Times New Roman" w:hAnsi="Times New Roman" w:cs="Times New Roman"/>
          <w:sz w:val="18"/>
          <w:lang w:val="es-MX"/>
        </w:rPr>
      </w:pPr>
    </w:p>
    <w:p w:rsidR="00E20BB6" w:rsidRPr="00B822A9" w:rsidRDefault="00E20BB6" w:rsidP="00E20BB6">
      <w:pPr>
        <w:pStyle w:val="Sinespaciado"/>
        <w:jc w:val="both"/>
        <w:rPr>
          <w:rFonts w:ascii="Times New Roman" w:hAnsi="Times New Roman" w:cs="Times New Roman"/>
          <w:lang w:val="es-MX"/>
        </w:rPr>
      </w:pPr>
      <w:r w:rsidRPr="00B13AF1">
        <w:rPr>
          <w:rFonts w:ascii="Times New Roman" w:hAnsi="Times New Roman" w:cs="Times New Roman"/>
          <w:lang w:val="es-MX"/>
        </w:rPr>
        <w:t xml:space="preserve">En el ámbito interno, la percepción sobre la situación económica actual y el ambiente para los negocios aumentó, el nivel del Índice de Confianza de la Actividad Económica se situó en 69.89 puntos, superior en 0.78% con respecto al registrado el mes anterior y aumentó en 30.93% respecto al registrado en septiembre 2020.   Así mismo, se espera un </w:t>
      </w:r>
      <w:r w:rsidRPr="00B13AF1">
        <w:rPr>
          <w:rFonts w:ascii="Times New Roman" w:hAnsi="Times New Roman" w:cs="Times New Roman"/>
          <w:lang w:val="es-MX"/>
        </w:rPr>
        <w:lastRenderedPageBreak/>
        <w:t xml:space="preserve">ritmo inflacionario de 4.08% para septiembre, y 4.09% para octubre y noviembre 2021; en un horizonte de 12 y 24 meses se esperaría un </w:t>
      </w:r>
      <w:r w:rsidRPr="00B822A9">
        <w:rPr>
          <w:rFonts w:ascii="Times New Roman" w:hAnsi="Times New Roman" w:cs="Times New Roman"/>
          <w:lang w:val="es-MX"/>
        </w:rPr>
        <w:t xml:space="preserve">ritmo de 4.21% y 4.20% respectivamente. </w:t>
      </w:r>
    </w:p>
    <w:p w:rsidR="00E20BB6" w:rsidRPr="00B822A9" w:rsidRDefault="00E20BB6" w:rsidP="00E20BB6">
      <w:pPr>
        <w:pStyle w:val="Sinespaciado"/>
        <w:jc w:val="both"/>
        <w:rPr>
          <w:rFonts w:ascii="Times New Roman" w:hAnsi="Times New Roman" w:cs="Times New Roman"/>
          <w:lang w:val="es-MX"/>
        </w:rPr>
      </w:pPr>
    </w:p>
    <w:p w:rsidR="00E20BB6" w:rsidRDefault="00E20BB6" w:rsidP="00E20BB6">
      <w:pPr>
        <w:pStyle w:val="Sinespaciado"/>
        <w:jc w:val="both"/>
        <w:rPr>
          <w:rFonts w:ascii="Times New Roman" w:eastAsia="Times New Roman" w:hAnsi="Times New Roman" w:cs="Times New Roman"/>
          <w:lang w:val="es-MX"/>
        </w:rPr>
      </w:pPr>
      <w:r w:rsidRPr="00B822A9">
        <w:rPr>
          <w:rFonts w:ascii="Times New Roman" w:eastAsia="Times New Roman" w:hAnsi="Times New Roman" w:cs="Times New Roman"/>
          <w:lang w:val="es-MX"/>
        </w:rPr>
        <w:t>La actividad económica en agosto de 2021, medida por la estimación del IMAE, registró una tasa de variación de 7.6% respecto a agosto 2020 cuando se ubicó en -1.1%.  Dicho resultado se atribuye al crecimiento en actividades como: Comercio y reparación de vehículos; Industrias manufactureras; Actividades de alojamiento y de servicio de comidas; y Actividades de atención de la salud humana y de asistencia social.</w:t>
      </w:r>
    </w:p>
    <w:p w:rsidR="00E20BB6" w:rsidRDefault="00E20BB6" w:rsidP="00E20BB6">
      <w:pPr>
        <w:pStyle w:val="Sinespaciado"/>
        <w:jc w:val="both"/>
        <w:rPr>
          <w:rFonts w:ascii="Times New Roman" w:eastAsia="Times New Roman" w:hAnsi="Times New Roman" w:cs="Times New Roman"/>
          <w:lang w:val="es-MX"/>
        </w:rPr>
      </w:pPr>
    </w:p>
    <w:p w:rsidR="00E20BB6" w:rsidRPr="00FE24EA" w:rsidRDefault="00E20BB6" w:rsidP="00E20BB6">
      <w:pPr>
        <w:pStyle w:val="NormalWeb"/>
        <w:shd w:val="clear" w:color="auto" w:fill="FFFFFF"/>
        <w:spacing w:before="0" w:beforeAutospacing="0" w:after="0" w:afterAutospacing="0"/>
        <w:jc w:val="both"/>
        <w:textAlignment w:val="baseline"/>
        <w:rPr>
          <w:rFonts w:eastAsiaTheme="minorHAnsi"/>
          <w:sz w:val="22"/>
          <w:szCs w:val="22"/>
          <w:lang w:eastAsia="en-US"/>
        </w:rPr>
      </w:pPr>
      <w:r w:rsidRPr="00864787">
        <w:rPr>
          <w:rFonts w:eastAsiaTheme="minorHAnsi"/>
          <w:sz w:val="22"/>
          <w:szCs w:val="22"/>
          <w:lang w:eastAsia="en-US"/>
        </w:rPr>
        <w:t>Finalmente, es importante destacar que, de acuerdo a información de la Junta Monetaria, la actividad económica nacional, registró un crecimiento del 15.1% durante el segundo trimestre del presente año, siendo significativo, aunque posiblemente explicado en alguna medida por la desaceleración observada en 2020.   En la conferencia de prensa se destacó que los sectores con un mejor desempeño lo son</w:t>
      </w:r>
      <w:proofErr w:type="gramStart"/>
      <w:r w:rsidRPr="00864787">
        <w:rPr>
          <w:rFonts w:eastAsiaTheme="minorHAnsi"/>
          <w:sz w:val="22"/>
          <w:szCs w:val="22"/>
          <w:lang w:eastAsia="en-US"/>
        </w:rPr>
        <w:t>:  la</w:t>
      </w:r>
      <w:proofErr w:type="gramEnd"/>
      <w:r w:rsidRPr="00864787">
        <w:rPr>
          <w:rFonts w:eastAsiaTheme="minorHAnsi"/>
          <w:sz w:val="22"/>
          <w:szCs w:val="22"/>
          <w:lang w:eastAsia="en-US"/>
        </w:rPr>
        <w:t xml:space="preserve"> industria de la construcción, el comercio y el sector de los servicios.   Es importante señalar que durante el primer trimestre la economía registró un crecimiento de 4.8%</w:t>
      </w:r>
      <w:r w:rsidR="00D70EA7">
        <w:rPr>
          <w:rFonts w:eastAsiaTheme="minorHAnsi"/>
          <w:sz w:val="22"/>
          <w:szCs w:val="22"/>
          <w:lang w:eastAsia="en-US"/>
        </w:rPr>
        <w:t>.</w:t>
      </w:r>
    </w:p>
    <w:p w:rsidR="00E20BB6" w:rsidRPr="00B822A9" w:rsidRDefault="00E20BB6" w:rsidP="00E20BB6">
      <w:pPr>
        <w:pStyle w:val="Sinespaciado"/>
        <w:jc w:val="both"/>
        <w:rPr>
          <w:rFonts w:ascii="Times New Roman" w:eastAsia="Times New Roman" w:hAnsi="Times New Roman" w:cs="Times New Roman"/>
          <w:lang w:val="es-MX"/>
        </w:rPr>
      </w:pPr>
    </w:p>
    <w:p w:rsidR="00E20BB6" w:rsidRDefault="00E20BB6" w:rsidP="00E20BB6">
      <w:pPr>
        <w:tabs>
          <w:tab w:val="left" w:pos="937"/>
        </w:tabs>
        <w:sectPr w:rsidR="00E20BB6" w:rsidSect="00E20BB6">
          <w:type w:val="continuous"/>
          <w:pgSz w:w="12240" w:h="15840" w:code="1"/>
          <w:pgMar w:top="1418" w:right="1418" w:bottom="1418" w:left="1701" w:header="709" w:footer="709" w:gutter="0"/>
          <w:cols w:num="2" w:space="708"/>
          <w:docGrid w:linePitch="360"/>
        </w:sectPr>
      </w:pPr>
    </w:p>
    <w:p w:rsidR="00D70EA7" w:rsidRDefault="00D70EA7">
      <w:r>
        <w:lastRenderedPageBreak/>
        <w:br w:type="page"/>
      </w:r>
    </w:p>
    <w:p w:rsidR="00D70EA7" w:rsidRDefault="00D70EA7" w:rsidP="00D70EA7">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rPr>
      </w:pPr>
      <w:r>
        <w:rPr>
          <w:rFonts w:ascii="Times New Roman" w:hAnsi="Times New Roman" w:cs="Times New Roman"/>
          <w:b/>
        </w:rPr>
        <w:lastRenderedPageBreak/>
        <w:t>Anexo</w:t>
      </w:r>
    </w:p>
    <w:p w:rsidR="00D70EA7" w:rsidRDefault="00D70EA7" w:rsidP="00D70EA7">
      <w:pPr>
        <w:pStyle w:val="Textodeglobo"/>
        <w:jc w:val="both"/>
        <w:rPr>
          <w:rFonts w:ascii="Times New Roman" w:hAnsi="Times New Roman" w:cs="Times New Roman"/>
          <w:sz w:val="22"/>
          <w:szCs w:val="22"/>
        </w:rPr>
        <w:sectPr w:rsidR="00D70EA7" w:rsidSect="00E20BB6">
          <w:headerReference w:type="default" r:id="rId37"/>
          <w:footerReference w:type="default" r:id="rId38"/>
          <w:type w:val="continuous"/>
          <w:pgSz w:w="12240" w:h="15840" w:code="1"/>
          <w:pgMar w:top="1418" w:right="1418" w:bottom="1418" w:left="1418" w:header="709" w:footer="709" w:gutter="0"/>
          <w:cols w:space="708"/>
          <w:docGrid w:linePitch="360"/>
        </w:sectPr>
      </w:pPr>
    </w:p>
    <w:p w:rsidR="00D70EA7" w:rsidRDefault="00D70EA7" w:rsidP="00D70EA7">
      <w:pPr>
        <w:pStyle w:val="Textodeglobo"/>
        <w:jc w:val="both"/>
        <w:rPr>
          <w:rFonts w:ascii="Times New Roman" w:hAnsi="Times New Roman" w:cs="Times New Roman"/>
          <w:sz w:val="22"/>
          <w:szCs w:val="22"/>
        </w:rPr>
        <w:sectPr w:rsidR="00D70EA7" w:rsidSect="00E20BB6">
          <w:headerReference w:type="default" r:id="rId39"/>
          <w:footerReference w:type="default" r:id="rId40"/>
          <w:type w:val="continuous"/>
          <w:pgSz w:w="12240" w:h="15840" w:code="1"/>
          <w:pgMar w:top="1418" w:right="1418" w:bottom="1418" w:left="1418" w:header="709" w:footer="709" w:gutter="0"/>
          <w:cols w:space="708"/>
          <w:docGrid w:linePitch="360"/>
        </w:sectPr>
      </w:pPr>
    </w:p>
    <w:p w:rsidR="00E20BB6" w:rsidRPr="00D70EA7" w:rsidRDefault="00D70EA7" w:rsidP="00D70EA7">
      <w:pPr>
        <w:rPr>
          <w:rFonts w:ascii="Times New Roman" w:hAnsi="Times New Roman" w:cs="Times New Roman"/>
        </w:rPr>
      </w:pPr>
      <w:r w:rsidRPr="00D70EA7">
        <w:rPr>
          <w:noProof/>
          <w:lang w:eastAsia="es-GT"/>
        </w:rPr>
        <w:lastRenderedPageBreak/>
        <w:drawing>
          <wp:inline distT="0" distB="0" distL="0" distR="0">
            <wp:extent cx="5971540" cy="4774291"/>
            <wp:effectExtent l="0" t="0" r="0" b="762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71540" cy="4774291"/>
                    </a:xfrm>
                    <a:prstGeom prst="rect">
                      <a:avLst/>
                    </a:prstGeom>
                    <a:noFill/>
                    <a:ln>
                      <a:noFill/>
                    </a:ln>
                  </pic:spPr>
                </pic:pic>
              </a:graphicData>
            </a:graphic>
          </wp:inline>
        </w:drawing>
      </w:r>
    </w:p>
    <w:sectPr w:rsidR="00E20BB6" w:rsidRPr="00D70EA7" w:rsidSect="00E20BB6">
      <w:type w:val="continuous"/>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E5D" w:rsidRDefault="00704E5D" w:rsidP="007D4651">
      <w:pPr>
        <w:spacing w:after="0" w:line="240" w:lineRule="auto"/>
      </w:pPr>
      <w:r>
        <w:separator/>
      </w:r>
    </w:p>
  </w:endnote>
  <w:endnote w:type="continuationSeparator" w:id="0">
    <w:p w:rsidR="00704E5D" w:rsidRDefault="00704E5D" w:rsidP="007D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904184502"/>
      <w:docPartObj>
        <w:docPartGallery w:val="Page Numbers (Bottom of Page)"/>
        <w:docPartUnique/>
      </w:docPartObj>
    </w:sdtPr>
    <w:sdtEndPr/>
    <w:sdtContent>
      <w:p w:rsidR="00107D10" w:rsidRDefault="00107D10">
        <w:pPr>
          <w:pStyle w:val="Piedepgina"/>
          <w:jc w:val="right"/>
          <w:rPr>
            <w:lang w:val="es-ES"/>
          </w:rPr>
        </w:pPr>
      </w:p>
      <w:p w:rsidR="00107D10" w:rsidRDefault="00107D10"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829248" behindDoc="0" locked="0" layoutInCell="1" allowOverlap="1" wp14:anchorId="3AEE33C8" wp14:editId="5F45409E">
                  <wp:simplePos x="0" y="0"/>
                  <wp:positionH relativeFrom="column">
                    <wp:posOffset>1755792</wp:posOffset>
                  </wp:positionH>
                  <wp:positionV relativeFrom="paragraph">
                    <wp:posOffset>70485</wp:posOffset>
                  </wp:positionV>
                  <wp:extent cx="5155565" cy="45719"/>
                  <wp:effectExtent l="38100" t="38100" r="64135" b="88265"/>
                  <wp:wrapNone/>
                  <wp:docPr id="251" name="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23B671A" id="3 Rectángulo" o:spid="_x0000_s1026" style="position:absolute;margin-left:138.25pt;margin-top:5.55pt;width:405.95pt;height:3.6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107D10" w:rsidRDefault="00107D10">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B858DA" w:rsidRPr="00B858DA">
          <w:rPr>
            <w:rFonts w:ascii="Times New Roman" w:hAnsi="Times New Roman" w:cs="Times New Roman"/>
            <w:b/>
            <w:noProof/>
            <w:color w:val="1F497D" w:themeColor="text2"/>
            <w:lang w:val="es-ES"/>
          </w:rPr>
          <w:t>1</w:t>
        </w:r>
        <w:r w:rsidRPr="007D4651">
          <w:rPr>
            <w:rFonts w:ascii="Times New Roman" w:hAnsi="Times New Roman" w:cs="Times New Roman"/>
            <w:b/>
            <w:color w:val="1F497D" w:themeColor="text2"/>
          </w:rPr>
          <w:fldChar w:fldCharType="end"/>
        </w:r>
        <w:r>
          <w:rPr>
            <w:lang w:val="es-ES"/>
          </w:rPr>
          <w:t xml:space="preserve"> </w:t>
        </w:r>
      </w:p>
    </w:sdtContent>
  </w:sdt>
  <w:p w:rsidR="00107D10" w:rsidRDefault="00107D10" w:rsidP="007D4651">
    <w:pPr>
      <w:pStyle w:val="Piedepgina"/>
      <w:tabs>
        <w:tab w:val="clear" w:pos="4419"/>
        <w:tab w:val="clear" w:pos="8838"/>
        <w:tab w:val="left" w:pos="5777"/>
      </w:tabs>
    </w:pPr>
  </w:p>
  <w:p w:rsidR="00107D10" w:rsidRDefault="00107D10"/>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879516950"/>
      <w:docPartObj>
        <w:docPartGallery w:val="Page Numbers (Bottom of Page)"/>
        <w:docPartUnique/>
      </w:docPartObj>
    </w:sdtPr>
    <w:sdtEndPr/>
    <w:sdtContent>
      <w:p w:rsidR="00D70EA7" w:rsidRDefault="00D70EA7">
        <w:pPr>
          <w:pStyle w:val="Piedepgina"/>
          <w:jc w:val="right"/>
          <w:rPr>
            <w:lang w:val="es-ES"/>
          </w:rPr>
        </w:pPr>
      </w:p>
      <w:p w:rsidR="00D70EA7" w:rsidRDefault="00D70EA7"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846656" behindDoc="0" locked="0" layoutInCell="1" allowOverlap="1" wp14:anchorId="6BB96863" wp14:editId="42E6848B">
                  <wp:simplePos x="0" y="0"/>
                  <wp:positionH relativeFrom="column">
                    <wp:posOffset>1759602</wp:posOffset>
                  </wp:positionH>
                  <wp:positionV relativeFrom="paragraph">
                    <wp:posOffset>70485</wp:posOffset>
                  </wp:positionV>
                  <wp:extent cx="5155565" cy="45719"/>
                  <wp:effectExtent l="38100" t="38100" r="64135" b="88265"/>
                  <wp:wrapNone/>
                  <wp:docPr id="267"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BA8E850" id="26 Rectángulo" o:spid="_x0000_s1026" style="position:absolute;margin-left:138.55pt;margin-top:5.55pt;width:405.95pt;height:3.6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D70EA7" w:rsidRDefault="00D70EA7">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Pr="00D70EA7">
          <w:rPr>
            <w:rFonts w:ascii="Times New Roman" w:hAnsi="Times New Roman" w:cs="Times New Roman"/>
            <w:b/>
            <w:noProof/>
            <w:color w:val="1F497D" w:themeColor="text2"/>
            <w:lang w:val="es-ES"/>
          </w:rPr>
          <w:t>12</w:t>
        </w:r>
        <w:r w:rsidRPr="007D4651">
          <w:rPr>
            <w:rFonts w:ascii="Times New Roman" w:hAnsi="Times New Roman" w:cs="Times New Roman"/>
            <w:b/>
            <w:color w:val="1F497D" w:themeColor="text2"/>
          </w:rPr>
          <w:fldChar w:fldCharType="end"/>
        </w:r>
        <w:r>
          <w:rPr>
            <w:lang w:val="es-ES"/>
          </w:rPr>
          <w:t xml:space="preserve"> </w:t>
        </w:r>
      </w:p>
    </w:sdtContent>
  </w:sdt>
  <w:p w:rsidR="00D70EA7" w:rsidRDefault="00D70EA7" w:rsidP="007D4651">
    <w:pPr>
      <w:pStyle w:val="Piedepgina"/>
      <w:tabs>
        <w:tab w:val="clear" w:pos="4419"/>
        <w:tab w:val="clear" w:pos="8838"/>
        <w:tab w:val="left" w:pos="5777"/>
      </w:tabs>
    </w:pPr>
  </w:p>
  <w:p w:rsidR="00D70EA7" w:rsidRDefault="00D70EA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606041391"/>
      <w:docPartObj>
        <w:docPartGallery w:val="Page Numbers (Bottom of Page)"/>
        <w:docPartUnique/>
      </w:docPartObj>
    </w:sdtPr>
    <w:sdtEndPr/>
    <w:sdtContent>
      <w:p w:rsidR="00251969" w:rsidRDefault="00251969">
        <w:pPr>
          <w:pStyle w:val="Piedepgina"/>
          <w:jc w:val="right"/>
          <w:rPr>
            <w:lang w:val="es-ES"/>
          </w:rPr>
        </w:pPr>
      </w:p>
      <w:p w:rsidR="00251969" w:rsidRDefault="00251969"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3360" behindDoc="0" locked="0" layoutInCell="1" allowOverlap="1" wp14:anchorId="1B42B889" wp14:editId="69AE1292">
                  <wp:simplePos x="0" y="0"/>
                  <wp:positionH relativeFrom="column">
                    <wp:posOffset>1755792</wp:posOffset>
                  </wp:positionH>
                  <wp:positionV relativeFrom="paragraph">
                    <wp:posOffset>70485</wp:posOffset>
                  </wp:positionV>
                  <wp:extent cx="5155565" cy="45719"/>
                  <wp:effectExtent l="38100" t="38100" r="64135" b="88265"/>
                  <wp:wrapNone/>
                  <wp:docPr id="3" name="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D48AE77" id="3 Rectángulo" o:spid="_x0000_s1026" style="position:absolute;margin-left:138.25pt;margin-top:5.55pt;width:405.95pt;height: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tYPAMAAKU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251969" w:rsidRDefault="00251969">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5A0F62" w:rsidRPr="005A0F62">
          <w:rPr>
            <w:rFonts w:ascii="Times New Roman" w:hAnsi="Times New Roman" w:cs="Times New Roman"/>
            <w:b/>
            <w:noProof/>
            <w:color w:val="1F497D" w:themeColor="text2"/>
            <w:lang w:val="es-ES"/>
          </w:rPr>
          <w:t>2</w:t>
        </w:r>
        <w:r w:rsidRPr="007D4651">
          <w:rPr>
            <w:rFonts w:ascii="Times New Roman" w:hAnsi="Times New Roman" w:cs="Times New Roman"/>
            <w:b/>
            <w:color w:val="1F497D" w:themeColor="text2"/>
          </w:rPr>
          <w:fldChar w:fldCharType="end"/>
        </w:r>
        <w:r>
          <w:rPr>
            <w:lang w:val="es-ES"/>
          </w:rPr>
          <w:t xml:space="preserve"> </w:t>
        </w:r>
      </w:p>
    </w:sdtContent>
  </w:sdt>
  <w:p w:rsidR="00251969" w:rsidRDefault="00251969" w:rsidP="007D4651">
    <w:pPr>
      <w:pStyle w:val="Piedepgina"/>
      <w:tabs>
        <w:tab w:val="clear" w:pos="4419"/>
        <w:tab w:val="clear" w:pos="8838"/>
        <w:tab w:val="left" w:pos="5777"/>
      </w:tabs>
    </w:pPr>
  </w:p>
  <w:p w:rsidR="00251969" w:rsidRDefault="0025196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85034144"/>
      <w:docPartObj>
        <w:docPartGallery w:val="Page Numbers (Bottom of Page)"/>
        <w:docPartUnique/>
      </w:docPartObj>
    </w:sdtPr>
    <w:sdtEndPr/>
    <w:sdtContent>
      <w:p w:rsidR="00251969" w:rsidRDefault="00251969">
        <w:pPr>
          <w:pStyle w:val="Piedepgina"/>
          <w:jc w:val="right"/>
          <w:rPr>
            <w:lang w:val="es-ES"/>
          </w:rPr>
        </w:pPr>
      </w:p>
      <w:p w:rsidR="00251969" w:rsidRDefault="00251969"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7456" behindDoc="0" locked="0" layoutInCell="1" allowOverlap="1" wp14:anchorId="11DFB02D" wp14:editId="4D765802">
                  <wp:simplePos x="0" y="0"/>
                  <wp:positionH relativeFrom="column">
                    <wp:posOffset>1776669</wp:posOffset>
                  </wp:positionH>
                  <wp:positionV relativeFrom="paragraph">
                    <wp:posOffset>70516</wp:posOffset>
                  </wp:positionV>
                  <wp:extent cx="5155565" cy="45719"/>
                  <wp:effectExtent l="38100" t="38100" r="64135" b="88265"/>
                  <wp:wrapNone/>
                  <wp:docPr id="8" name="8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41D3D7C" id="8 Rectángulo" o:spid="_x0000_s1026" style="position:absolute;margin-left:139.9pt;margin-top:5.55pt;width:405.95pt;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251969" w:rsidRDefault="00251969">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B858DA" w:rsidRPr="00B858DA">
          <w:rPr>
            <w:rFonts w:ascii="Times New Roman" w:hAnsi="Times New Roman" w:cs="Times New Roman"/>
            <w:b/>
            <w:noProof/>
            <w:color w:val="1F497D" w:themeColor="text2"/>
            <w:lang w:val="es-ES"/>
          </w:rPr>
          <w:t>4</w:t>
        </w:r>
        <w:r w:rsidRPr="007D4651">
          <w:rPr>
            <w:rFonts w:ascii="Times New Roman" w:hAnsi="Times New Roman" w:cs="Times New Roman"/>
            <w:b/>
            <w:color w:val="1F497D" w:themeColor="text2"/>
          </w:rPr>
          <w:fldChar w:fldCharType="end"/>
        </w:r>
        <w:r>
          <w:rPr>
            <w:lang w:val="es-ES"/>
          </w:rPr>
          <w:t xml:space="preserve"> </w:t>
        </w:r>
      </w:p>
    </w:sdtContent>
  </w:sdt>
  <w:p w:rsidR="00251969" w:rsidRDefault="00251969" w:rsidP="007D4651">
    <w:pPr>
      <w:pStyle w:val="Piedepgina"/>
      <w:tabs>
        <w:tab w:val="clear" w:pos="4419"/>
        <w:tab w:val="clear" w:pos="8838"/>
        <w:tab w:val="left" w:pos="5777"/>
      </w:tabs>
    </w:pPr>
  </w:p>
  <w:p w:rsidR="00251969" w:rsidRDefault="0025196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400554852"/>
      <w:docPartObj>
        <w:docPartGallery w:val="Page Numbers (Bottom of Page)"/>
        <w:docPartUnique/>
      </w:docPartObj>
    </w:sdtPr>
    <w:sdtEndPr/>
    <w:sdtContent>
      <w:p w:rsidR="00107D10" w:rsidRDefault="00107D10">
        <w:pPr>
          <w:pStyle w:val="Piedepgina"/>
          <w:jc w:val="right"/>
          <w:rPr>
            <w:lang w:val="es-ES"/>
          </w:rPr>
        </w:pPr>
      </w:p>
      <w:p w:rsidR="00107D10" w:rsidRDefault="00107D10"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833344" behindDoc="0" locked="0" layoutInCell="1" allowOverlap="1" wp14:anchorId="0850D3CB" wp14:editId="1FD9BA9C">
                  <wp:simplePos x="0" y="0"/>
                  <wp:positionH relativeFrom="column">
                    <wp:posOffset>1776669</wp:posOffset>
                  </wp:positionH>
                  <wp:positionV relativeFrom="paragraph">
                    <wp:posOffset>70516</wp:posOffset>
                  </wp:positionV>
                  <wp:extent cx="5155565" cy="45719"/>
                  <wp:effectExtent l="38100" t="38100" r="64135" b="88265"/>
                  <wp:wrapNone/>
                  <wp:docPr id="32" name="1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0B35C07" id="16 Rectángulo" o:spid="_x0000_s1026" style="position:absolute;margin-left:139.9pt;margin-top:5.55pt;width:405.95pt;height:3.6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qai0qD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107D10" w:rsidRDefault="00107D10">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Pr="00394AEF">
          <w:rPr>
            <w:rFonts w:ascii="Times New Roman" w:hAnsi="Times New Roman" w:cs="Times New Roman"/>
            <w:b/>
            <w:noProof/>
            <w:color w:val="1F497D" w:themeColor="text2"/>
            <w:lang w:val="es-ES"/>
          </w:rPr>
          <w:t>2</w:t>
        </w:r>
        <w:r w:rsidRPr="007D4651">
          <w:rPr>
            <w:rFonts w:ascii="Times New Roman" w:hAnsi="Times New Roman" w:cs="Times New Roman"/>
            <w:b/>
            <w:color w:val="1F497D" w:themeColor="text2"/>
          </w:rPr>
          <w:fldChar w:fldCharType="end"/>
        </w:r>
        <w:r>
          <w:rPr>
            <w:lang w:val="es-ES"/>
          </w:rPr>
          <w:t xml:space="preserve"> </w:t>
        </w:r>
      </w:p>
    </w:sdtContent>
  </w:sdt>
  <w:p w:rsidR="00107D10" w:rsidRDefault="00107D10" w:rsidP="007D4651">
    <w:pPr>
      <w:pStyle w:val="Piedepgina"/>
      <w:tabs>
        <w:tab w:val="clear" w:pos="4419"/>
        <w:tab w:val="clear" w:pos="8838"/>
        <w:tab w:val="left" w:pos="5777"/>
      </w:tabs>
    </w:pPr>
  </w:p>
  <w:p w:rsidR="00107D10" w:rsidRDefault="00107D1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057080796"/>
      <w:docPartObj>
        <w:docPartGallery w:val="Page Numbers (Bottom of Page)"/>
        <w:docPartUnique/>
      </w:docPartObj>
    </w:sdtPr>
    <w:sdtEndPr/>
    <w:sdtContent>
      <w:p w:rsidR="00251969" w:rsidRDefault="00251969">
        <w:pPr>
          <w:pStyle w:val="Piedepgina"/>
          <w:jc w:val="right"/>
          <w:rPr>
            <w:lang w:val="es-ES"/>
          </w:rPr>
        </w:pPr>
      </w:p>
      <w:p w:rsidR="00251969" w:rsidRDefault="00251969"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1552" behindDoc="0" locked="0" layoutInCell="1" allowOverlap="1" wp14:anchorId="033FE29E" wp14:editId="44E56A51">
                  <wp:simplePos x="0" y="0"/>
                  <wp:positionH relativeFrom="column">
                    <wp:posOffset>1776669</wp:posOffset>
                  </wp:positionH>
                  <wp:positionV relativeFrom="paragraph">
                    <wp:posOffset>70516</wp:posOffset>
                  </wp:positionV>
                  <wp:extent cx="5155565" cy="45719"/>
                  <wp:effectExtent l="38100" t="38100" r="64135" b="88265"/>
                  <wp:wrapNone/>
                  <wp:docPr id="16" name="1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55413E9" id="16 Rectángulo" o:spid="_x0000_s1026" style="position:absolute;margin-left:139.9pt;margin-top:5.55pt;width:405.95pt;height: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&#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DkCE3GPQMAAKc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251969" w:rsidRDefault="00251969">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Pr="004552E3">
          <w:rPr>
            <w:rFonts w:ascii="Times New Roman" w:hAnsi="Times New Roman" w:cs="Times New Roman"/>
            <w:b/>
            <w:noProof/>
            <w:color w:val="1F497D" w:themeColor="text2"/>
            <w:lang w:val="es-ES"/>
          </w:rPr>
          <w:t>3</w:t>
        </w:r>
        <w:r w:rsidRPr="007D4651">
          <w:rPr>
            <w:rFonts w:ascii="Times New Roman" w:hAnsi="Times New Roman" w:cs="Times New Roman"/>
            <w:b/>
            <w:color w:val="1F497D" w:themeColor="text2"/>
          </w:rPr>
          <w:fldChar w:fldCharType="end"/>
        </w:r>
        <w:r>
          <w:rPr>
            <w:lang w:val="es-ES"/>
          </w:rPr>
          <w:t xml:space="preserve"> </w:t>
        </w:r>
      </w:p>
    </w:sdtContent>
  </w:sdt>
  <w:p w:rsidR="00251969" w:rsidRDefault="00251969" w:rsidP="007D4651">
    <w:pPr>
      <w:pStyle w:val="Piedepgina"/>
      <w:tabs>
        <w:tab w:val="clear" w:pos="4419"/>
        <w:tab w:val="clear" w:pos="8838"/>
        <w:tab w:val="left" w:pos="5777"/>
      </w:tabs>
    </w:pPr>
  </w:p>
  <w:p w:rsidR="00251969" w:rsidRDefault="0025196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906532020"/>
      <w:docPartObj>
        <w:docPartGallery w:val="Page Numbers (Bottom of Page)"/>
        <w:docPartUnique/>
      </w:docPartObj>
    </w:sdtPr>
    <w:sdtEndPr/>
    <w:sdtContent>
      <w:p w:rsidR="00251969" w:rsidRDefault="00251969">
        <w:pPr>
          <w:pStyle w:val="Piedepgina"/>
          <w:jc w:val="right"/>
          <w:rPr>
            <w:lang w:val="es-ES"/>
          </w:rPr>
        </w:pPr>
      </w:p>
      <w:p w:rsidR="00251969" w:rsidRDefault="00251969"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28896" behindDoc="0" locked="0" layoutInCell="1" allowOverlap="1" wp14:anchorId="0487A24F" wp14:editId="626A6C44">
                  <wp:simplePos x="0" y="0"/>
                  <wp:positionH relativeFrom="column">
                    <wp:posOffset>1751347</wp:posOffset>
                  </wp:positionH>
                  <wp:positionV relativeFrom="paragraph">
                    <wp:posOffset>72390</wp:posOffset>
                  </wp:positionV>
                  <wp:extent cx="5155565" cy="45719"/>
                  <wp:effectExtent l="38100" t="38100" r="64135" b="88265"/>
                  <wp:wrapNone/>
                  <wp:docPr id="55"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9F92A91" id="23 Rectángulo" o:spid="_x0000_s1026" style="position:absolute;margin-left:137.9pt;margin-top:5.7pt;width:405.95pt;height:3.6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251969" w:rsidRDefault="00251969">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B858DA" w:rsidRPr="00B858DA">
          <w:rPr>
            <w:rFonts w:ascii="Times New Roman" w:hAnsi="Times New Roman" w:cs="Times New Roman"/>
            <w:b/>
            <w:noProof/>
            <w:color w:val="1F497D" w:themeColor="text2"/>
            <w:lang w:val="es-ES"/>
          </w:rPr>
          <w:t>6</w:t>
        </w:r>
        <w:r w:rsidRPr="007D4651">
          <w:rPr>
            <w:rFonts w:ascii="Times New Roman" w:hAnsi="Times New Roman" w:cs="Times New Roman"/>
            <w:b/>
            <w:color w:val="1F497D" w:themeColor="text2"/>
          </w:rPr>
          <w:fldChar w:fldCharType="end"/>
        </w:r>
        <w:r>
          <w:rPr>
            <w:lang w:val="es-ES"/>
          </w:rPr>
          <w:t xml:space="preserve"> </w:t>
        </w:r>
      </w:p>
    </w:sdtContent>
  </w:sdt>
  <w:p w:rsidR="00251969" w:rsidRDefault="00251969" w:rsidP="007D4651">
    <w:pPr>
      <w:pStyle w:val="Piedepgina"/>
      <w:tabs>
        <w:tab w:val="clear" w:pos="4419"/>
        <w:tab w:val="clear" w:pos="8838"/>
        <w:tab w:val="left" w:pos="5777"/>
      </w:tabs>
    </w:pPr>
  </w:p>
  <w:p w:rsidR="00251969" w:rsidRDefault="0025196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198588034"/>
      <w:docPartObj>
        <w:docPartGallery w:val="Page Numbers (Bottom of Page)"/>
        <w:docPartUnique/>
      </w:docPartObj>
    </w:sdtPr>
    <w:sdtEndPr/>
    <w:sdtContent>
      <w:p w:rsidR="00251969" w:rsidRDefault="00251969">
        <w:pPr>
          <w:pStyle w:val="Piedepgina"/>
          <w:jc w:val="right"/>
          <w:rPr>
            <w:lang w:val="es-ES"/>
          </w:rPr>
        </w:pPr>
      </w:p>
      <w:p w:rsidR="00251969" w:rsidRDefault="00251969"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5648" behindDoc="0" locked="0" layoutInCell="1" allowOverlap="1" wp14:anchorId="2A25F8A3" wp14:editId="0DC05132">
                  <wp:simplePos x="0" y="0"/>
                  <wp:positionH relativeFrom="column">
                    <wp:posOffset>1751347</wp:posOffset>
                  </wp:positionH>
                  <wp:positionV relativeFrom="paragraph">
                    <wp:posOffset>72390</wp:posOffset>
                  </wp:positionV>
                  <wp:extent cx="5155565" cy="45719"/>
                  <wp:effectExtent l="38100" t="38100" r="64135" b="88265"/>
                  <wp:wrapNone/>
                  <wp:docPr id="23"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D22DF1A" id="23 Rectángulo" o:spid="_x0000_s1026" style="position:absolute;margin-left:137.9pt;margin-top:5.7pt;width:405.95pt;height: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Ke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cTrBSJAWcpRO0A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251969" w:rsidRDefault="00251969">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B858DA" w:rsidRPr="00B858DA">
          <w:rPr>
            <w:rFonts w:ascii="Times New Roman" w:hAnsi="Times New Roman" w:cs="Times New Roman"/>
            <w:b/>
            <w:noProof/>
            <w:color w:val="1F497D" w:themeColor="text2"/>
            <w:lang w:val="es-ES"/>
          </w:rPr>
          <w:t>11</w:t>
        </w:r>
        <w:r w:rsidRPr="007D4651">
          <w:rPr>
            <w:rFonts w:ascii="Times New Roman" w:hAnsi="Times New Roman" w:cs="Times New Roman"/>
            <w:b/>
            <w:color w:val="1F497D" w:themeColor="text2"/>
          </w:rPr>
          <w:fldChar w:fldCharType="end"/>
        </w:r>
        <w:r>
          <w:rPr>
            <w:lang w:val="es-ES"/>
          </w:rPr>
          <w:t xml:space="preserve"> </w:t>
        </w:r>
      </w:p>
    </w:sdtContent>
  </w:sdt>
  <w:p w:rsidR="00251969" w:rsidRDefault="00251969" w:rsidP="007D4651">
    <w:pPr>
      <w:pStyle w:val="Piedepgina"/>
      <w:tabs>
        <w:tab w:val="clear" w:pos="4419"/>
        <w:tab w:val="clear" w:pos="8838"/>
        <w:tab w:val="left" w:pos="5777"/>
      </w:tabs>
    </w:pPr>
  </w:p>
  <w:p w:rsidR="00251969" w:rsidRDefault="0025196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831754774"/>
      <w:docPartObj>
        <w:docPartGallery w:val="Page Numbers (Bottom of Page)"/>
        <w:docPartUnique/>
      </w:docPartObj>
    </w:sdtPr>
    <w:sdtEndPr/>
    <w:sdtContent>
      <w:p w:rsidR="00E20BB6" w:rsidRDefault="00E20BB6">
        <w:pPr>
          <w:pStyle w:val="Piedepgina"/>
          <w:jc w:val="right"/>
          <w:rPr>
            <w:lang w:val="es-ES"/>
          </w:rPr>
        </w:pPr>
      </w:p>
      <w:p w:rsidR="00E20BB6" w:rsidRDefault="00E20BB6"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838464" behindDoc="0" locked="0" layoutInCell="1" allowOverlap="1" wp14:anchorId="7CB7ED35" wp14:editId="37140AAF">
                  <wp:simplePos x="0" y="0"/>
                  <wp:positionH relativeFrom="column">
                    <wp:posOffset>1759602</wp:posOffset>
                  </wp:positionH>
                  <wp:positionV relativeFrom="paragraph">
                    <wp:posOffset>70485</wp:posOffset>
                  </wp:positionV>
                  <wp:extent cx="5155565" cy="45719"/>
                  <wp:effectExtent l="38100" t="38100" r="64135" b="88265"/>
                  <wp:wrapNone/>
                  <wp:docPr id="259"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7CD5202" id="26 Rectángulo" o:spid="_x0000_s1026" style="position:absolute;margin-left:138.55pt;margin-top:5.55pt;width:405.95pt;height:3.6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20BB6" w:rsidRDefault="00E20BB6">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B858DA" w:rsidRPr="00B858DA">
          <w:rPr>
            <w:rFonts w:ascii="Times New Roman" w:hAnsi="Times New Roman" w:cs="Times New Roman"/>
            <w:b/>
            <w:noProof/>
            <w:color w:val="1F497D" w:themeColor="text2"/>
            <w:lang w:val="es-ES"/>
          </w:rPr>
          <w:t>12</w:t>
        </w:r>
        <w:r w:rsidRPr="007D4651">
          <w:rPr>
            <w:rFonts w:ascii="Times New Roman" w:hAnsi="Times New Roman" w:cs="Times New Roman"/>
            <w:b/>
            <w:color w:val="1F497D" w:themeColor="text2"/>
          </w:rPr>
          <w:fldChar w:fldCharType="end"/>
        </w:r>
        <w:r>
          <w:rPr>
            <w:lang w:val="es-ES"/>
          </w:rPr>
          <w:t xml:space="preserve"> </w:t>
        </w:r>
      </w:p>
    </w:sdtContent>
  </w:sdt>
  <w:p w:rsidR="00E20BB6" w:rsidRDefault="00E20BB6" w:rsidP="007D4651">
    <w:pPr>
      <w:pStyle w:val="Piedepgina"/>
      <w:tabs>
        <w:tab w:val="clear" w:pos="4419"/>
        <w:tab w:val="clear" w:pos="8838"/>
        <w:tab w:val="left" w:pos="5777"/>
      </w:tabs>
    </w:pPr>
  </w:p>
  <w:p w:rsidR="00E20BB6" w:rsidRDefault="00E20BB6"/>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089359205"/>
      <w:docPartObj>
        <w:docPartGallery w:val="Page Numbers (Bottom of Page)"/>
        <w:docPartUnique/>
      </w:docPartObj>
    </w:sdtPr>
    <w:sdtEndPr/>
    <w:sdtContent>
      <w:p w:rsidR="00D70EA7" w:rsidRDefault="00D70EA7">
        <w:pPr>
          <w:pStyle w:val="Piedepgina"/>
          <w:jc w:val="right"/>
          <w:rPr>
            <w:lang w:val="es-ES"/>
          </w:rPr>
        </w:pPr>
      </w:p>
      <w:p w:rsidR="00D70EA7" w:rsidRDefault="00D70EA7"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842560" behindDoc="0" locked="0" layoutInCell="1" allowOverlap="1" wp14:anchorId="6BB96863" wp14:editId="42E6848B">
                  <wp:simplePos x="0" y="0"/>
                  <wp:positionH relativeFrom="column">
                    <wp:posOffset>1759602</wp:posOffset>
                  </wp:positionH>
                  <wp:positionV relativeFrom="paragraph">
                    <wp:posOffset>70485</wp:posOffset>
                  </wp:positionV>
                  <wp:extent cx="5155565" cy="45719"/>
                  <wp:effectExtent l="38100" t="38100" r="64135" b="88265"/>
                  <wp:wrapNone/>
                  <wp:docPr id="264"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5F9AD56" id="26 Rectángulo" o:spid="_x0000_s1026" style="position:absolute;margin-left:138.55pt;margin-top:5.55pt;width:405.95pt;height:3.6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D70EA7" w:rsidRDefault="00D70EA7">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B858DA" w:rsidRPr="00B858DA">
          <w:rPr>
            <w:rFonts w:ascii="Times New Roman" w:hAnsi="Times New Roman" w:cs="Times New Roman"/>
            <w:b/>
            <w:noProof/>
            <w:color w:val="1F497D" w:themeColor="text2"/>
            <w:lang w:val="es-ES"/>
          </w:rPr>
          <w:t>13</w:t>
        </w:r>
        <w:r w:rsidRPr="007D4651">
          <w:rPr>
            <w:rFonts w:ascii="Times New Roman" w:hAnsi="Times New Roman" w:cs="Times New Roman"/>
            <w:b/>
            <w:color w:val="1F497D" w:themeColor="text2"/>
          </w:rPr>
          <w:fldChar w:fldCharType="end"/>
        </w:r>
        <w:r>
          <w:rPr>
            <w:lang w:val="es-ES"/>
          </w:rPr>
          <w:t xml:space="preserve"> </w:t>
        </w:r>
      </w:p>
    </w:sdtContent>
  </w:sdt>
  <w:p w:rsidR="00D70EA7" w:rsidRDefault="00D70EA7" w:rsidP="007D4651">
    <w:pPr>
      <w:pStyle w:val="Piedepgina"/>
      <w:tabs>
        <w:tab w:val="clear" w:pos="4419"/>
        <w:tab w:val="clear" w:pos="8838"/>
        <w:tab w:val="left" w:pos="5777"/>
      </w:tabs>
    </w:pPr>
  </w:p>
  <w:p w:rsidR="00D70EA7" w:rsidRDefault="00D70E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E5D" w:rsidRDefault="00704E5D" w:rsidP="007D4651">
      <w:pPr>
        <w:spacing w:after="0" w:line="240" w:lineRule="auto"/>
      </w:pPr>
      <w:r>
        <w:separator/>
      </w:r>
    </w:p>
  </w:footnote>
  <w:footnote w:type="continuationSeparator" w:id="0">
    <w:p w:rsidR="00704E5D" w:rsidRDefault="00704E5D" w:rsidP="007D46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D10" w:rsidRPr="002E105E" w:rsidRDefault="00107D10"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831296" behindDoc="1" locked="1" layoutInCell="1" allowOverlap="1" wp14:anchorId="3F650A35" wp14:editId="2245757D">
          <wp:simplePos x="0" y="0"/>
          <wp:positionH relativeFrom="column">
            <wp:posOffset>-46990</wp:posOffset>
          </wp:positionH>
          <wp:positionV relativeFrom="page">
            <wp:posOffset>217805</wp:posOffset>
          </wp:positionV>
          <wp:extent cx="1282700" cy="1022985"/>
          <wp:effectExtent l="0" t="0" r="0" b="5715"/>
          <wp:wrapNone/>
          <wp:docPr id="2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7D10" w:rsidRPr="002E105E" w:rsidRDefault="00107D10"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Septiembre</w:t>
    </w:r>
    <w:r w:rsidRPr="002E105E">
      <w:rPr>
        <w:rFonts w:ascii="Times New Roman" w:hAnsi="Times New Roman" w:cs="Times New Roman"/>
        <w:color w:val="1F497D" w:themeColor="text2"/>
        <w:sz w:val="20"/>
        <w:lang w:val="es-MX"/>
      </w:rPr>
      <w:t xml:space="preserve"> 2021</w:t>
    </w:r>
  </w:p>
  <w:p w:rsidR="00107D10" w:rsidRDefault="00107D10" w:rsidP="00234F86">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830272" behindDoc="0" locked="0" layoutInCell="1" allowOverlap="1" wp14:anchorId="5DB8F4E8" wp14:editId="1B984079">
              <wp:simplePos x="0" y="0"/>
              <wp:positionH relativeFrom="column">
                <wp:posOffset>1352514</wp:posOffset>
              </wp:positionH>
              <wp:positionV relativeFrom="paragraph">
                <wp:posOffset>12472</wp:posOffset>
              </wp:positionV>
              <wp:extent cx="4744528" cy="45719"/>
              <wp:effectExtent l="38100" t="38100" r="56515" b="88265"/>
              <wp:wrapNone/>
              <wp:docPr id="250"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D9AA63F" id="11 Rectángulo" o:spid="_x0000_s1026" style="position:absolute;margin-left:106.5pt;margin-top:1pt;width:373.6pt;height:3.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107D10" w:rsidRPr="0073581B" w:rsidRDefault="00107D10" w:rsidP="00234F86">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107D10" w:rsidRPr="00E16925" w:rsidRDefault="00107D10" w:rsidP="00E16925">
    <w:pPr>
      <w:pStyle w:val="Encabezado"/>
      <w:rPr>
        <w:rFonts w:ascii="Times New Roman" w:hAnsi="Times New Roman" w:cs="Times New Roman"/>
        <w:lang w:val="es-MX"/>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EA7" w:rsidRPr="002E105E" w:rsidRDefault="00D70EA7"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848704" behindDoc="1" locked="1" layoutInCell="1" allowOverlap="1" wp14:anchorId="5EBE677B" wp14:editId="4994BD90">
          <wp:simplePos x="0" y="0"/>
          <wp:positionH relativeFrom="column">
            <wp:posOffset>-46990</wp:posOffset>
          </wp:positionH>
          <wp:positionV relativeFrom="page">
            <wp:posOffset>217805</wp:posOffset>
          </wp:positionV>
          <wp:extent cx="1282700" cy="1022985"/>
          <wp:effectExtent l="0" t="0" r="0" b="5715"/>
          <wp:wrapNone/>
          <wp:docPr id="2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0EA7" w:rsidRPr="002E105E" w:rsidRDefault="00D70EA7"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Septiembre</w:t>
    </w:r>
    <w:r w:rsidRPr="002E105E">
      <w:rPr>
        <w:rFonts w:ascii="Times New Roman" w:hAnsi="Times New Roman" w:cs="Times New Roman"/>
        <w:color w:val="1F497D" w:themeColor="text2"/>
        <w:sz w:val="20"/>
        <w:lang w:val="es-MX"/>
      </w:rPr>
      <w:t xml:space="preserve"> 2021</w:t>
    </w:r>
  </w:p>
  <w:p w:rsidR="00D70EA7" w:rsidRDefault="00D70EA7" w:rsidP="00234F86">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847680" behindDoc="0" locked="0" layoutInCell="1" allowOverlap="1" wp14:anchorId="6A391C05" wp14:editId="2BF4DC6F">
              <wp:simplePos x="0" y="0"/>
              <wp:positionH relativeFrom="column">
                <wp:posOffset>1352514</wp:posOffset>
              </wp:positionH>
              <wp:positionV relativeFrom="paragraph">
                <wp:posOffset>12472</wp:posOffset>
              </wp:positionV>
              <wp:extent cx="4744528" cy="45719"/>
              <wp:effectExtent l="38100" t="38100" r="56515" b="88265"/>
              <wp:wrapNone/>
              <wp:docPr id="266"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F447011" id="11 Rectángulo" o:spid="_x0000_s1026" style="position:absolute;margin-left:106.5pt;margin-top:1pt;width:373.6pt;height:3.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D70EA7" w:rsidRPr="0073581B" w:rsidRDefault="00D70EA7" w:rsidP="00234F86">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D70EA7" w:rsidRPr="007452E2" w:rsidRDefault="00D70EA7" w:rsidP="00E16925">
    <w:pPr>
      <w:pStyle w:val="Encabezado"/>
      <w:rPr>
        <w:rFonts w:ascii="Times New Roman" w:hAnsi="Times New Roman" w:cs="Times New Roman"/>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969" w:rsidRPr="002E105E" w:rsidRDefault="00251969"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805696" behindDoc="1" locked="1" layoutInCell="1" allowOverlap="1" wp14:anchorId="7ECCD9BE" wp14:editId="13CA40E4">
          <wp:simplePos x="0" y="0"/>
          <wp:positionH relativeFrom="column">
            <wp:posOffset>-46990</wp:posOffset>
          </wp:positionH>
          <wp:positionV relativeFrom="page">
            <wp:posOffset>217805</wp:posOffset>
          </wp:positionV>
          <wp:extent cx="1282700" cy="1022985"/>
          <wp:effectExtent l="0" t="0" r="0" b="5715"/>
          <wp:wrapNone/>
          <wp:docPr id="2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1969" w:rsidRPr="002E105E" w:rsidRDefault="00251969"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Septiembre</w:t>
    </w:r>
    <w:r w:rsidRPr="002E105E">
      <w:rPr>
        <w:rFonts w:ascii="Times New Roman" w:hAnsi="Times New Roman" w:cs="Times New Roman"/>
        <w:color w:val="1F497D" w:themeColor="text2"/>
        <w:sz w:val="20"/>
        <w:lang w:val="es-MX"/>
      </w:rPr>
      <w:t xml:space="preserve"> 2021</w:t>
    </w:r>
  </w:p>
  <w:p w:rsidR="00251969" w:rsidRDefault="00251969" w:rsidP="00234F86">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804672" behindDoc="0" locked="0" layoutInCell="1" allowOverlap="1" wp14:anchorId="51282FD6" wp14:editId="0DC009C0">
              <wp:simplePos x="0" y="0"/>
              <wp:positionH relativeFrom="column">
                <wp:posOffset>1352514</wp:posOffset>
              </wp:positionH>
              <wp:positionV relativeFrom="paragraph">
                <wp:posOffset>12472</wp:posOffset>
              </wp:positionV>
              <wp:extent cx="4744528" cy="45719"/>
              <wp:effectExtent l="38100" t="38100" r="56515" b="88265"/>
              <wp:wrapNone/>
              <wp:docPr id="18"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2054779" id="11 Rectángulo" o:spid="_x0000_s1026" style="position:absolute;margin-left:106.5pt;margin-top:1pt;width:373.6pt;height:3.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251969" w:rsidRPr="0073581B" w:rsidRDefault="00251969" w:rsidP="00234F86">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251969" w:rsidRPr="00E16925" w:rsidRDefault="00251969" w:rsidP="00E16925">
    <w:pPr>
      <w:pStyle w:val="Encabezado"/>
      <w:rPr>
        <w:rFonts w:ascii="Times New Roman" w:hAnsi="Times New Roman" w:cs="Times New Roman"/>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969" w:rsidRPr="002E105E" w:rsidRDefault="00251969"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773952" behindDoc="1" locked="1" layoutInCell="1" allowOverlap="1" wp14:anchorId="560B4AB9" wp14:editId="0A3E7354">
          <wp:simplePos x="0" y="0"/>
          <wp:positionH relativeFrom="column">
            <wp:posOffset>-46990</wp:posOffset>
          </wp:positionH>
          <wp:positionV relativeFrom="page">
            <wp:posOffset>217805</wp:posOffset>
          </wp:positionV>
          <wp:extent cx="1282700" cy="1022985"/>
          <wp:effectExtent l="0" t="0" r="0" b="5715"/>
          <wp:wrapNone/>
          <wp:docPr id="2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1969" w:rsidRPr="002E105E" w:rsidRDefault="00251969"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Septiembre</w:t>
    </w:r>
    <w:r w:rsidRPr="002E105E">
      <w:rPr>
        <w:rFonts w:ascii="Times New Roman" w:hAnsi="Times New Roman" w:cs="Times New Roman"/>
        <w:color w:val="1F497D" w:themeColor="text2"/>
        <w:sz w:val="20"/>
        <w:lang w:val="es-MX"/>
      </w:rPr>
      <w:t xml:space="preserve"> 2021</w:t>
    </w:r>
  </w:p>
  <w:p w:rsidR="00251969" w:rsidRDefault="00251969" w:rsidP="002E105E">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71904" behindDoc="0" locked="0" layoutInCell="1" allowOverlap="1" wp14:anchorId="18DB0202" wp14:editId="24E8CBD0">
              <wp:simplePos x="0" y="0"/>
              <wp:positionH relativeFrom="column">
                <wp:posOffset>1352514</wp:posOffset>
              </wp:positionH>
              <wp:positionV relativeFrom="paragraph">
                <wp:posOffset>12472</wp:posOffset>
              </wp:positionV>
              <wp:extent cx="4744528" cy="45719"/>
              <wp:effectExtent l="38100" t="38100" r="56515" b="88265"/>
              <wp:wrapNone/>
              <wp:docPr id="17"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257EF83" id="11 Rectángulo" o:spid="_x0000_s1026" style="position:absolute;margin-left:106.5pt;margin-top:1pt;width:373.6pt;height:3.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251969" w:rsidRPr="0073581B" w:rsidRDefault="00251969" w:rsidP="002E105E">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251969" w:rsidRPr="00E16925" w:rsidRDefault="00251969" w:rsidP="00E16925">
    <w:pPr>
      <w:pStyle w:val="Encabezado"/>
      <w:rPr>
        <w:rFonts w:ascii="Times New Roman" w:hAnsi="Times New Roman" w:cs="Times New Roman"/>
        <w:lang w:val="es-MX"/>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D10" w:rsidRPr="002E105E" w:rsidRDefault="00107D10" w:rsidP="002E105E">
    <w:pPr>
      <w:pStyle w:val="Encabezado"/>
      <w:jc w:val="center"/>
      <w:rPr>
        <w:rFonts w:ascii="Times New Roman" w:hAnsi="Times New Roman" w:cs="Times New Roman"/>
        <w:b/>
        <w:color w:val="1F497D" w:themeColor="text2"/>
        <w:lang w:val="es-MX"/>
      </w:rPr>
    </w:pPr>
    <w:r w:rsidRPr="002E105E">
      <w:rPr>
        <w:noProof/>
        <w:sz w:val="20"/>
        <w:lang w:eastAsia="es-GT"/>
      </w:rPr>
      <w:drawing>
        <wp:anchor distT="0" distB="0" distL="114300" distR="114300" simplePos="0" relativeHeight="251835392" behindDoc="0" locked="0" layoutInCell="1" allowOverlap="1" wp14:anchorId="501B1E44" wp14:editId="3B64F2DE">
          <wp:simplePos x="0" y="0"/>
          <wp:positionH relativeFrom="column">
            <wp:posOffset>-548640</wp:posOffset>
          </wp:positionH>
          <wp:positionV relativeFrom="paragraph">
            <wp:posOffset>-8587</wp:posOffset>
          </wp:positionV>
          <wp:extent cx="1598212" cy="723976"/>
          <wp:effectExtent l="0" t="0" r="2540" b="0"/>
          <wp:wrapNone/>
          <wp:docPr id="33" name="Imagen 33"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836416" behindDoc="1" locked="1" layoutInCell="1" allowOverlap="1" wp14:anchorId="2AC5F229" wp14:editId="06E7DBA0">
          <wp:simplePos x="0" y="0"/>
          <wp:positionH relativeFrom="column">
            <wp:posOffset>5207000</wp:posOffset>
          </wp:positionH>
          <wp:positionV relativeFrom="page">
            <wp:posOffset>166370</wp:posOffset>
          </wp:positionV>
          <wp:extent cx="1282700" cy="1022985"/>
          <wp:effectExtent l="0" t="0" r="0" b="5715"/>
          <wp:wrapNone/>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7D10" w:rsidRPr="002E105E" w:rsidRDefault="00107D10" w:rsidP="002E105E">
    <w:pPr>
      <w:pStyle w:val="Encabezado"/>
      <w:jc w:val="center"/>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Mayo</w:t>
    </w:r>
    <w:r w:rsidRPr="002E105E">
      <w:rPr>
        <w:rFonts w:ascii="Times New Roman" w:hAnsi="Times New Roman" w:cs="Times New Roman"/>
        <w:color w:val="1F497D" w:themeColor="text2"/>
        <w:sz w:val="20"/>
        <w:lang w:val="es-MX"/>
      </w:rPr>
      <w:t xml:space="preserve"> 2021</w:t>
    </w:r>
  </w:p>
  <w:p w:rsidR="00107D10" w:rsidRDefault="00107D10" w:rsidP="002E105E">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834368" behindDoc="0" locked="0" layoutInCell="1" allowOverlap="1" wp14:anchorId="07E13C9B" wp14:editId="66DEB19D">
              <wp:simplePos x="0" y="0"/>
              <wp:positionH relativeFrom="column">
                <wp:posOffset>1214617</wp:posOffset>
              </wp:positionH>
              <wp:positionV relativeFrom="paragraph">
                <wp:posOffset>14357</wp:posOffset>
              </wp:positionV>
              <wp:extent cx="3991555" cy="45719"/>
              <wp:effectExtent l="38100" t="38100" r="66675" b="88265"/>
              <wp:wrapNone/>
              <wp:docPr id="254" name="11 Rectángulo"/>
              <wp:cNvGraphicFramePr/>
              <a:graphic xmlns:a="http://schemas.openxmlformats.org/drawingml/2006/main">
                <a:graphicData uri="http://schemas.microsoft.com/office/word/2010/wordprocessingShape">
                  <wps:wsp>
                    <wps:cNvSpPr/>
                    <wps:spPr>
                      <a:xfrm>
                        <a:off x="0" y="0"/>
                        <a:ext cx="399155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4B2775B" id="11 Rectángulo" o:spid="_x0000_s1026" style="position:absolute;margin-left:95.65pt;margin-top:1.15pt;width:314.3pt;height:3.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107D10" w:rsidRPr="0073581B" w:rsidRDefault="00107D10" w:rsidP="002E105E">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107D10" w:rsidRPr="00E16925" w:rsidRDefault="00107D10" w:rsidP="00E16925">
    <w:pPr>
      <w:pStyle w:val="Encabezado"/>
      <w:rPr>
        <w:rFonts w:ascii="Times New Roman" w:hAnsi="Times New Roman" w:cs="Times New Roman"/>
        <w:lang w:val="es-MX"/>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969" w:rsidRPr="002E105E" w:rsidRDefault="00251969" w:rsidP="002E105E">
    <w:pPr>
      <w:pStyle w:val="Encabezado"/>
      <w:jc w:val="center"/>
      <w:rPr>
        <w:rFonts w:ascii="Times New Roman" w:hAnsi="Times New Roman" w:cs="Times New Roman"/>
        <w:b/>
        <w:color w:val="1F497D" w:themeColor="text2"/>
        <w:lang w:val="es-MX"/>
      </w:rPr>
    </w:pPr>
    <w:r w:rsidRPr="002E105E">
      <w:rPr>
        <w:noProof/>
        <w:sz w:val="20"/>
        <w:lang w:eastAsia="es-GT"/>
      </w:rPr>
      <w:drawing>
        <wp:anchor distT="0" distB="0" distL="114300" distR="114300" simplePos="0" relativeHeight="251777024" behindDoc="0" locked="0" layoutInCell="1" allowOverlap="1" wp14:anchorId="7ED8BE6C" wp14:editId="5C0E2793">
          <wp:simplePos x="0" y="0"/>
          <wp:positionH relativeFrom="column">
            <wp:posOffset>-548640</wp:posOffset>
          </wp:positionH>
          <wp:positionV relativeFrom="paragraph">
            <wp:posOffset>-8587</wp:posOffset>
          </wp:positionV>
          <wp:extent cx="1598212" cy="723976"/>
          <wp:effectExtent l="0" t="0" r="2540" b="0"/>
          <wp:wrapNone/>
          <wp:docPr id="242" name="Imagen 242"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778048" behindDoc="1" locked="1" layoutInCell="1" allowOverlap="1" wp14:anchorId="26111370" wp14:editId="78236BC7">
          <wp:simplePos x="0" y="0"/>
          <wp:positionH relativeFrom="column">
            <wp:posOffset>5207000</wp:posOffset>
          </wp:positionH>
          <wp:positionV relativeFrom="page">
            <wp:posOffset>166370</wp:posOffset>
          </wp:positionV>
          <wp:extent cx="1282700" cy="1022985"/>
          <wp:effectExtent l="0" t="0" r="0" b="5715"/>
          <wp:wrapNone/>
          <wp:docPr id="2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1969" w:rsidRPr="002E105E" w:rsidRDefault="00251969" w:rsidP="002E105E">
    <w:pPr>
      <w:pStyle w:val="Encabezado"/>
      <w:jc w:val="center"/>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Mayo</w:t>
    </w:r>
    <w:r w:rsidRPr="002E105E">
      <w:rPr>
        <w:rFonts w:ascii="Times New Roman" w:hAnsi="Times New Roman" w:cs="Times New Roman"/>
        <w:color w:val="1F497D" w:themeColor="text2"/>
        <w:sz w:val="20"/>
        <w:lang w:val="es-MX"/>
      </w:rPr>
      <w:t xml:space="preserve"> 2021</w:t>
    </w:r>
  </w:p>
  <w:p w:rsidR="00251969" w:rsidRDefault="00251969" w:rsidP="002E105E">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76000" behindDoc="0" locked="0" layoutInCell="1" allowOverlap="1" wp14:anchorId="01EAA510" wp14:editId="21CAFC5B">
              <wp:simplePos x="0" y="0"/>
              <wp:positionH relativeFrom="column">
                <wp:posOffset>1214617</wp:posOffset>
              </wp:positionH>
              <wp:positionV relativeFrom="paragraph">
                <wp:posOffset>14357</wp:posOffset>
              </wp:positionV>
              <wp:extent cx="3991555" cy="45719"/>
              <wp:effectExtent l="38100" t="38100" r="66675" b="88265"/>
              <wp:wrapNone/>
              <wp:docPr id="236" name="11 Rectángulo"/>
              <wp:cNvGraphicFramePr/>
              <a:graphic xmlns:a="http://schemas.openxmlformats.org/drawingml/2006/main">
                <a:graphicData uri="http://schemas.microsoft.com/office/word/2010/wordprocessingShape">
                  <wps:wsp>
                    <wps:cNvSpPr/>
                    <wps:spPr>
                      <a:xfrm>
                        <a:off x="0" y="0"/>
                        <a:ext cx="399155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F4E741E" id="11 Rectángulo" o:spid="_x0000_s1026" style="position:absolute;margin-left:95.65pt;margin-top:1.15pt;width:314.3pt;height:3.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251969" w:rsidRPr="0073581B" w:rsidRDefault="00251969" w:rsidP="002E105E">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251969" w:rsidRPr="00E16925" w:rsidRDefault="00251969" w:rsidP="00E16925">
    <w:pPr>
      <w:pStyle w:val="Encabezado"/>
      <w:rPr>
        <w:rFonts w:ascii="Times New Roman" w:hAnsi="Times New Roman" w:cs="Times New Roman"/>
        <w:lang w:val="es-MX"/>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969" w:rsidRPr="002E105E" w:rsidRDefault="00251969"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808768" behindDoc="1" locked="1" layoutInCell="1" allowOverlap="1" wp14:anchorId="302C71A2" wp14:editId="341013EB">
          <wp:simplePos x="0" y="0"/>
          <wp:positionH relativeFrom="column">
            <wp:posOffset>-46990</wp:posOffset>
          </wp:positionH>
          <wp:positionV relativeFrom="page">
            <wp:posOffset>217805</wp:posOffset>
          </wp:positionV>
          <wp:extent cx="1282700" cy="1022985"/>
          <wp:effectExtent l="0" t="0" r="0" b="5715"/>
          <wp:wrapNone/>
          <wp:docPr id="2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1969" w:rsidRPr="002E105E" w:rsidRDefault="00251969"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Septiembre</w:t>
    </w:r>
    <w:r w:rsidRPr="002E105E">
      <w:rPr>
        <w:rFonts w:ascii="Times New Roman" w:hAnsi="Times New Roman" w:cs="Times New Roman"/>
        <w:color w:val="1F497D" w:themeColor="text2"/>
        <w:sz w:val="20"/>
        <w:lang w:val="es-MX"/>
      </w:rPr>
      <w:t xml:space="preserve"> 2021</w:t>
    </w:r>
  </w:p>
  <w:p w:rsidR="00251969" w:rsidRDefault="00251969" w:rsidP="00234F86">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807744" behindDoc="0" locked="0" layoutInCell="1" allowOverlap="1" wp14:anchorId="67D8DD75" wp14:editId="05B4CF76">
              <wp:simplePos x="0" y="0"/>
              <wp:positionH relativeFrom="column">
                <wp:posOffset>1352514</wp:posOffset>
              </wp:positionH>
              <wp:positionV relativeFrom="paragraph">
                <wp:posOffset>12472</wp:posOffset>
              </wp:positionV>
              <wp:extent cx="4744528" cy="45719"/>
              <wp:effectExtent l="38100" t="38100" r="56515" b="88265"/>
              <wp:wrapNone/>
              <wp:docPr id="24"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8BE9D67" id="11 Rectángulo" o:spid="_x0000_s1026" style="position:absolute;margin-left:106.5pt;margin-top:1pt;width:373.6pt;height:3.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251969" w:rsidRPr="0073581B" w:rsidRDefault="00251969" w:rsidP="00234F86">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251969" w:rsidRPr="00E16925" w:rsidRDefault="00251969" w:rsidP="00E16925">
    <w:pPr>
      <w:pStyle w:val="Encabezado"/>
      <w:rPr>
        <w:rFonts w:ascii="Times New Roman" w:hAnsi="Times New Roman" w:cs="Times New Roman"/>
        <w:lang w:val="es-MX"/>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969" w:rsidRPr="002E105E" w:rsidRDefault="00251969"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811840" behindDoc="1" locked="1" layoutInCell="1" allowOverlap="1" wp14:anchorId="27C8560E" wp14:editId="4B9A1966">
          <wp:simplePos x="0" y="0"/>
          <wp:positionH relativeFrom="column">
            <wp:posOffset>-46990</wp:posOffset>
          </wp:positionH>
          <wp:positionV relativeFrom="page">
            <wp:posOffset>217805</wp:posOffset>
          </wp:positionV>
          <wp:extent cx="1282700" cy="1022985"/>
          <wp:effectExtent l="0" t="0" r="0" b="5715"/>
          <wp:wrapNone/>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1969" w:rsidRPr="002E105E" w:rsidRDefault="00251969"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Septiembre</w:t>
    </w:r>
    <w:r w:rsidRPr="002E105E">
      <w:rPr>
        <w:rFonts w:ascii="Times New Roman" w:hAnsi="Times New Roman" w:cs="Times New Roman"/>
        <w:color w:val="1F497D" w:themeColor="text2"/>
        <w:sz w:val="20"/>
        <w:lang w:val="es-MX"/>
      </w:rPr>
      <w:t xml:space="preserve"> 2021</w:t>
    </w:r>
  </w:p>
  <w:p w:rsidR="00251969" w:rsidRDefault="00251969" w:rsidP="00234F86">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810816" behindDoc="0" locked="0" layoutInCell="1" allowOverlap="1" wp14:anchorId="71CD2E60" wp14:editId="67790E49">
              <wp:simplePos x="0" y="0"/>
              <wp:positionH relativeFrom="column">
                <wp:posOffset>1352514</wp:posOffset>
              </wp:positionH>
              <wp:positionV relativeFrom="paragraph">
                <wp:posOffset>12472</wp:posOffset>
              </wp:positionV>
              <wp:extent cx="4744528" cy="45719"/>
              <wp:effectExtent l="38100" t="38100" r="56515" b="88265"/>
              <wp:wrapNone/>
              <wp:docPr id="27"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D8A4B6E" id="11 Rectángulo" o:spid="_x0000_s1026" style="position:absolute;margin-left:106.5pt;margin-top:1pt;width:373.6pt;height:3.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251969" w:rsidRPr="0073581B" w:rsidRDefault="00251969" w:rsidP="00234F86">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251969" w:rsidRPr="00E16925" w:rsidRDefault="00251969" w:rsidP="00E16925">
    <w:pPr>
      <w:pStyle w:val="Encabezado"/>
      <w:rPr>
        <w:rFonts w:ascii="Times New Roman" w:hAnsi="Times New Roman" w:cs="Times New Roman"/>
        <w:lang w:val="es-MX"/>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BB6" w:rsidRPr="002E105E" w:rsidRDefault="00E20BB6"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840512" behindDoc="1" locked="1" layoutInCell="1" allowOverlap="1" wp14:anchorId="412101E3" wp14:editId="2A5232D7">
          <wp:simplePos x="0" y="0"/>
          <wp:positionH relativeFrom="column">
            <wp:posOffset>-46990</wp:posOffset>
          </wp:positionH>
          <wp:positionV relativeFrom="page">
            <wp:posOffset>217805</wp:posOffset>
          </wp:positionV>
          <wp:extent cx="1282700" cy="1022985"/>
          <wp:effectExtent l="0" t="0" r="0" b="5715"/>
          <wp:wrapNone/>
          <wp:docPr id="2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0BB6" w:rsidRPr="002E105E" w:rsidRDefault="00E20BB6"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Septiembre</w:t>
    </w:r>
    <w:r w:rsidRPr="002E105E">
      <w:rPr>
        <w:rFonts w:ascii="Times New Roman" w:hAnsi="Times New Roman" w:cs="Times New Roman"/>
        <w:color w:val="1F497D" w:themeColor="text2"/>
        <w:sz w:val="20"/>
        <w:lang w:val="es-MX"/>
      </w:rPr>
      <w:t xml:space="preserve"> 2021</w:t>
    </w:r>
  </w:p>
  <w:p w:rsidR="00E20BB6" w:rsidRDefault="00E20BB6" w:rsidP="00234F86">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839488" behindDoc="0" locked="0" layoutInCell="1" allowOverlap="1" wp14:anchorId="2E751F9F" wp14:editId="5E4AF578">
              <wp:simplePos x="0" y="0"/>
              <wp:positionH relativeFrom="column">
                <wp:posOffset>1352514</wp:posOffset>
              </wp:positionH>
              <wp:positionV relativeFrom="paragraph">
                <wp:posOffset>12472</wp:posOffset>
              </wp:positionV>
              <wp:extent cx="4744528" cy="45719"/>
              <wp:effectExtent l="38100" t="38100" r="56515" b="88265"/>
              <wp:wrapNone/>
              <wp:docPr id="258"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87C83E9" id="11 Rectángulo" o:spid="_x0000_s1026" style="position:absolute;margin-left:106.5pt;margin-top:1pt;width:373.6pt;height:3.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20BB6" w:rsidRPr="0073581B" w:rsidRDefault="00E20BB6" w:rsidP="00234F86">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E20BB6" w:rsidRPr="007452E2" w:rsidRDefault="00E20BB6" w:rsidP="00E16925">
    <w:pPr>
      <w:pStyle w:val="Encabezado"/>
      <w:rPr>
        <w:rFonts w:ascii="Times New Roman" w:hAnsi="Times New Roman" w:cs="Times New Roman"/>
        <w:lang w:val="es-MX"/>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EA7" w:rsidRPr="002E105E" w:rsidRDefault="00D70EA7"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844608" behindDoc="1" locked="1" layoutInCell="1" allowOverlap="1" wp14:anchorId="5EBE677B" wp14:editId="4994BD90">
          <wp:simplePos x="0" y="0"/>
          <wp:positionH relativeFrom="column">
            <wp:posOffset>-46990</wp:posOffset>
          </wp:positionH>
          <wp:positionV relativeFrom="page">
            <wp:posOffset>217805</wp:posOffset>
          </wp:positionV>
          <wp:extent cx="1282700" cy="1022985"/>
          <wp:effectExtent l="0" t="0" r="0" b="5715"/>
          <wp:wrapNone/>
          <wp:docPr id="2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0EA7" w:rsidRPr="002E105E" w:rsidRDefault="00D70EA7"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Septiembre</w:t>
    </w:r>
    <w:r w:rsidRPr="002E105E">
      <w:rPr>
        <w:rFonts w:ascii="Times New Roman" w:hAnsi="Times New Roman" w:cs="Times New Roman"/>
        <w:color w:val="1F497D" w:themeColor="text2"/>
        <w:sz w:val="20"/>
        <w:lang w:val="es-MX"/>
      </w:rPr>
      <w:t xml:space="preserve"> 2021</w:t>
    </w:r>
  </w:p>
  <w:p w:rsidR="00D70EA7" w:rsidRDefault="00D70EA7" w:rsidP="00234F86">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843584" behindDoc="0" locked="0" layoutInCell="1" allowOverlap="1" wp14:anchorId="6A391C05" wp14:editId="2BF4DC6F">
              <wp:simplePos x="0" y="0"/>
              <wp:positionH relativeFrom="column">
                <wp:posOffset>1352514</wp:posOffset>
              </wp:positionH>
              <wp:positionV relativeFrom="paragraph">
                <wp:posOffset>12472</wp:posOffset>
              </wp:positionV>
              <wp:extent cx="4744528" cy="45719"/>
              <wp:effectExtent l="38100" t="38100" r="56515" b="88265"/>
              <wp:wrapNone/>
              <wp:docPr id="263"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8FED878" id="11 Rectángulo" o:spid="_x0000_s1026" style="position:absolute;margin-left:106.5pt;margin-top:1pt;width:373.6pt;height:3.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D70EA7" w:rsidRPr="0073581B" w:rsidRDefault="00D70EA7" w:rsidP="00234F86">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D70EA7" w:rsidRPr="007452E2" w:rsidRDefault="00D70EA7" w:rsidP="00E16925">
    <w:pPr>
      <w:pStyle w:val="Encabezado"/>
      <w:rPr>
        <w:rFonts w:ascii="Times New Roman" w:hAnsi="Times New Roman" w:cs="Times New Roman"/>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2341B"/>
    <w:multiLevelType w:val="hybridMultilevel"/>
    <w:tmpl w:val="7614440A"/>
    <w:lvl w:ilvl="0" w:tplc="B25265AA">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nsid w:val="09E5567E"/>
    <w:multiLevelType w:val="hybridMultilevel"/>
    <w:tmpl w:val="668C7A32"/>
    <w:lvl w:ilvl="0" w:tplc="3E663D0C">
      <w:start w:val="1"/>
      <w:numFmt w:val="lowerLetter"/>
      <w:lvlText w:val="%1)"/>
      <w:lvlJc w:val="left"/>
      <w:pPr>
        <w:ind w:left="720" w:hanging="360"/>
      </w:pPr>
      <w:rPr>
        <w:rFonts w:ascii="Times New Roman" w:eastAsiaTheme="minorHAnsi" w:hAnsi="Times New Roman" w:cs="Times New Roman"/>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nsid w:val="0B8641F5"/>
    <w:multiLevelType w:val="hybridMultilevel"/>
    <w:tmpl w:val="6C9AD4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nsid w:val="0E370CD0"/>
    <w:multiLevelType w:val="hybridMultilevel"/>
    <w:tmpl w:val="6AFCB7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nsid w:val="0FD5081C"/>
    <w:multiLevelType w:val="hybridMultilevel"/>
    <w:tmpl w:val="7A082B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nsid w:val="172228C2"/>
    <w:multiLevelType w:val="hybridMultilevel"/>
    <w:tmpl w:val="8B2A419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
    <w:nsid w:val="284F18C2"/>
    <w:multiLevelType w:val="hybridMultilevel"/>
    <w:tmpl w:val="60180018"/>
    <w:lvl w:ilvl="0" w:tplc="8DF2F090">
      <w:start w:val="1"/>
      <w:numFmt w:val="decimal"/>
      <w:lvlText w:val="%1."/>
      <w:lvlJc w:val="left"/>
      <w:pPr>
        <w:ind w:left="1065" w:hanging="7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nsid w:val="2DA43097"/>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
    <w:nsid w:val="2E3D271E"/>
    <w:multiLevelType w:val="hybridMultilevel"/>
    <w:tmpl w:val="C66CBD6C"/>
    <w:lvl w:ilvl="0" w:tplc="7A684F14">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nsid w:val="318C7F52"/>
    <w:multiLevelType w:val="hybridMultilevel"/>
    <w:tmpl w:val="8BEAF8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nsid w:val="32216C57"/>
    <w:multiLevelType w:val="hybridMultilevel"/>
    <w:tmpl w:val="4C90958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nsid w:val="32FF1852"/>
    <w:multiLevelType w:val="hybridMultilevel"/>
    <w:tmpl w:val="778483F6"/>
    <w:lvl w:ilvl="0" w:tplc="100A000F">
      <w:start w:val="1"/>
      <w:numFmt w:val="decimal"/>
      <w:lvlText w:val="%1."/>
      <w:lvlJc w:val="left"/>
      <w:pPr>
        <w:ind w:left="720" w:hanging="360"/>
      </w:pPr>
    </w:lvl>
    <w:lvl w:ilvl="1" w:tplc="0F9AD968">
      <w:start w:val="1"/>
      <w:numFmt w:val="lowerLetter"/>
      <w:lvlText w:val="%2."/>
      <w:lvlJc w:val="left"/>
      <w:pPr>
        <w:ind w:left="1440" w:hanging="360"/>
      </w:pPr>
      <w:rPr>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nsid w:val="335D3E9F"/>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
    <w:nsid w:val="34920911"/>
    <w:multiLevelType w:val="hybridMultilevel"/>
    <w:tmpl w:val="1104419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nsid w:val="37515E66"/>
    <w:multiLevelType w:val="hybridMultilevel"/>
    <w:tmpl w:val="778483F6"/>
    <w:lvl w:ilvl="0" w:tplc="100A000F">
      <w:start w:val="1"/>
      <w:numFmt w:val="decimal"/>
      <w:lvlText w:val="%1."/>
      <w:lvlJc w:val="left"/>
      <w:pPr>
        <w:ind w:left="720" w:hanging="360"/>
      </w:pPr>
    </w:lvl>
    <w:lvl w:ilvl="1" w:tplc="0F9AD968">
      <w:start w:val="1"/>
      <w:numFmt w:val="lowerLetter"/>
      <w:lvlText w:val="%2."/>
      <w:lvlJc w:val="left"/>
      <w:pPr>
        <w:ind w:left="1440" w:hanging="360"/>
      </w:pPr>
      <w:rPr>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nsid w:val="3AF330C7"/>
    <w:multiLevelType w:val="hybridMultilevel"/>
    <w:tmpl w:val="778483F6"/>
    <w:lvl w:ilvl="0" w:tplc="100A000F">
      <w:start w:val="1"/>
      <w:numFmt w:val="decimal"/>
      <w:lvlText w:val="%1."/>
      <w:lvlJc w:val="left"/>
      <w:pPr>
        <w:ind w:left="720" w:hanging="360"/>
      </w:pPr>
    </w:lvl>
    <w:lvl w:ilvl="1" w:tplc="0F9AD968">
      <w:start w:val="1"/>
      <w:numFmt w:val="lowerLetter"/>
      <w:lvlText w:val="%2."/>
      <w:lvlJc w:val="left"/>
      <w:pPr>
        <w:ind w:left="1440" w:hanging="360"/>
      </w:pPr>
      <w:rPr>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nsid w:val="3FF856EE"/>
    <w:multiLevelType w:val="hybridMultilevel"/>
    <w:tmpl w:val="778483F6"/>
    <w:lvl w:ilvl="0" w:tplc="100A000F">
      <w:start w:val="1"/>
      <w:numFmt w:val="decimal"/>
      <w:lvlText w:val="%1."/>
      <w:lvlJc w:val="left"/>
      <w:pPr>
        <w:ind w:left="720" w:hanging="360"/>
      </w:pPr>
    </w:lvl>
    <w:lvl w:ilvl="1" w:tplc="0F9AD968">
      <w:start w:val="1"/>
      <w:numFmt w:val="lowerLetter"/>
      <w:lvlText w:val="%2."/>
      <w:lvlJc w:val="left"/>
      <w:pPr>
        <w:ind w:left="1440" w:hanging="360"/>
      </w:pPr>
      <w:rPr>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nsid w:val="4F1F1422"/>
    <w:multiLevelType w:val="hybridMultilevel"/>
    <w:tmpl w:val="ECB205F6"/>
    <w:lvl w:ilvl="0" w:tplc="100A000F">
      <w:start w:val="1"/>
      <w:numFmt w:val="decimal"/>
      <w:lvlText w:val="%1."/>
      <w:lvlJc w:val="left"/>
      <w:pPr>
        <w:ind w:left="360" w:hanging="360"/>
      </w:pPr>
      <w:rPr>
        <w:rFonts w:hint="default"/>
      </w:rPr>
    </w:lvl>
    <w:lvl w:ilvl="1" w:tplc="15DACC7C">
      <w:start w:val="1"/>
      <w:numFmt w:val="bullet"/>
      <w:lvlText w:val="-"/>
      <w:lvlJc w:val="left"/>
      <w:pPr>
        <w:ind w:left="1080" w:hanging="360"/>
      </w:pPr>
      <w:rPr>
        <w:rFonts w:ascii="Courier New" w:hAnsi="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8">
    <w:nsid w:val="5EB178D6"/>
    <w:multiLevelType w:val="hybridMultilevel"/>
    <w:tmpl w:val="8794A3C4"/>
    <w:lvl w:ilvl="0" w:tplc="06C04D0C">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nsid w:val="69506CB3"/>
    <w:multiLevelType w:val="hybridMultilevel"/>
    <w:tmpl w:val="E098E3D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nsid w:val="6DAE7A0A"/>
    <w:multiLevelType w:val="hybridMultilevel"/>
    <w:tmpl w:val="F59ACDD0"/>
    <w:lvl w:ilvl="0" w:tplc="527E0502">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nsid w:val="7A3757A3"/>
    <w:multiLevelType w:val="hybridMultilevel"/>
    <w:tmpl w:val="C638E6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nsid w:val="7F885ABE"/>
    <w:multiLevelType w:val="hybridMultilevel"/>
    <w:tmpl w:val="F0FA2C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9"/>
  </w:num>
  <w:num w:numId="4">
    <w:abstractNumId w:val="2"/>
  </w:num>
  <w:num w:numId="5">
    <w:abstractNumId w:val="18"/>
  </w:num>
  <w:num w:numId="6">
    <w:abstractNumId w:val="22"/>
  </w:num>
  <w:num w:numId="7">
    <w:abstractNumId w:val="21"/>
  </w:num>
  <w:num w:numId="8">
    <w:abstractNumId w:val="4"/>
  </w:num>
  <w:num w:numId="9">
    <w:abstractNumId w:val="12"/>
  </w:num>
  <w:num w:numId="10">
    <w:abstractNumId w:val="7"/>
  </w:num>
  <w:num w:numId="11">
    <w:abstractNumId w:val="10"/>
  </w:num>
  <w:num w:numId="12">
    <w:abstractNumId w:val="8"/>
  </w:num>
  <w:num w:numId="13">
    <w:abstractNumId w:val="0"/>
  </w:num>
  <w:num w:numId="14">
    <w:abstractNumId w:val="3"/>
  </w:num>
  <w:num w:numId="15">
    <w:abstractNumId w:val="6"/>
  </w:num>
  <w:num w:numId="16">
    <w:abstractNumId w:val="20"/>
  </w:num>
  <w:num w:numId="17">
    <w:abstractNumId w:val="13"/>
  </w:num>
  <w:num w:numId="18">
    <w:abstractNumId w:val="19"/>
  </w:num>
  <w:num w:numId="19">
    <w:abstractNumId w:val="14"/>
  </w:num>
  <w:num w:numId="20">
    <w:abstractNumId w:val="15"/>
  </w:num>
  <w:num w:numId="21">
    <w:abstractNumId w:val="16"/>
  </w:num>
  <w:num w:numId="22">
    <w:abstractNumId w:val="11"/>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651"/>
    <w:rsid w:val="0000354D"/>
    <w:rsid w:val="000053A7"/>
    <w:rsid w:val="00006489"/>
    <w:rsid w:val="000064C3"/>
    <w:rsid w:val="000067B1"/>
    <w:rsid w:val="00010575"/>
    <w:rsid w:val="00013A7F"/>
    <w:rsid w:val="00013C63"/>
    <w:rsid w:val="0001606E"/>
    <w:rsid w:val="0001624A"/>
    <w:rsid w:val="00020E23"/>
    <w:rsid w:val="00022E98"/>
    <w:rsid w:val="00025121"/>
    <w:rsid w:val="00025788"/>
    <w:rsid w:val="00025D1E"/>
    <w:rsid w:val="0002628B"/>
    <w:rsid w:val="0002658D"/>
    <w:rsid w:val="00035835"/>
    <w:rsid w:val="000378CF"/>
    <w:rsid w:val="00040C99"/>
    <w:rsid w:val="00042B27"/>
    <w:rsid w:val="00045D14"/>
    <w:rsid w:val="0004709F"/>
    <w:rsid w:val="00051776"/>
    <w:rsid w:val="00051A92"/>
    <w:rsid w:val="000530BD"/>
    <w:rsid w:val="00053517"/>
    <w:rsid w:val="0006261A"/>
    <w:rsid w:val="00063120"/>
    <w:rsid w:val="0006646A"/>
    <w:rsid w:val="00067F82"/>
    <w:rsid w:val="000704F4"/>
    <w:rsid w:val="000723B2"/>
    <w:rsid w:val="00072EEB"/>
    <w:rsid w:val="00073F2F"/>
    <w:rsid w:val="00074BC6"/>
    <w:rsid w:val="00076AB4"/>
    <w:rsid w:val="00076AD2"/>
    <w:rsid w:val="00076BF9"/>
    <w:rsid w:val="000802A8"/>
    <w:rsid w:val="00080B88"/>
    <w:rsid w:val="00080BD8"/>
    <w:rsid w:val="000812E3"/>
    <w:rsid w:val="0008320B"/>
    <w:rsid w:val="0008348D"/>
    <w:rsid w:val="00084499"/>
    <w:rsid w:val="00087ADE"/>
    <w:rsid w:val="00091917"/>
    <w:rsid w:val="000A0A4F"/>
    <w:rsid w:val="000A6E8E"/>
    <w:rsid w:val="000B0279"/>
    <w:rsid w:val="000B20DC"/>
    <w:rsid w:val="000B568D"/>
    <w:rsid w:val="000B56CE"/>
    <w:rsid w:val="000B6744"/>
    <w:rsid w:val="000C1547"/>
    <w:rsid w:val="000C1FF2"/>
    <w:rsid w:val="000C21E1"/>
    <w:rsid w:val="000C2C25"/>
    <w:rsid w:val="000C4EC0"/>
    <w:rsid w:val="000C65AB"/>
    <w:rsid w:val="000D016D"/>
    <w:rsid w:val="000D2E0C"/>
    <w:rsid w:val="000D2FA4"/>
    <w:rsid w:val="000D489E"/>
    <w:rsid w:val="000E164F"/>
    <w:rsid w:val="000E43A8"/>
    <w:rsid w:val="000E4859"/>
    <w:rsid w:val="000E5E43"/>
    <w:rsid w:val="000F1314"/>
    <w:rsid w:val="000F3B7F"/>
    <w:rsid w:val="000F4520"/>
    <w:rsid w:val="000F509C"/>
    <w:rsid w:val="000F5A9A"/>
    <w:rsid w:val="000F5F87"/>
    <w:rsid w:val="000F6E9F"/>
    <w:rsid w:val="000F7F65"/>
    <w:rsid w:val="00102939"/>
    <w:rsid w:val="00103705"/>
    <w:rsid w:val="00103DA9"/>
    <w:rsid w:val="001045CE"/>
    <w:rsid w:val="00106793"/>
    <w:rsid w:val="00107309"/>
    <w:rsid w:val="00107D10"/>
    <w:rsid w:val="00110662"/>
    <w:rsid w:val="0011194C"/>
    <w:rsid w:val="00111B77"/>
    <w:rsid w:val="001178B6"/>
    <w:rsid w:val="00120C4D"/>
    <w:rsid w:val="001259BA"/>
    <w:rsid w:val="0012792C"/>
    <w:rsid w:val="0013022C"/>
    <w:rsid w:val="001339A4"/>
    <w:rsid w:val="00133DBA"/>
    <w:rsid w:val="0013436D"/>
    <w:rsid w:val="00136D08"/>
    <w:rsid w:val="0014167F"/>
    <w:rsid w:val="00142BF3"/>
    <w:rsid w:val="00142F1A"/>
    <w:rsid w:val="00143620"/>
    <w:rsid w:val="00145313"/>
    <w:rsid w:val="001463FC"/>
    <w:rsid w:val="00150585"/>
    <w:rsid w:val="00152798"/>
    <w:rsid w:val="001549AB"/>
    <w:rsid w:val="00155A02"/>
    <w:rsid w:val="00156534"/>
    <w:rsid w:val="00156DE0"/>
    <w:rsid w:val="00157402"/>
    <w:rsid w:val="00157C3A"/>
    <w:rsid w:val="00160BB0"/>
    <w:rsid w:val="00160EAC"/>
    <w:rsid w:val="00163944"/>
    <w:rsid w:val="00171909"/>
    <w:rsid w:val="001735EE"/>
    <w:rsid w:val="001741D8"/>
    <w:rsid w:val="0017454D"/>
    <w:rsid w:val="00180819"/>
    <w:rsid w:val="00182730"/>
    <w:rsid w:val="00183309"/>
    <w:rsid w:val="00185253"/>
    <w:rsid w:val="001913A4"/>
    <w:rsid w:val="00196A44"/>
    <w:rsid w:val="001A0C82"/>
    <w:rsid w:val="001A27B3"/>
    <w:rsid w:val="001A3185"/>
    <w:rsid w:val="001A6038"/>
    <w:rsid w:val="001A790A"/>
    <w:rsid w:val="001A79F4"/>
    <w:rsid w:val="001A7B1C"/>
    <w:rsid w:val="001B1DBB"/>
    <w:rsid w:val="001B3984"/>
    <w:rsid w:val="001B3EEE"/>
    <w:rsid w:val="001B4A4C"/>
    <w:rsid w:val="001B5046"/>
    <w:rsid w:val="001C2FF5"/>
    <w:rsid w:val="001C3649"/>
    <w:rsid w:val="001C67EF"/>
    <w:rsid w:val="001C7451"/>
    <w:rsid w:val="001D0065"/>
    <w:rsid w:val="001D1406"/>
    <w:rsid w:val="001D3345"/>
    <w:rsid w:val="001D46C3"/>
    <w:rsid w:val="001D4C8E"/>
    <w:rsid w:val="001D5A5B"/>
    <w:rsid w:val="001E05BE"/>
    <w:rsid w:val="001E0E10"/>
    <w:rsid w:val="001E0F86"/>
    <w:rsid w:val="001E3B99"/>
    <w:rsid w:val="001E4CD2"/>
    <w:rsid w:val="001E61BB"/>
    <w:rsid w:val="001F1609"/>
    <w:rsid w:val="001F2EA3"/>
    <w:rsid w:val="001F34AD"/>
    <w:rsid w:val="001F4EE1"/>
    <w:rsid w:val="001F4F78"/>
    <w:rsid w:val="001F5240"/>
    <w:rsid w:val="001F5581"/>
    <w:rsid w:val="001F7141"/>
    <w:rsid w:val="00200FB1"/>
    <w:rsid w:val="00202594"/>
    <w:rsid w:val="0020377F"/>
    <w:rsid w:val="00205BF7"/>
    <w:rsid w:val="00207693"/>
    <w:rsid w:val="002101C9"/>
    <w:rsid w:val="00212A2C"/>
    <w:rsid w:val="00213C92"/>
    <w:rsid w:val="0021435D"/>
    <w:rsid w:val="00216605"/>
    <w:rsid w:val="0021693D"/>
    <w:rsid w:val="00216B0E"/>
    <w:rsid w:val="00216DA8"/>
    <w:rsid w:val="002215C9"/>
    <w:rsid w:val="00222598"/>
    <w:rsid w:val="00226B35"/>
    <w:rsid w:val="00230240"/>
    <w:rsid w:val="002302ED"/>
    <w:rsid w:val="00232A32"/>
    <w:rsid w:val="002335EE"/>
    <w:rsid w:val="00233EB9"/>
    <w:rsid w:val="00234F86"/>
    <w:rsid w:val="0023642A"/>
    <w:rsid w:val="00240D86"/>
    <w:rsid w:val="00242202"/>
    <w:rsid w:val="00242A7B"/>
    <w:rsid w:val="00244AAA"/>
    <w:rsid w:val="00246DD3"/>
    <w:rsid w:val="0025116F"/>
    <w:rsid w:val="002512EC"/>
    <w:rsid w:val="00251969"/>
    <w:rsid w:val="00252B28"/>
    <w:rsid w:val="0025608A"/>
    <w:rsid w:val="00256F02"/>
    <w:rsid w:val="002610FC"/>
    <w:rsid w:val="00261B5A"/>
    <w:rsid w:val="00261B7A"/>
    <w:rsid w:val="00262E76"/>
    <w:rsid w:val="00263007"/>
    <w:rsid w:val="00263CC4"/>
    <w:rsid w:val="00264C3A"/>
    <w:rsid w:val="00264FC5"/>
    <w:rsid w:val="002672D5"/>
    <w:rsid w:val="00270CAB"/>
    <w:rsid w:val="002719C8"/>
    <w:rsid w:val="00271EDC"/>
    <w:rsid w:val="00273E2C"/>
    <w:rsid w:val="002752BD"/>
    <w:rsid w:val="00275B04"/>
    <w:rsid w:val="00275F3F"/>
    <w:rsid w:val="00276250"/>
    <w:rsid w:val="0027637A"/>
    <w:rsid w:val="00276A28"/>
    <w:rsid w:val="00281439"/>
    <w:rsid w:val="00281FB7"/>
    <w:rsid w:val="0028212F"/>
    <w:rsid w:val="00292AD2"/>
    <w:rsid w:val="00292AD8"/>
    <w:rsid w:val="0029321A"/>
    <w:rsid w:val="00295365"/>
    <w:rsid w:val="002955BE"/>
    <w:rsid w:val="00296D57"/>
    <w:rsid w:val="0029751C"/>
    <w:rsid w:val="002977ED"/>
    <w:rsid w:val="00297AA7"/>
    <w:rsid w:val="002A076B"/>
    <w:rsid w:val="002A375D"/>
    <w:rsid w:val="002A5B1B"/>
    <w:rsid w:val="002A63DE"/>
    <w:rsid w:val="002A7979"/>
    <w:rsid w:val="002B5E9D"/>
    <w:rsid w:val="002B7644"/>
    <w:rsid w:val="002B769D"/>
    <w:rsid w:val="002C0021"/>
    <w:rsid w:val="002C2547"/>
    <w:rsid w:val="002C482A"/>
    <w:rsid w:val="002C4CB2"/>
    <w:rsid w:val="002C6478"/>
    <w:rsid w:val="002C68B8"/>
    <w:rsid w:val="002C7F2B"/>
    <w:rsid w:val="002D11E8"/>
    <w:rsid w:val="002D1C01"/>
    <w:rsid w:val="002D3469"/>
    <w:rsid w:val="002D54E6"/>
    <w:rsid w:val="002E105E"/>
    <w:rsid w:val="002E3F4C"/>
    <w:rsid w:val="002F0EAF"/>
    <w:rsid w:val="002F14AA"/>
    <w:rsid w:val="002F29DE"/>
    <w:rsid w:val="002F2A42"/>
    <w:rsid w:val="002F5408"/>
    <w:rsid w:val="002F7E08"/>
    <w:rsid w:val="002F7FDC"/>
    <w:rsid w:val="0030020D"/>
    <w:rsid w:val="003004FC"/>
    <w:rsid w:val="00302D40"/>
    <w:rsid w:val="00306038"/>
    <w:rsid w:val="0030695C"/>
    <w:rsid w:val="00312262"/>
    <w:rsid w:val="00312D85"/>
    <w:rsid w:val="0031651A"/>
    <w:rsid w:val="00321745"/>
    <w:rsid w:val="0032198D"/>
    <w:rsid w:val="00322ECC"/>
    <w:rsid w:val="00326005"/>
    <w:rsid w:val="00330A9D"/>
    <w:rsid w:val="00333949"/>
    <w:rsid w:val="00334324"/>
    <w:rsid w:val="00336F5B"/>
    <w:rsid w:val="003371DC"/>
    <w:rsid w:val="00340AB7"/>
    <w:rsid w:val="003421D8"/>
    <w:rsid w:val="00343A5D"/>
    <w:rsid w:val="00345216"/>
    <w:rsid w:val="00346F8B"/>
    <w:rsid w:val="0034700C"/>
    <w:rsid w:val="003523F0"/>
    <w:rsid w:val="0035279B"/>
    <w:rsid w:val="003531E5"/>
    <w:rsid w:val="003551C3"/>
    <w:rsid w:val="003566E1"/>
    <w:rsid w:val="0036168D"/>
    <w:rsid w:val="003649D9"/>
    <w:rsid w:val="00364DD6"/>
    <w:rsid w:val="00366770"/>
    <w:rsid w:val="00367E12"/>
    <w:rsid w:val="0037150D"/>
    <w:rsid w:val="00374D44"/>
    <w:rsid w:val="003762C5"/>
    <w:rsid w:val="00376802"/>
    <w:rsid w:val="00376FE9"/>
    <w:rsid w:val="0038008D"/>
    <w:rsid w:val="003804E5"/>
    <w:rsid w:val="00381A4F"/>
    <w:rsid w:val="003844F4"/>
    <w:rsid w:val="0038488D"/>
    <w:rsid w:val="00385BA8"/>
    <w:rsid w:val="00387AFB"/>
    <w:rsid w:val="00393E59"/>
    <w:rsid w:val="0039499F"/>
    <w:rsid w:val="0039681F"/>
    <w:rsid w:val="003968DB"/>
    <w:rsid w:val="003A1300"/>
    <w:rsid w:val="003A3726"/>
    <w:rsid w:val="003A37AC"/>
    <w:rsid w:val="003A3AB5"/>
    <w:rsid w:val="003A4107"/>
    <w:rsid w:val="003A72C9"/>
    <w:rsid w:val="003B00D2"/>
    <w:rsid w:val="003B13B4"/>
    <w:rsid w:val="003B1A93"/>
    <w:rsid w:val="003B24E3"/>
    <w:rsid w:val="003B7D31"/>
    <w:rsid w:val="003C3922"/>
    <w:rsid w:val="003C4892"/>
    <w:rsid w:val="003C7085"/>
    <w:rsid w:val="003D05CE"/>
    <w:rsid w:val="003D15F7"/>
    <w:rsid w:val="003D2128"/>
    <w:rsid w:val="003D2C99"/>
    <w:rsid w:val="003D38A7"/>
    <w:rsid w:val="003D557F"/>
    <w:rsid w:val="003D60E4"/>
    <w:rsid w:val="003D72D3"/>
    <w:rsid w:val="003D7EBA"/>
    <w:rsid w:val="003E25F8"/>
    <w:rsid w:val="003E2823"/>
    <w:rsid w:val="003E28F4"/>
    <w:rsid w:val="003E591D"/>
    <w:rsid w:val="003E70E0"/>
    <w:rsid w:val="003F0660"/>
    <w:rsid w:val="003F1E83"/>
    <w:rsid w:val="003F32A1"/>
    <w:rsid w:val="003F4609"/>
    <w:rsid w:val="003F7076"/>
    <w:rsid w:val="0040361C"/>
    <w:rsid w:val="004053C6"/>
    <w:rsid w:val="0040580B"/>
    <w:rsid w:val="00410690"/>
    <w:rsid w:val="00410B23"/>
    <w:rsid w:val="0041262B"/>
    <w:rsid w:val="00413452"/>
    <w:rsid w:val="00413FBE"/>
    <w:rsid w:val="00416D41"/>
    <w:rsid w:val="00421BA0"/>
    <w:rsid w:val="0042387A"/>
    <w:rsid w:val="0042628E"/>
    <w:rsid w:val="00426F4F"/>
    <w:rsid w:val="00434FC6"/>
    <w:rsid w:val="00443336"/>
    <w:rsid w:val="00443385"/>
    <w:rsid w:val="00443621"/>
    <w:rsid w:val="00443689"/>
    <w:rsid w:val="004456FD"/>
    <w:rsid w:val="00447F4F"/>
    <w:rsid w:val="00450531"/>
    <w:rsid w:val="00451504"/>
    <w:rsid w:val="00452A5A"/>
    <w:rsid w:val="004552E3"/>
    <w:rsid w:val="004575BA"/>
    <w:rsid w:val="004606FD"/>
    <w:rsid w:val="00464DB9"/>
    <w:rsid w:val="004650C5"/>
    <w:rsid w:val="00465F37"/>
    <w:rsid w:val="00471B35"/>
    <w:rsid w:val="00474998"/>
    <w:rsid w:val="00474EC2"/>
    <w:rsid w:val="00476161"/>
    <w:rsid w:val="00480824"/>
    <w:rsid w:val="004830FD"/>
    <w:rsid w:val="004835C8"/>
    <w:rsid w:val="00483632"/>
    <w:rsid w:val="0048385B"/>
    <w:rsid w:val="00484E5F"/>
    <w:rsid w:val="00487136"/>
    <w:rsid w:val="00491F92"/>
    <w:rsid w:val="00492967"/>
    <w:rsid w:val="00494116"/>
    <w:rsid w:val="00494BC6"/>
    <w:rsid w:val="00494D1D"/>
    <w:rsid w:val="00495AED"/>
    <w:rsid w:val="00495C21"/>
    <w:rsid w:val="00495F43"/>
    <w:rsid w:val="00497DD6"/>
    <w:rsid w:val="004A28E4"/>
    <w:rsid w:val="004A3D32"/>
    <w:rsid w:val="004A3DB8"/>
    <w:rsid w:val="004A6705"/>
    <w:rsid w:val="004A73AA"/>
    <w:rsid w:val="004B1E1A"/>
    <w:rsid w:val="004B336D"/>
    <w:rsid w:val="004B4B9F"/>
    <w:rsid w:val="004B5B0F"/>
    <w:rsid w:val="004B799B"/>
    <w:rsid w:val="004C208F"/>
    <w:rsid w:val="004C2A11"/>
    <w:rsid w:val="004C3B4E"/>
    <w:rsid w:val="004C71BC"/>
    <w:rsid w:val="004D0A0F"/>
    <w:rsid w:val="004D1F76"/>
    <w:rsid w:val="004D401E"/>
    <w:rsid w:val="004D4775"/>
    <w:rsid w:val="004D7482"/>
    <w:rsid w:val="004E01C1"/>
    <w:rsid w:val="004E23E4"/>
    <w:rsid w:val="004E358C"/>
    <w:rsid w:val="004E4FDE"/>
    <w:rsid w:val="004E54B7"/>
    <w:rsid w:val="004E5D0E"/>
    <w:rsid w:val="004E61EC"/>
    <w:rsid w:val="004F02B2"/>
    <w:rsid w:val="004F4F4D"/>
    <w:rsid w:val="004F72F9"/>
    <w:rsid w:val="005004C9"/>
    <w:rsid w:val="005016F6"/>
    <w:rsid w:val="005016F7"/>
    <w:rsid w:val="00502FD6"/>
    <w:rsid w:val="00506BDB"/>
    <w:rsid w:val="005077A5"/>
    <w:rsid w:val="00507E67"/>
    <w:rsid w:val="005104DC"/>
    <w:rsid w:val="00511C93"/>
    <w:rsid w:val="00512601"/>
    <w:rsid w:val="0051308A"/>
    <w:rsid w:val="00513134"/>
    <w:rsid w:val="005136F3"/>
    <w:rsid w:val="00514CFD"/>
    <w:rsid w:val="00515C51"/>
    <w:rsid w:val="00515CE6"/>
    <w:rsid w:val="00517930"/>
    <w:rsid w:val="00520351"/>
    <w:rsid w:val="00520FB0"/>
    <w:rsid w:val="005226CD"/>
    <w:rsid w:val="00523738"/>
    <w:rsid w:val="00527291"/>
    <w:rsid w:val="00530EAC"/>
    <w:rsid w:val="00532025"/>
    <w:rsid w:val="0053566F"/>
    <w:rsid w:val="005364DE"/>
    <w:rsid w:val="00541A32"/>
    <w:rsid w:val="005428C6"/>
    <w:rsid w:val="00544E9A"/>
    <w:rsid w:val="00546650"/>
    <w:rsid w:val="0055248B"/>
    <w:rsid w:val="005537D0"/>
    <w:rsid w:val="005550D8"/>
    <w:rsid w:val="0055590E"/>
    <w:rsid w:val="00561402"/>
    <w:rsid w:val="00562204"/>
    <w:rsid w:val="00573AB0"/>
    <w:rsid w:val="005755E9"/>
    <w:rsid w:val="00575DFA"/>
    <w:rsid w:val="00580066"/>
    <w:rsid w:val="00580234"/>
    <w:rsid w:val="00580D47"/>
    <w:rsid w:val="00582F9F"/>
    <w:rsid w:val="005831AA"/>
    <w:rsid w:val="00586745"/>
    <w:rsid w:val="005879A5"/>
    <w:rsid w:val="00591D14"/>
    <w:rsid w:val="005925BD"/>
    <w:rsid w:val="00592D6E"/>
    <w:rsid w:val="0059421A"/>
    <w:rsid w:val="005948F0"/>
    <w:rsid w:val="005958E9"/>
    <w:rsid w:val="0059655C"/>
    <w:rsid w:val="00596662"/>
    <w:rsid w:val="0059700F"/>
    <w:rsid w:val="005979EB"/>
    <w:rsid w:val="005A03A9"/>
    <w:rsid w:val="005A0F62"/>
    <w:rsid w:val="005A1EFC"/>
    <w:rsid w:val="005A34F5"/>
    <w:rsid w:val="005A6ACE"/>
    <w:rsid w:val="005A6F91"/>
    <w:rsid w:val="005A7F2C"/>
    <w:rsid w:val="005B0E33"/>
    <w:rsid w:val="005B0E84"/>
    <w:rsid w:val="005B1B53"/>
    <w:rsid w:val="005B44D1"/>
    <w:rsid w:val="005B4E4C"/>
    <w:rsid w:val="005B6D05"/>
    <w:rsid w:val="005B78CA"/>
    <w:rsid w:val="005C103A"/>
    <w:rsid w:val="005C15AD"/>
    <w:rsid w:val="005C275E"/>
    <w:rsid w:val="005C4C97"/>
    <w:rsid w:val="005D2336"/>
    <w:rsid w:val="005D34FC"/>
    <w:rsid w:val="005D5151"/>
    <w:rsid w:val="005D51CA"/>
    <w:rsid w:val="005D6423"/>
    <w:rsid w:val="005D7AC4"/>
    <w:rsid w:val="005E4A68"/>
    <w:rsid w:val="005E4D76"/>
    <w:rsid w:val="005E6BD0"/>
    <w:rsid w:val="005E7E89"/>
    <w:rsid w:val="005F01EF"/>
    <w:rsid w:val="005F04EC"/>
    <w:rsid w:val="005F18DE"/>
    <w:rsid w:val="005F470C"/>
    <w:rsid w:val="005F493D"/>
    <w:rsid w:val="005F591A"/>
    <w:rsid w:val="0060094A"/>
    <w:rsid w:val="0060136C"/>
    <w:rsid w:val="00601491"/>
    <w:rsid w:val="006014EC"/>
    <w:rsid w:val="00601BE6"/>
    <w:rsid w:val="00601C99"/>
    <w:rsid w:val="00603743"/>
    <w:rsid w:val="00604F51"/>
    <w:rsid w:val="006060AD"/>
    <w:rsid w:val="00606D70"/>
    <w:rsid w:val="00610F84"/>
    <w:rsid w:val="00615821"/>
    <w:rsid w:val="00620D69"/>
    <w:rsid w:val="00621070"/>
    <w:rsid w:val="0062255C"/>
    <w:rsid w:val="00622FB1"/>
    <w:rsid w:val="00623DEA"/>
    <w:rsid w:val="00623EC9"/>
    <w:rsid w:val="00624417"/>
    <w:rsid w:val="00625AA5"/>
    <w:rsid w:val="00632EE6"/>
    <w:rsid w:val="00633616"/>
    <w:rsid w:val="0063426D"/>
    <w:rsid w:val="00637772"/>
    <w:rsid w:val="00637AC9"/>
    <w:rsid w:val="006407B8"/>
    <w:rsid w:val="00640B12"/>
    <w:rsid w:val="0064258A"/>
    <w:rsid w:val="00643685"/>
    <w:rsid w:val="00643FB6"/>
    <w:rsid w:val="006470E2"/>
    <w:rsid w:val="00651522"/>
    <w:rsid w:val="00651D53"/>
    <w:rsid w:val="006525C5"/>
    <w:rsid w:val="006530FD"/>
    <w:rsid w:val="00654855"/>
    <w:rsid w:val="006553D6"/>
    <w:rsid w:val="00656178"/>
    <w:rsid w:val="006576D5"/>
    <w:rsid w:val="00660888"/>
    <w:rsid w:val="00661E2A"/>
    <w:rsid w:val="006630B2"/>
    <w:rsid w:val="00663EB3"/>
    <w:rsid w:val="00665BB7"/>
    <w:rsid w:val="00666477"/>
    <w:rsid w:val="006668D4"/>
    <w:rsid w:val="0066791B"/>
    <w:rsid w:val="00670F33"/>
    <w:rsid w:val="0067132B"/>
    <w:rsid w:val="00674EAE"/>
    <w:rsid w:val="00676765"/>
    <w:rsid w:val="0068170A"/>
    <w:rsid w:val="006820CE"/>
    <w:rsid w:val="006830CD"/>
    <w:rsid w:val="00683AF9"/>
    <w:rsid w:val="00685A33"/>
    <w:rsid w:val="00685C3A"/>
    <w:rsid w:val="00687029"/>
    <w:rsid w:val="00690C8D"/>
    <w:rsid w:val="006924F1"/>
    <w:rsid w:val="006968BB"/>
    <w:rsid w:val="006A1473"/>
    <w:rsid w:val="006A33A0"/>
    <w:rsid w:val="006A41F1"/>
    <w:rsid w:val="006A64D5"/>
    <w:rsid w:val="006B0D82"/>
    <w:rsid w:val="006B40EC"/>
    <w:rsid w:val="006B5C28"/>
    <w:rsid w:val="006B7BFD"/>
    <w:rsid w:val="006C0680"/>
    <w:rsid w:val="006C2F15"/>
    <w:rsid w:val="006C47AE"/>
    <w:rsid w:val="006C7015"/>
    <w:rsid w:val="006D1251"/>
    <w:rsid w:val="006D1857"/>
    <w:rsid w:val="006D7959"/>
    <w:rsid w:val="006D7B6E"/>
    <w:rsid w:val="006D7BB6"/>
    <w:rsid w:val="006E082A"/>
    <w:rsid w:val="006E1D11"/>
    <w:rsid w:val="006E27A5"/>
    <w:rsid w:val="006E4937"/>
    <w:rsid w:val="006E63F3"/>
    <w:rsid w:val="006E6A13"/>
    <w:rsid w:val="006F10D1"/>
    <w:rsid w:val="006F157C"/>
    <w:rsid w:val="006F1B31"/>
    <w:rsid w:val="006F202E"/>
    <w:rsid w:val="006F20A4"/>
    <w:rsid w:val="006F3C0D"/>
    <w:rsid w:val="006F3FF3"/>
    <w:rsid w:val="006F410A"/>
    <w:rsid w:val="006F4891"/>
    <w:rsid w:val="006F5EA0"/>
    <w:rsid w:val="006F7575"/>
    <w:rsid w:val="007027B7"/>
    <w:rsid w:val="00704E5D"/>
    <w:rsid w:val="00706506"/>
    <w:rsid w:val="00706A33"/>
    <w:rsid w:val="00712339"/>
    <w:rsid w:val="00714E40"/>
    <w:rsid w:val="00715429"/>
    <w:rsid w:val="00715C88"/>
    <w:rsid w:val="00715D8F"/>
    <w:rsid w:val="0071791E"/>
    <w:rsid w:val="007206C9"/>
    <w:rsid w:val="00720E64"/>
    <w:rsid w:val="00723F6E"/>
    <w:rsid w:val="00725F93"/>
    <w:rsid w:val="00731FB9"/>
    <w:rsid w:val="0073367E"/>
    <w:rsid w:val="007336AF"/>
    <w:rsid w:val="0073437F"/>
    <w:rsid w:val="0073581B"/>
    <w:rsid w:val="007362C1"/>
    <w:rsid w:val="0074137E"/>
    <w:rsid w:val="007413CE"/>
    <w:rsid w:val="00741591"/>
    <w:rsid w:val="00741F6B"/>
    <w:rsid w:val="0074369F"/>
    <w:rsid w:val="0074502B"/>
    <w:rsid w:val="0074528B"/>
    <w:rsid w:val="007452E2"/>
    <w:rsid w:val="00747C79"/>
    <w:rsid w:val="00751CCA"/>
    <w:rsid w:val="00754057"/>
    <w:rsid w:val="007572E9"/>
    <w:rsid w:val="0075770C"/>
    <w:rsid w:val="00757FCC"/>
    <w:rsid w:val="0076028F"/>
    <w:rsid w:val="0076218A"/>
    <w:rsid w:val="00762722"/>
    <w:rsid w:val="00762FE3"/>
    <w:rsid w:val="0076667B"/>
    <w:rsid w:val="00767573"/>
    <w:rsid w:val="00767B56"/>
    <w:rsid w:val="007701C9"/>
    <w:rsid w:val="007703A2"/>
    <w:rsid w:val="007706F8"/>
    <w:rsid w:val="00771670"/>
    <w:rsid w:val="00773919"/>
    <w:rsid w:val="007744C7"/>
    <w:rsid w:val="00775116"/>
    <w:rsid w:val="00775DE3"/>
    <w:rsid w:val="00776974"/>
    <w:rsid w:val="0078135B"/>
    <w:rsid w:val="007814D6"/>
    <w:rsid w:val="007846C7"/>
    <w:rsid w:val="00784AF8"/>
    <w:rsid w:val="007859CD"/>
    <w:rsid w:val="00795186"/>
    <w:rsid w:val="007A05AB"/>
    <w:rsid w:val="007A1680"/>
    <w:rsid w:val="007A345B"/>
    <w:rsid w:val="007A6523"/>
    <w:rsid w:val="007A71F2"/>
    <w:rsid w:val="007A7272"/>
    <w:rsid w:val="007A7814"/>
    <w:rsid w:val="007A7FB8"/>
    <w:rsid w:val="007B26CD"/>
    <w:rsid w:val="007B3D0C"/>
    <w:rsid w:val="007B5BA5"/>
    <w:rsid w:val="007B720C"/>
    <w:rsid w:val="007C06D3"/>
    <w:rsid w:val="007C0C8C"/>
    <w:rsid w:val="007C4E46"/>
    <w:rsid w:val="007C6379"/>
    <w:rsid w:val="007C6F35"/>
    <w:rsid w:val="007D0566"/>
    <w:rsid w:val="007D268B"/>
    <w:rsid w:val="007D38A9"/>
    <w:rsid w:val="007D4651"/>
    <w:rsid w:val="007D76FD"/>
    <w:rsid w:val="007D7CFE"/>
    <w:rsid w:val="007E314A"/>
    <w:rsid w:val="007E5841"/>
    <w:rsid w:val="007E6BCF"/>
    <w:rsid w:val="007E6F28"/>
    <w:rsid w:val="007F126E"/>
    <w:rsid w:val="007F443F"/>
    <w:rsid w:val="007F4528"/>
    <w:rsid w:val="007F525E"/>
    <w:rsid w:val="007F5898"/>
    <w:rsid w:val="007F6F57"/>
    <w:rsid w:val="008010A6"/>
    <w:rsid w:val="00802814"/>
    <w:rsid w:val="00804E1C"/>
    <w:rsid w:val="00805711"/>
    <w:rsid w:val="00806D75"/>
    <w:rsid w:val="0081055D"/>
    <w:rsid w:val="0081058F"/>
    <w:rsid w:val="00810A4C"/>
    <w:rsid w:val="008112C9"/>
    <w:rsid w:val="00813E3C"/>
    <w:rsid w:val="0081609E"/>
    <w:rsid w:val="00820142"/>
    <w:rsid w:val="00822C6B"/>
    <w:rsid w:val="00823719"/>
    <w:rsid w:val="00825110"/>
    <w:rsid w:val="00826AEC"/>
    <w:rsid w:val="00826D9D"/>
    <w:rsid w:val="008274C1"/>
    <w:rsid w:val="008277A9"/>
    <w:rsid w:val="008316E1"/>
    <w:rsid w:val="00833E90"/>
    <w:rsid w:val="00835216"/>
    <w:rsid w:val="008353E7"/>
    <w:rsid w:val="00835D5C"/>
    <w:rsid w:val="00842D8F"/>
    <w:rsid w:val="00842FFE"/>
    <w:rsid w:val="008501C7"/>
    <w:rsid w:val="00851AA6"/>
    <w:rsid w:val="00851B4B"/>
    <w:rsid w:val="00855D0B"/>
    <w:rsid w:val="00857302"/>
    <w:rsid w:val="00857341"/>
    <w:rsid w:val="0085741B"/>
    <w:rsid w:val="00861640"/>
    <w:rsid w:val="00864787"/>
    <w:rsid w:val="008662DB"/>
    <w:rsid w:val="008668B2"/>
    <w:rsid w:val="00867436"/>
    <w:rsid w:val="00870831"/>
    <w:rsid w:val="008718E5"/>
    <w:rsid w:val="00871B31"/>
    <w:rsid w:val="00874862"/>
    <w:rsid w:val="008801C1"/>
    <w:rsid w:val="008827D6"/>
    <w:rsid w:val="008844B1"/>
    <w:rsid w:val="00886F39"/>
    <w:rsid w:val="00891B11"/>
    <w:rsid w:val="00891F2D"/>
    <w:rsid w:val="00892181"/>
    <w:rsid w:val="00892DE1"/>
    <w:rsid w:val="0089425E"/>
    <w:rsid w:val="00894DC9"/>
    <w:rsid w:val="00895722"/>
    <w:rsid w:val="008962F6"/>
    <w:rsid w:val="00897192"/>
    <w:rsid w:val="008A1777"/>
    <w:rsid w:val="008A2427"/>
    <w:rsid w:val="008A2503"/>
    <w:rsid w:val="008A5760"/>
    <w:rsid w:val="008B0176"/>
    <w:rsid w:val="008B062E"/>
    <w:rsid w:val="008B110A"/>
    <w:rsid w:val="008B3C43"/>
    <w:rsid w:val="008B47CF"/>
    <w:rsid w:val="008B5573"/>
    <w:rsid w:val="008C079A"/>
    <w:rsid w:val="008C147E"/>
    <w:rsid w:val="008C24EA"/>
    <w:rsid w:val="008C2DDF"/>
    <w:rsid w:val="008C6964"/>
    <w:rsid w:val="008D3F91"/>
    <w:rsid w:val="008D5E9E"/>
    <w:rsid w:val="008D6C33"/>
    <w:rsid w:val="008E0F73"/>
    <w:rsid w:val="008E3A30"/>
    <w:rsid w:val="008E54C0"/>
    <w:rsid w:val="008E5C4F"/>
    <w:rsid w:val="008E6162"/>
    <w:rsid w:val="008E66C1"/>
    <w:rsid w:val="008E7869"/>
    <w:rsid w:val="008E7927"/>
    <w:rsid w:val="008F2683"/>
    <w:rsid w:val="008F312E"/>
    <w:rsid w:val="008F370C"/>
    <w:rsid w:val="008F46B7"/>
    <w:rsid w:val="008F4BCE"/>
    <w:rsid w:val="008F4D62"/>
    <w:rsid w:val="008F5915"/>
    <w:rsid w:val="008F59E6"/>
    <w:rsid w:val="008F5DBB"/>
    <w:rsid w:val="0090034D"/>
    <w:rsid w:val="009060FA"/>
    <w:rsid w:val="009062A4"/>
    <w:rsid w:val="00910163"/>
    <w:rsid w:val="009121F7"/>
    <w:rsid w:val="00912A58"/>
    <w:rsid w:val="009140AB"/>
    <w:rsid w:val="00916532"/>
    <w:rsid w:val="00917786"/>
    <w:rsid w:val="0092152F"/>
    <w:rsid w:val="00924740"/>
    <w:rsid w:val="00924E88"/>
    <w:rsid w:val="0093267D"/>
    <w:rsid w:val="00934746"/>
    <w:rsid w:val="00934D66"/>
    <w:rsid w:val="0093522C"/>
    <w:rsid w:val="00935D14"/>
    <w:rsid w:val="00936E17"/>
    <w:rsid w:val="00940C2E"/>
    <w:rsid w:val="00942163"/>
    <w:rsid w:val="0094219B"/>
    <w:rsid w:val="00943253"/>
    <w:rsid w:val="00945C92"/>
    <w:rsid w:val="00946523"/>
    <w:rsid w:val="00950874"/>
    <w:rsid w:val="00951347"/>
    <w:rsid w:val="00954FB2"/>
    <w:rsid w:val="00956270"/>
    <w:rsid w:val="009567D5"/>
    <w:rsid w:val="00956DD7"/>
    <w:rsid w:val="00963756"/>
    <w:rsid w:val="00964466"/>
    <w:rsid w:val="00964ECA"/>
    <w:rsid w:val="00965239"/>
    <w:rsid w:val="00965F44"/>
    <w:rsid w:val="00972FCF"/>
    <w:rsid w:val="009743AB"/>
    <w:rsid w:val="00975E49"/>
    <w:rsid w:val="00981FB0"/>
    <w:rsid w:val="00982379"/>
    <w:rsid w:val="00986297"/>
    <w:rsid w:val="0099341E"/>
    <w:rsid w:val="00993857"/>
    <w:rsid w:val="00994379"/>
    <w:rsid w:val="0099523B"/>
    <w:rsid w:val="00995540"/>
    <w:rsid w:val="00996BA4"/>
    <w:rsid w:val="00997A06"/>
    <w:rsid w:val="009A12F9"/>
    <w:rsid w:val="009A1EA3"/>
    <w:rsid w:val="009A1FA7"/>
    <w:rsid w:val="009A3187"/>
    <w:rsid w:val="009A47FE"/>
    <w:rsid w:val="009A5380"/>
    <w:rsid w:val="009A7441"/>
    <w:rsid w:val="009A7D66"/>
    <w:rsid w:val="009B10B6"/>
    <w:rsid w:val="009B2AD3"/>
    <w:rsid w:val="009B4C07"/>
    <w:rsid w:val="009B7148"/>
    <w:rsid w:val="009B7429"/>
    <w:rsid w:val="009B76D6"/>
    <w:rsid w:val="009C0583"/>
    <w:rsid w:val="009C0B93"/>
    <w:rsid w:val="009C361A"/>
    <w:rsid w:val="009C3938"/>
    <w:rsid w:val="009C4027"/>
    <w:rsid w:val="009C5F4E"/>
    <w:rsid w:val="009D0D94"/>
    <w:rsid w:val="009D1232"/>
    <w:rsid w:val="009D14C8"/>
    <w:rsid w:val="009D2132"/>
    <w:rsid w:val="009D25F9"/>
    <w:rsid w:val="009D2C22"/>
    <w:rsid w:val="009D38BF"/>
    <w:rsid w:val="009D4E7A"/>
    <w:rsid w:val="009D72CF"/>
    <w:rsid w:val="009E0376"/>
    <w:rsid w:val="009E5BD2"/>
    <w:rsid w:val="009E61BB"/>
    <w:rsid w:val="009F15B9"/>
    <w:rsid w:val="009F164F"/>
    <w:rsid w:val="009F1C07"/>
    <w:rsid w:val="009F1C62"/>
    <w:rsid w:val="009F2F46"/>
    <w:rsid w:val="009F36DC"/>
    <w:rsid w:val="009F530C"/>
    <w:rsid w:val="009F628A"/>
    <w:rsid w:val="00A00D30"/>
    <w:rsid w:val="00A0113A"/>
    <w:rsid w:val="00A015C5"/>
    <w:rsid w:val="00A05D6C"/>
    <w:rsid w:val="00A07383"/>
    <w:rsid w:val="00A07BE4"/>
    <w:rsid w:val="00A1145F"/>
    <w:rsid w:val="00A11B04"/>
    <w:rsid w:val="00A15244"/>
    <w:rsid w:val="00A159B6"/>
    <w:rsid w:val="00A2151F"/>
    <w:rsid w:val="00A21A6A"/>
    <w:rsid w:val="00A21CA3"/>
    <w:rsid w:val="00A24C4D"/>
    <w:rsid w:val="00A25906"/>
    <w:rsid w:val="00A26C76"/>
    <w:rsid w:val="00A305E5"/>
    <w:rsid w:val="00A32AA1"/>
    <w:rsid w:val="00A34EAE"/>
    <w:rsid w:val="00A36C8F"/>
    <w:rsid w:val="00A40EAF"/>
    <w:rsid w:val="00A4399A"/>
    <w:rsid w:val="00A446DB"/>
    <w:rsid w:val="00A45BC8"/>
    <w:rsid w:val="00A46630"/>
    <w:rsid w:val="00A53877"/>
    <w:rsid w:val="00A54CC2"/>
    <w:rsid w:val="00A56612"/>
    <w:rsid w:val="00A60591"/>
    <w:rsid w:val="00A63A53"/>
    <w:rsid w:val="00A64AE4"/>
    <w:rsid w:val="00A66588"/>
    <w:rsid w:val="00A67992"/>
    <w:rsid w:val="00A706A2"/>
    <w:rsid w:val="00A710E7"/>
    <w:rsid w:val="00A7383F"/>
    <w:rsid w:val="00A73B4D"/>
    <w:rsid w:val="00A74007"/>
    <w:rsid w:val="00A74F16"/>
    <w:rsid w:val="00A75539"/>
    <w:rsid w:val="00A75E19"/>
    <w:rsid w:val="00A775C6"/>
    <w:rsid w:val="00A8024A"/>
    <w:rsid w:val="00A808B8"/>
    <w:rsid w:val="00A817F8"/>
    <w:rsid w:val="00A82417"/>
    <w:rsid w:val="00A875EE"/>
    <w:rsid w:val="00A900E8"/>
    <w:rsid w:val="00A922E8"/>
    <w:rsid w:val="00A92B4B"/>
    <w:rsid w:val="00A92D6E"/>
    <w:rsid w:val="00A93052"/>
    <w:rsid w:val="00A970F8"/>
    <w:rsid w:val="00AA11B9"/>
    <w:rsid w:val="00AA136F"/>
    <w:rsid w:val="00AA4872"/>
    <w:rsid w:val="00AA54A5"/>
    <w:rsid w:val="00AA559F"/>
    <w:rsid w:val="00AA6C6B"/>
    <w:rsid w:val="00AA7BFD"/>
    <w:rsid w:val="00AA7DB0"/>
    <w:rsid w:val="00AB100D"/>
    <w:rsid w:val="00AB20BD"/>
    <w:rsid w:val="00AB2522"/>
    <w:rsid w:val="00AB38CA"/>
    <w:rsid w:val="00AB39D4"/>
    <w:rsid w:val="00AB52BE"/>
    <w:rsid w:val="00AC33CD"/>
    <w:rsid w:val="00AC4ECF"/>
    <w:rsid w:val="00AC5CAC"/>
    <w:rsid w:val="00AC614D"/>
    <w:rsid w:val="00AC7961"/>
    <w:rsid w:val="00AD02C8"/>
    <w:rsid w:val="00AD255C"/>
    <w:rsid w:val="00AD3FF3"/>
    <w:rsid w:val="00AD4251"/>
    <w:rsid w:val="00AD4EF6"/>
    <w:rsid w:val="00AD55FD"/>
    <w:rsid w:val="00AD5816"/>
    <w:rsid w:val="00AD7F64"/>
    <w:rsid w:val="00AE1096"/>
    <w:rsid w:val="00AE2039"/>
    <w:rsid w:val="00AE50A8"/>
    <w:rsid w:val="00AF067F"/>
    <w:rsid w:val="00AF073D"/>
    <w:rsid w:val="00AF4290"/>
    <w:rsid w:val="00AF644A"/>
    <w:rsid w:val="00AF6555"/>
    <w:rsid w:val="00AF68D3"/>
    <w:rsid w:val="00AF7ACE"/>
    <w:rsid w:val="00B00205"/>
    <w:rsid w:val="00B00A4F"/>
    <w:rsid w:val="00B00E20"/>
    <w:rsid w:val="00B0107A"/>
    <w:rsid w:val="00B01AD0"/>
    <w:rsid w:val="00B02673"/>
    <w:rsid w:val="00B04199"/>
    <w:rsid w:val="00B04D97"/>
    <w:rsid w:val="00B05AC1"/>
    <w:rsid w:val="00B06546"/>
    <w:rsid w:val="00B11FD1"/>
    <w:rsid w:val="00B136D6"/>
    <w:rsid w:val="00B13AF1"/>
    <w:rsid w:val="00B1448A"/>
    <w:rsid w:val="00B21010"/>
    <w:rsid w:val="00B21D47"/>
    <w:rsid w:val="00B24905"/>
    <w:rsid w:val="00B24D42"/>
    <w:rsid w:val="00B26014"/>
    <w:rsid w:val="00B26F2C"/>
    <w:rsid w:val="00B2709E"/>
    <w:rsid w:val="00B307C2"/>
    <w:rsid w:val="00B33CEF"/>
    <w:rsid w:val="00B35FDC"/>
    <w:rsid w:val="00B368DA"/>
    <w:rsid w:val="00B36B7C"/>
    <w:rsid w:val="00B42A82"/>
    <w:rsid w:val="00B43892"/>
    <w:rsid w:val="00B468EF"/>
    <w:rsid w:val="00B5017E"/>
    <w:rsid w:val="00B5079C"/>
    <w:rsid w:val="00B508E2"/>
    <w:rsid w:val="00B5628E"/>
    <w:rsid w:val="00B579BB"/>
    <w:rsid w:val="00B57AAB"/>
    <w:rsid w:val="00B57CED"/>
    <w:rsid w:val="00B606D0"/>
    <w:rsid w:val="00B61961"/>
    <w:rsid w:val="00B632B3"/>
    <w:rsid w:val="00B63567"/>
    <w:rsid w:val="00B667BC"/>
    <w:rsid w:val="00B667E7"/>
    <w:rsid w:val="00B7015D"/>
    <w:rsid w:val="00B7136E"/>
    <w:rsid w:val="00B7616E"/>
    <w:rsid w:val="00B807A2"/>
    <w:rsid w:val="00B80C7C"/>
    <w:rsid w:val="00B822A9"/>
    <w:rsid w:val="00B827E1"/>
    <w:rsid w:val="00B82ABC"/>
    <w:rsid w:val="00B83CAC"/>
    <w:rsid w:val="00B84995"/>
    <w:rsid w:val="00B858DA"/>
    <w:rsid w:val="00B85950"/>
    <w:rsid w:val="00B86812"/>
    <w:rsid w:val="00B87A60"/>
    <w:rsid w:val="00B91010"/>
    <w:rsid w:val="00B917E5"/>
    <w:rsid w:val="00B926A5"/>
    <w:rsid w:val="00B9286A"/>
    <w:rsid w:val="00B93470"/>
    <w:rsid w:val="00B9353E"/>
    <w:rsid w:val="00B95BBF"/>
    <w:rsid w:val="00B96036"/>
    <w:rsid w:val="00B96AC8"/>
    <w:rsid w:val="00B97122"/>
    <w:rsid w:val="00BA12CD"/>
    <w:rsid w:val="00BA25B6"/>
    <w:rsid w:val="00BA3920"/>
    <w:rsid w:val="00BA782D"/>
    <w:rsid w:val="00BB1AAC"/>
    <w:rsid w:val="00BB4591"/>
    <w:rsid w:val="00BB4C28"/>
    <w:rsid w:val="00BB5426"/>
    <w:rsid w:val="00BC1B3C"/>
    <w:rsid w:val="00BC2768"/>
    <w:rsid w:val="00BC33C2"/>
    <w:rsid w:val="00BC4F9E"/>
    <w:rsid w:val="00BC647C"/>
    <w:rsid w:val="00BC7539"/>
    <w:rsid w:val="00BC79C1"/>
    <w:rsid w:val="00BD0FCC"/>
    <w:rsid w:val="00BD1088"/>
    <w:rsid w:val="00BD33FC"/>
    <w:rsid w:val="00BD3A7C"/>
    <w:rsid w:val="00BD4961"/>
    <w:rsid w:val="00BD6CCD"/>
    <w:rsid w:val="00BE0387"/>
    <w:rsid w:val="00BE1CD4"/>
    <w:rsid w:val="00BE2D99"/>
    <w:rsid w:val="00BE54D6"/>
    <w:rsid w:val="00BE58B5"/>
    <w:rsid w:val="00BE5CD0"/>
    <w:rsid w:val="00BF1481"/>
    <w:rsid w:val="00BF2610"/>
    <w:rsid w:val="00C001D0"/>
    <w:rsid w:val="00C01040"/>
    <w:rsid w:val="00C02A39"/>
    <w:rsid w:val="00C02D50"/>
    <w:rsid w:val="00C02FE1"/>
    <w:rsid w:val="00C04E3C"/>
    <w:rsid w:val="00C05425"/>
    <w:rsid w:val="00C06568"/>
    <w:rsid w:val="00C069B8"/>
    <w:rsid w:val="00C06E6C"/>
    <w:rsid w:val="00C074EF"/>
    <w:rsid w:val="00C1020B"/>
    <w:rsid w:val="00C10B42"/>
    <w:rsid w:val="00C12720"/>
    <w:rsid w:val="00C15432"/>
    <w:rsid w:val="00C15AC4"/>
    <w:rsid w:val="00C162B2"/>
    <w:rsid w:val="00C21149"/>
    <w:rsid w:val="00C2355D"/>
    <w:rsid w:val="00C2773E"/>
    <w:rsid w:val="00C3128B"/>
    <w:rsid w:val="00C33674"/>
    <w:rsid w:val="00C3385B"/>
    <w:rsid w:val="00C36B12"/>
    <w:rsid w:val="00C41470"/>
    <w:rsid w:val="00C41FF2"/>
    <w:rsid w:val="00C422C2"/>
    <w:rsid w:val="00C54747"/>
    <w:rsid w:val="00C5514E"/>
    <w:rsid w:val="00C56C98"/>
    <w:rsid w:val="00C61690"/>
    <w:rsid w:val="00C6254D"/>
    <w:rsid w:val="00C629B9"/>
    <w:rsid w:val="00C645BC"/>
    <w:rsid w:val="00C646C4"/>
    <w:rsid w:val="00C647CD"/>
    <w:rsid w:val="00C64B43"/>
    <w:rsid w:val="00C6700D"/>
    <w:rsid w:val="00C67BA2"/>
    <w:rsid w:val="00C75935"/>
    <w:rsid w:val="00C76463"/>
    <w:rsid w:val="00C77E67"/>
    <w:rsid w:val="00C813D6"/>
    <w:rsid w:val="00C84EF0"/>
    <w:rsid w:val="00C85696"/>
    <w:rsid w:val="00C8692F"/>
    <w:rsid w:val="00C9002C"/>
    <w:rsid w:val="00C90FF9"/>
    <w:rsid w:val="00C91204"/>
    <w:rsid w:val="00C91553"/>
    <w:rsid w:val="00C922D7"/>
    <w:rsid w:val="00C935C2"/>
    <w:rsid w:val="00C93727"/>
    <w:rsid w:val="00C95BFB"/>
    <w:rsid w:val="00C97A4D"/>
    <w:rsid w:val="00CA1458"/>
    <w:rsid w:val="00CA19F5"/>
    <w:rsid w:val="00CA4AD0"/>
    <w:rsid w:val="00CA57D4"/>
    <w:rsid w:val="00CA6173"/>
    <w:rsid w:val="00CA628D"/>
    <w:rsid w:val="00CA65FF"/>
    <w:rsid w:val="00CB0938"/>
    <w:rsid w:val="00CB220A"/>
    <w:rsid w:val="00CB5234"/>
    <w:rsid w:val="00CC1604"/>
    <w:rsid w:val="00CC2800"/>
    <w:rsid w:val="00CC3420"/>
    <w:rsid w:val="00CC3BC7"/>
    <w:rsid w:val="00CC547C"/>
    <w:rsid w:val="00CC60FF"/>
    <w:rsid w:val="00CC741C"/>
    <w:rsid w:val="00CD5166"/>
    <w:rsid w:val="00CD58C8"/>
    <w:rsid w:val="00CD7760"/>
    <w:rsid w:val="00CE0468"/>
    <w:rsid w:val="00CE05BD"/>
    <w:rsid w:val="00CE123C"/>
    <w:rsid w:val="00CE13DA"/>
    <w:rsid w:val="00CE2620"/>
    <w:rsid w:val="00CE2837"/>
    <w:rsid w:val="00CE3C39"/>
    <w:rsid w:val="00CE75B5"/>
    <w:rsid w:val="00CE7A73"/>
    <w:rsid w:val="00CF0F94"/>
    <w:rsid w:val="00CF2D98"/>
    <w:rsid w:val="00CF436B"/>
    <w:rsid w:val="00CF5AB1"/>
    <w:rsid w:val="00CF73B4"/>
    <w:rsid w:val="00D00395"/>
    <w:rsid w:val="00D00E78"/>
    <w:rsid w:val="00D01738"/>
    <w:rsid w:val="00D04F96"/>
    <w:rsid w:val="00D101B7"/>
    <w:rsid w:val="00D1031C"/>
    <w:rsid w:val="00D112CE"/>
    <w:rsid w:val="00D1279C"/>
    <w:rsid w:val="00D1383A"/>
    <w:rsid w:val="00D22050"/>
    <w:rsid w:val="00D231C6"/>
    <w:rsid w:val="00D23424"/>
    <w:rsid w:val="00D24DA4"/>
    <w:rsid w:val="00D26F28"/>
    <w:rsid w:val="00D30D15"/>
    <w:rsid w:val="00D31977"/>
    <w:rsid w:val="00D32839"/>
    <w:rsid w:val="00D33EE3"/>
    <w:rsid w:val="00D343EC"/>
    <w:rsid w:val="00D3500F"/>
    <w:rsid w:val="00D35260"/>
    <w:rsid w:val="00D36EA4"/>
    <w:rsid w:val="00D40769"/>
    <w:rsid w:val="00D4202F"/>
    <w:rsid w:val="00D43052"/>
    <w:rsid w:val="00D436D4"/>
    <w:rsid w:val="00D44203"/>
    <w:rsid w:val="00D45810"/>
    <w:rsid w:val="00D466D2"/>
    <w:rsid w:val="00D50ABF"/>
    <w:rsid w:val="00D51EBD"/>
    <w:rsid w:val="00D527C1"/>
    <w:rsid w:val="00D532B4"/>
    <w:rsid w:val="00D55ACB"/>
    <w:rsid w:val="00D571E0"/>
    <w:rsid w:val="00D60160"/>
    <w:rsid w:val="00D616E2"/>
    <w:rsid w:val="00D61F8E"/>
    <w:rsid w:val="00D63636"/>
    <w:rsid w:val="00D63CFC"/>
    <w:rsid w:val="00D66147"/>
    <w:rsid w:val="00D66D34"/>
    <w:rsid w:val="00D700D1"/>
    <w:rsid w:val="00D70EA7"/>
    <w:rsid w:val="00D716E4"/>
    <w:rsid w:val="00D73D1A"/>
    <w:rsid w:val="00D7427C"/>
    <w:rsid w:val="00D75694"/>
    <w:rsid w:val="00D75C74"/>
    <w:rsid w:val="00D75E95"/>
    <w:rsid w:val="00D770B0"/>
    <w:rsid w:val="00D858E5"/>
    <w:rsid w:val="00D918FA"/>
    <w:rsid w:val="00D92627"/>
    <w:rsid w:val="00D927DC"/>
    <w:rsid w:val="00DA13C8"/>
    <w:rsid w:val="00DA26EC"/>
    <w:rsid w:val="00DA53C7"/>
    <w:rsid w:val="00DA5809"/>
    <w:rsid w:val="00DA58BF"/>
    <w:rsid w:val="00DA7B48"/>
    <w:rsid w:val="00DA7C18"/>
    <w:rsid w:val="00DB03B7"/>
    <w:rsid w:val="00DB0850"/>
    <w:rsid w:val="00DB2350"/>
    <w:rsid w:val="00DB4551"/>
    <w:rsid w:val="00DB4688"/>
    <w:rsid w:val="00DC1048"/>
    <w:rsid w:val="00DC25F0"/>
    <w:rsid w:val="00DC3E44"/>
    <w:rsid w:val="00DC44CF"/>
    <w:rsid w:val="00DC6DE1"/>
    <w:rsid w:val="00DC711C"/>
    <w:rsid w:val="00DC7AAA"/>
    <w:rsid w:val="00DD01C5"/>
    <w:rsid w:val="00DD23C0"/>
    <w:rsid w:val="00DD24D7"/>
    <w:rsid w:val="00DD4AB3"/>
    <w:rsid w:val="00DD4D5D"/>
    <w:rsid w:val="00DD517E"/>
    <w:rsid w:val="00DE17E2"/>
    <w:rsid w:val="00DE3020"/>
    <w:rsid w:val="00DE4D85"/>
    <w:rsid w:val="00DE67FE"/>
    <w:rsid w:val="00DE6D9A"/>
    <w:rsid w:val="00DE6DD3"/>
    <w:rsid w:val="00DE6FB7"/>
    <w:rsid w:val="00DF18B6"/>
    <w:rsid w:val="00DF317F"/>
    <w:rsid w:val="00DF3C7A"/>
    <w:rsid w:val="00DF42DF"/>
    <w:rsid w:val="00DF4B52"/>
    <w:rsid w:val="00DF57A6"/>
    <w:rsid w:val="00DF70C1"/>
    <w:rsid w:val="00DF71A8"/>
    <w:rsid w:val="00E027B0"/>
    <w:rsid w:val="00E02A24"/>
    <w:rsid w:val="00E0599F"/>
    <w:rsid w:val="00E06484"/>
    <w:rsid w:val="00E06DEC"/>
    <w:rsid w:val="00E0750D"/>
    <w:rsid w:val="00E11403"/>
    <w:rsid w:val="00E11DA9"/>
    <w:rsid w:val="00E1309C"/>
    <w:rsid w:val="00E16303"/>
    <w:rsid w:val="00E16925"/>
    <w:rsid w:val="00E20BB6"/>
    <w:rsid w:val="00E27247"/>
    <w:rsid w:val="00E31CA5"/>
    <w:rsid w:val="00E31D49"/>
    <w:rsid w:val="00E3382E"/>
    <w:rsid w:val="00E348DD"/>
    <w:rsid w:val="00E3492D"/>
    <w:rsid w:val="00E3753A"/>
    <w:rsid w:val="00E37543"/>
    <w:rsid w:val="00E412A7"/>
    <w:rsid w:val="00E4153A"/>
    <w:rsid w:val="00E42E28"/>
    <w:rsid w:val="00E43BF3"/>
    <w:rsid w:val="00E44DE5"/>
    <w:rsid w:val="00E45C4B"/>
    <w:rsid w:val="00E47525"/>
    <w:rsid w:val="00E47720"/>
    <w:rsid w:val="00E47F91"/>
    <w:rsid w:val="00E50D06"/>
    <w:rsid w:val="00E5126C"/>
    <w:rsid w:val="00E526A4"/>
    <w:rsid w:val="00E52D3C"/>
    <w:rsid w:val="00E53B45"/>
    <w:rsid w:val="00E545F1"/>
    <w:rsid w:val="00E54BAD"/>
    <w:rsid w:val="00E551C4"/>
    <w:rsid w:val="00E56B67"/>
    <w:rsid w:val="00E570ED"/>
    <w:rsid w:val="00E60A24"/>
    <w:rsid w:val="00E6202B"/>
    <w:rsid w:val="00E627ED"/>
    <w:rsid w:val="00E63798"/>
    <w:rsid w:val="00E6457C"/>
    <w:rsid w:val="00E6619D"/>
    <w:rsid w:val="00E701B7"/>
    <w:rsid w:val="00E7442E"/>
    <w:rsid w:val="00E756CD"/>
    <w:rsid w:val="00E80EA8"/>
    <w:rsid w:val="00E82188"/>
    <w:rsid w:val="00E825A1"/>
    <w:rsid w:val="00E829E3"/>
    <w:rsid w:val="00E85293"/>
    <w:rsid w:val="00E871CE"/>
    <w:rsid w:val="00E87AC7"/>
    <w:rsid w:val="00E91D50"/>
    <w:rsid w:val="00E9315E"/>
    <w:rsid w:val="00E94F03"/>
    <w:rsid w:val="00E97903"/>
    <w:rsid w:val="00EA145C"/>
    <w:rsid w:val="00EA37FC"/>
    <w:rsid w:val="00EA68DF"/>
    <w:rsid w:val="00EA7845"/>
    <w:rsid w:val="00EB0687"/>
    <w:rsid w:val="00EB0FC5"/>
    <w:rsid w:val="00EB1910"/>
    <w:rsid w:val="00EB317F"/>
    <w:rsid w:val="00EB335D"/>
    <w:rsid w:val="00EB38A7"/>
    <w:rsid w:val="00EB46C3"/>
    <w:rsid w:val="00EB62F2"/>
    <w:rsid w:val="00EC25D0"/>
    <w:rsid w:val="00EC5082"/>
    <w:rsid w:val="00ED100E"/>
    <w:rsid w:val="00ED2C29"/>
    <w:rsid w:val="00ED3624"/>
    <w:rsid w:val="00ED7253"/>
    <w:rsid w:val="00ED7B45"/>
    <w:rsid w:val="00EE02F0"/>
    <w:rsid w:val="00EE2F16"/>
    <w:rsid w:val="00EE68A4"/>
    <w:rsid w:val="00EE6FBD"/>
    <w:rsid w:val="00EE72DB"/>
    <w:rsid w:val="00EE73CD"/>
    <w:rsid w:val="00EF0600"/>
    <w:rsid w:val="00EF1CB1"/>
    <w:rsid w:val="00EF32F5"/>
    <w:rsid w:val="00EF4692"/>
    <w:rsid w:val="00EF5550"/>
    <w:rsid w:val="00EF56F9"/>
    <w:rsid w:val="00F00537"/>
    <w:rsid w:val="00F03418"/>
    <w:rsid w:val="00F04678"/>
    <w:rsid w:val="00F062BF"/>
    <w:rsid w:val="00F06437"/>
    <w:rsid w:val="00F06559"/>
    <w:rsid w:val="00F0775B"/>
    <w:rsid w:val="00F07EED"/>
    <w:rsid w:val="00F10A29"/>
    <w:rsid w:val="00F10ACE"/>
    <w:rsid w:val="00F16658"/>
    <w:rsid w:val="00F16692"/>
    <w:rsid w:val="00F20D0D"/>
    <w:rsid w:val="00F21DB9"/>
    <w:rsid w:val="00F229CE"/>
    <w:rsid w:val="00F23065"/>
    <w:rsid w:val="00F25E21"/>
    <w:rsid w:val="00F26087"/>
    <w:rsid w:val="00F27024"/>
    <w:rsid w:val="00F27173"/>
    <w:rsid w:val="00F3088D"/>
    <w:rsid w:val="00F341FB"/>
    <w:rsid w:val="00F34933"/>
    <w:rsid w:val="00F37AD2"/>
    <w:rsid w:val="00F43CF0"/>
    <w:rsid w:val="00F454D8"/>
    <w:rsid w:val="00F45F14"/>
    <w:rsid w:val="00F4680E"/>
    <w:rsid w:val="00F46EBB"/>
    <w:rsid w:val="00F47088"/>
    <w:rsid w:val="00F4723C"/>
    <w:rsid w:val="00F51B37"/>
    <w:rsid w:val="00F5344E"/>
    <w:rsid w:val="00F541D1"/>
    <w:rsid w:val="00F54627"/>
    <w:rsid w:val="00F54C17"/>
    <w:rsid w:val="00F641E1"/>
    <w:rsid w:val="00F644EA"/>
    <w:rsid w:val="00F6521F"/>
    <w:rsid w:val="00F652E7"/>
    <w:rsid w:val="00F654C6"/>
    <w:rsid w:val="00F674C8"/>
    <w:rsid w:val="00F70176"/>
    <w:rsid w:val="00F70871"/>
    <w:rsid w:val="00F708DC"/>
    <w:rsid w:val="00F73186"/>
    <w:rsid w:val="00F74B8C"/>
    <w:rsid w:val="00F75C84"/>
    <w:rsid w:val="00F75EDB"/>
    <w:rsid w:val="00F762E5"/>
    <w:rsid w:val="00F76491"/>
    <w:rsid w:val="00F80BED"/>
    <w:rsid w:val="00F8230E"/>
    <w:rsid w:val="00F84C6C"/>
    <w:rsid w:val="00F84D0A"/>
    <w:rsid w:val="00F8628C"/>
    <w:rsid w:val="00F930A8"/>
    <w:rsid w:val="00FA3B81"/>
    <w:rsid w:val="00FA5DE4"/>
    <w:rsid w:val="00FA5E7B"/>
    <w:rsid w:val="00FA7384"/>
    <w:rsid w:val="00FB2C2F"/>
    <w:rsid w:val="00FB5F5C"/>
    <w:rsid w:val="00FB6AF8"/>
    <w:rsid w:val="00FC0D3E"/>
    <w:rsid w:val="00FC319F"/>
    <w:rsid w:val="00FC3884"/>
    <w:rsid w:val="00FC4DC9"/>
    <w:rsid w:val="00FC4F6B"/>
    <w:rsid w:val="00FC60BC"/>
    <w:rsid w:val="00FD36A3"/>
    <w:rsid w:val="00FD4333"/>
    <w:rsid w:val="00FD46E0"/>
    <w:rsid w:val="00FD61B9"/>
    <w:rsid w:val="00FD7FF0"/>
    <w:rsid w:val="00FE16D2"/>
    <w:rsid w:val="00FE1AFF"/>
    <w:rsid w:val="00FE2ED3"/>
    <w:rsid w:val="00FE4F72"/>
    <w:rsid w:val="00FE500D"/>
    <w:rsid w:val="00FE52A7"/>
    <w:rsid w:val="00FE56B8"/>
    <w:rsid w:val="00FE65DB"/>
    <w:rsid w:val="00FE66F6"/>
    <w:rsid w:val="00FE6FD3"/>
    <w:rsid w:val="00FF0C96"/>
    <w:rsid w:val="00FF2904"/>
    <w:rsid w:val="00FF58D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4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4651"/>
  </w:style>
  <w:style w:type="paragraph" w:styleId="Piedepgina">
    <w:name w:val="footer"/>
    <w:basedOn w:val="Normal"/>
    <w:link w:val="PiedepginaCar"/>
    <w:uiPriority w:val="99"/>
    <w:unhideWhenUsed/>
    <w:rsid w:val="007D4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4651"/>
  </w:style>
  <w:style w:type="paragraph" w:styleId="Sinespaciado">
    <w:name w:val="No Spacing"/>
    <w:link w:val="SinespaciadoCar"/>
    <w:uiPriority w:val="1"/>
    <w:qFormat/>
    <w:rsid w:val="007D4651"/>
    <w:pPr>
      <w:spacing w:after="0" w:line="240" w:lineRule="auto"/>
    </w:pPr>
  </w:style>
  <w:style w:type="character" w:customStyle="1" w:styleId="SinespaciadoCar">
    <w:name w:val="Sin espaciado Car"/>
    <w:basedOn w:val="Fuentedeprrafopredeter"/>
    <w:link w:val="Sinespaciado"/>
    <w:uiPriority w:val="1"/>
    <w:locked/>
    <w:rsid w:val="007D4651"/>
  </w:style>
  <w:style w:type="paragraph" w:styleId="Textonotapie">
    <w:name w:val="footnote text"/>
    <w:aliases w:val="Texto nota pie Car Car Car Car Car Car,Texto nota pie Car Car Car Car Car Car Car,Texto nota pie Car Car Car Car Car Car Ca"/>
    <w:basedOn w:val="Normal"/>
    <w:link w:val="TextonotapieCar"/>
    <w:uiPriority w:val="99"/>
    <w:unhideWhenUsed/>
    <w:rsid w:val="00FA3B81"/>
    <w:pPr>
      <w:spacing w:after="0" w:line="240" w:lineRule="auto"/>
    </w:pPr>
    <w:rPr>
      <w:sz w:val="20"/>
      <w:szCs w:val="20"/>
    </w:rPr>
  </w:style>
  <w:style w:type="character" w:customStyle="1" w:styleId="TextonotapieCar">
    <w:name w:val="Texto nota pie Car"/>
    <w:aliases w:val="Texto nota pie Car Car Car Car Car Car Car1,Texto nota pie Car Car Car Car Car Car Car Car,Texto nota pie Car Car Car Car Car Car Ca Car"/>
    <w:basedOn w:val="Fuentedeprrafopredeter"/>
    <w:link w:val="Textonotapie"/>
    <w:uiPriority w:val="99"/>
    <w:rsid w:val="00FA3B81"/>
    <w:rPr>
      <w:sz w:val="20"/>
      <w:szCs w:val="20"/>
    </w:rPr>
  </w:style>
  <w:style w:type="character" w:styleId="Refdenotaalpie">
    <w:name w:val="footnote reference"/>
    <w:basedOn w:val="Fuentedeprrafopredeter"/>
    <w:uiPriority w:val="99"/>
    <w:semiHidden/>
    <w:unhideWhenUsed/>
    <w:rsid w:val="00FA3B81"/>
    <w:rPr>
      <w:vertAlign w:val="superscript"/>
    </w:rPr>
  </w:style>
  <w:style w:type="table" w:styleId="Tablaconcuadrcula">
    <w:name w:val="Table Grid"/>
    <w:basedOn w:val="Tablanormal"/>
    <w:uiPriority w:val="59"/>
    <w:rsid w:val="00FA3B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DD01C5"/>
    <w:pPr>
      <w:spacing w:after="0" w:line="240" w:lineRule="auto"/>
      <w:ind w:left="720"/>
      <w:contextualSpacing/>
    </w:pPr>
  </w:style>
  <w:style w:type="paragraph" w:styleId="NormalWeb">
    <w:name w:val="Normal (Web)"/>
    <w:basedOn w:val="Normal"/>
    <w:uiPriority w:val="99"/>
    <w:semiHidden/>
    <w:unhideWhenUsed/>
    <w:rsid w:val="00213C92"/>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customStyle="1" w:styleId="Default">
    <w:name w:val="Default"/>
    <w:rsid w:val="00EB317F"/>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AF42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4290"/>
    <w:rPr>
      <w:rFonts w:ascii="Tahoma" w:hAnsi="Tahoma" w:cs="Tahoma"/>
      <w:sz w:val="16"/>
      <w:szCs w:val="16"/>
    </w:rPr>
  </w:style>
  <w:style w:type="paragraph" w:customStyle="1" w:styleId="Normal1">
    <w:name w:val="Normal1"/>
    <w:basedOn w:val="Normal"/>
    <w:rsid w:val="00F541D1"/>
    <w:pPr>
      <w:spacing w:after="0" w:line="240" w:lineRule="auto"/>
    </w:pPr>
    <w:rPr>
      <w:rFonts w:ascii="Times New Roman" w:eastAsia="Times New Roman" w:hAnsi="Times New Roman" w:cs="Times New Roman"/>
      <w:sz w:val="24"/>
      <w:szCs w:val="20"/>
      <w:lang w:val="en-US"/>
    </w:rPr>
  </w:style>
  <w:style w:type="character" w:styleId="Refdecomentario">
    <w:name w:val="annotation reference"/>
    <w:basedOn w:val="Fuentedeprrafopredeter"/>
    <w:uiPriority w:val="99"/>
    <w:semiHidden/>
    <w:unhideWhenUsed/>
    <w:rsid w:val="00DE6FB7"/>
    <w:rPr>
      <w:sz w:val="16"/>
      <w:szCs w:val="16"/>
    </w:rPr>
  </w:style>
  <w:style w:type="paragraph" w:styleId="Textocomentario">
    <w:name w:val="annotation text"/>
    <w:basedOn w:val="Normal"/>
    <w:link w:val="TextocomentarioCar"/>
    <w:uiPriority w:val="99"/>
    <w:semiHidden/>
    <w:unhideWhenUsed/>
    <w:rsid w:val="00DE6FB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E6FB7"/>
    <w:rPr>
      <w:sz w:val="20"/>
      <w:szCs w:val="20"/>
    </w:rPr>
  </w:style>
  <w:style w:type="paragraph" w:styleId="Asuntodelcomentario">
    <w:name w:val="annotation subject"/>
    <w:basedOn w:val="Textocomentario"/>
    <w:next w:val="Textocomentario"/>
    <w:link w:val="AsuntodelcomentarioCar"/>
    <w:uiPriority w:val="99"/>
    <w:semiHidden/>
    <w:unhideWhenUsed/>
    <w:rsid w:val="00DE6FB7"/>
    <w:rPr>
      <w:b/>
      <w:bCs/>
    </w:rPr>
  </w:style>
  <w:style w:type="character" w:customStyle="1" w:styleId="AsuntodelcomentarioCar">
    <w:name w:val="Asunto del comentario Car"/>
    <w:basedOn w:val="TextocomentarioCar"/>
    <w:link w:val="Asuntodelcomentario"/>
    <w:uiPriority w:val="99"/>
    <w:semiHidden/>
    <w:rsid w:val="00DE6FB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4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4651"/>
  </w:style>
  <w:style w:type="paragraph" w:styleId="Piedepgina">
    <w:name w:val="footer"/>
    <w:basedOn w:val="Normal"/>
    <w:link w:val="PiedepginaCar"/>
    <w:uiPriority w:val="99"/>
    <w:unhideWhenUsed/>
    <w:rsid w:val="007D4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4651"/>
  </w:style>
  <w:style w:type="paragraph" w:styleId="Sinespaciado">
    <w:name w:val="No Spacing"/>
    <w:link w:val="SinespaciadoCar"/>
    <w:uiPriority w:val="1"/>
    <w:qFormat/>
    <w:rsid w:val="007D4651"/>
    <w:pPr>
      <w:spacing w:after="0" w:line="240" w:lineRule="auto"/>
    </w:pPr>
  </w:style>
  <w:style w:type="character" w:customStyle="1" w:styleId="SinespaciadoCar">
    <w:name w:val="Sin espaciado Car"/>
    <w:basedOn w:val="Fuentedeprrafopredeter"/>
    <w:link w:val="Sinespaciado"/>
    <w:uiPriority w:val="1"/>
    <w:locked/>
    <w:rsid w:val="007D4651"/>
  </w:style>
  <w:style w:type="paragraph" w:styleId="Textonotapie">
    <w:name w:val="footnote text"/>
    <w:aliases w:val="Texto nota pie Car Car Car Car Car Car,Texto nota pie Car Car Car Car Car Car Car,Texto nota pie Car Car Car Car Car Car Ca"/>
    <w:basedOn w:val="Normal"/>
    <w:link w:val="TextonotapieCar"/>
    <w:uiPriority w:val="99"/>
    <w:unhideWhenUsed/>
    <w:rsid w:val="00FA3B81"/>
    <w:pPr>
      <w:spacing w:after="0" w:line="240" w:lineRule="auto"/>
    </w:pPr>
    <w:rPr>
      <w:sz w:val="20"/>
      <w:szCs w:val="20"/>
    </w:rPr>
  </w:style>
  <w:style w:type="character" w:customStyle="1" w:styleId="TextonotapieCar">
    <w:name w:val="Texto nota pie Car"/>
    <w:aliases w:val="Texto nota pie Car Car Car Car Car Car Car1,Texto nota pie Car Car Car Car Car Car Car Car,Texto nota pie Car Car Car Car Car Car Ca Car"/>
    <w:basedOn w:val="Fuentedeprrafopredeter"/>
    <w:link w:val="Textonotapie"/>
    <w:uiPriority w:val="99"/>
    <w:rsid w:val="00FA3B81"/>
    <w:rPr>
      <w:sz w:val="20"/>
      <w:szCs w:val="20"/>
    </w:rPr>
  </w:style>
  <w:style w:type="character" w:styleId="Refdenotaalpie">
    <w:name w:val="footnote reference"/>
    <w:basedOn w:val="Fuentedeprrafopredeter"/>
    <w:uiPriority w:val="99"/>
    <w:semiHidden/>
    <w:unhideWhenUsed/>
    <w:rsid w:val="00FA3B81"/>
    <w:rPr>
      <w:vertAlign w:val="superscript"/>
    </w:rPr>
  </w:style>
  <w:style w:type="table" w:styleId="Tablaconcuadrcula">
    <w:name w:val="Table Grid"/>
    <w:basedOn w:val="Tablanormal"/>
    <w:uiPriority w:val="59"/>
    <w:rsid w:val="00FA3B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DD01C5"/>
    <w:pPr>
      <w:spacing w:after="0" w:line="240" w:lineRule="auto"/>
      <w:ind w:left="720"/>
      <w:contextualSpacing/>
    </w:pPr>
  </w:style>
  <w:style w:type="paragraph" w:styleId="NormalWeb">
    <w:name w:val="Normal (Web)"/>
    <w:basedOn w:val="Normal"/>
    <w:uiPriority w:val="99"/>
    <w:semiHidden/>
    <w:unhideWhenUsed/>
    <w:rsid w:val="00213C92"/>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customStyle="1" w:styleId="Default">
    <w:name w:val="Default"/>
    <w:rsid w:val="00EB317F"/>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AF42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4290"/>
    <w:rPr>
      <w:rFonts w:ascii="Tahoma" w:hAnsi="Tahoma" w:cs="Tahoma"/>
      <w:sz w:val="16"/>
      <w:szCs w:val="16"/>
    </w:rPr>
  </w:style>
  <w:style w:type="paragraph" w:customStyle="1" w:styleId="Normal1">
    <w:name w:val="Normal1"/>
    <w:basedOn w:val="Normal"/>
    <w:rsid w:val="00F541D1"/>
    <w:pPr>
      <w:spacing w:after="0" w:line="240" w:lineRule="auto"/>
    </w:pPr>
    <w:rPr>
      <w:rFonts w:ascii="Times New Roman" w:eastAsia="Times New Roman" w:hAnsi="Times New Roman" w:cs="Times New Roman"/>
      <w:sz w:val="24"/>
      <w:szCs w:val="20"/>
      <w:lang w:val="en-US"/>
    </w:rPr>
  </w:style>
  <w:style w:type="character" w:styleId="Refdecomentario">
    <w:name w:val="annotation reference"/>
    <w:basedOn w:val="Fuentedeprrafopredeter"/>
    <w:uiPriority w:val="99"/>
    <w:semiHidden/>
    <w:unhideWhenUsed/>
    <w:rsid w:val="00DE6FB7"/>
    <w:rPr>
      <w:sz w:val="16"/>
      <w:szCs w:val="16"/>
    </w:rPr>
  </w:style>
  <w:style w:type="paragraph" w:styleId="Textocomentario">
    <w:name w:val="annotation text"/>
    <w:basedOn w:val="Normal"/>
    <w:link w:val="TextocomentarioCar"/>
    <w:uiPriority w:val="99"/>
    <w:semiHidden/>
    <w:unhideWhenUsed/>
    <w:rsid w:val="00DE6FB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E6FB7"/>
    <w:rPr>
      <w:sz w:val="20"/>
      <w:szCs w:val="20"/>
    </w:rPr>
  </w:style>
  <w:style w:type="paragraph" w:styleId="Asuntodelcomentario">
    <w:name w:val="annotation subject"/>
    <w:basedOn w:val="Textocomentario"/>
    <w:next w:val="Textocomentario"/>
    <w:link w:val="AsuntodelcomentarioCar"/>
    <w:uiPriority w:val="99"/>
    <w:semiHidden/>
    <w:unhideWhenUsed/>
    <w:rsid w:val="00DE6FB7"/>
    <w:rPr>
      <w:b/>
      <w:bCs/>
    </w:rPr>
  </w:style>
  <w:style w:type="character" w:customStyle="1" w:styleId="AsuntodelcomentarioCar">
    <w:name w:val="Asunto del comentario Car"/>
    <w:basedOn w:val="TextocomentarioCar"/>
    <w:link w:val="Asuntodelcomentario"/>
    <w:uiPriority w:val="99"/>
    <w:semiHidden/>
    <w:rsid w:val="00DE6F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21564">
      <w:bodyDiv w:val="1"/>
      <w:marLeft w:val="0"/>
      <w:marRight w:val="0"/>
      <w:marTop w:val="0"/>
      <w:marBottom w:val="0"/>
      <w:divBdr>
        <w:top w:val="none" w:sz="0" w:space="0" w:color="auto"/>
        <w:left w:val="none" w:sz="0" w:space="0" w:color="auto"/>
        <w:bottom w:val="none" w:sz="0" w:space="0" w:color="auto"/>
        <w:right w:val="none" w:sz="0" w:space="0" w:color="auto"/>
      </w:divBdr>
    </w:div>
    <w:div w:id="344751936">
      <w:bodyDiv w:val="1"/>
      <w:marLeft w:val="0"/>
      <w:marRight w:val="0"/>
      <w:marTop w:val="0"/>
      <w:marBottom w:val="0"/>
      <w:divBdr>
        <w:top w:val="none" w:sz="0" w:space="0" w:color="auto"/>
        <w:left w:val="none" w:sz="0" w:space="0" w:color="auto"/>
        <w:bottom w:val="none" w:sz="0" w:space="0" w:color="auto"/>
        <w:right w:val="none" w:sz="0" w:space="0" w:color="auto"/>
      </w:divBdr>
    </w:div>
    <w:div w:id="454951055">
      <w:bodyDiv w:val="1"/>
      <w:marLeft w:val="0"/>
      <w:marRight w:val="0"/>
      <w:marTop w:val="0"/>
      <w:marBottom w:val="0"/>
      <w:divBdr>
        <w:top w:val="none" w:sz="0" w:space="0" w:color="auto"/>
        <w:left w:val="none" w:sz="0" w:space="0" w:color="auto"/>
        <w:bottom w:val="none" w:sz="0" w:space="0" w:color="auto"/>
        <w:right w:val="none" w:sz="0" w:space="0" w:color="auto"/>
      </w:divBdr>
    </w:div>
    <w:div w:id="517159523">
      <w:bodyDiv w:val="1"/>
      <w:marLeft w:val="0"/>
      <w:marRight w:val="0"/>
      <w:marTop w:val="0"/>
      <w:marBottom w:val="0"/>
      <w:divBdr>
        <w:top w:val="none" w:sz="0" w:space="0" w:color="auto"/>
        <w:left w:val="none" w:sz="0" w:space="0" w:color="auto"/>
        <w:bottom w:val="none" w:sz="0" w:space="0" w:color="auto"/>
        <w:right w:val="none" w:sz="0" w:space="0" w:color="auto"/>
      </w:divBdr>
    </w:div>
    <w:div w:id="528221259">
      <w:bodyDiv w:val="1"/>
      <w:marLeft w:val="0"/>
      <w:marRight w:val="0"/>
      <w:marTop w:val="0"/>
      <w:marBottom w:val="0"/>
      <w:divBdr>
        <w:top w:val="none" w:sz="0" w:space="0" w:color="auto"/>
        <w:left w:val="none" w:sz="0" w:space="0" w:color="auto"/>
        <w:bottom w:val="none" w:sz="0" w:space="0" w:color="auto"/>
        <w:right w:val="none" w:sz="0" w:space="0" w:color="auto"/>
      </w:divBdr>
    </w:div>
    <w:div w:id="536358022">
      <w:bodyDiv w:val="1"/>
      <w:marLeft w:val="0"/>
      <w:marRight w:val="0"/>
      <w:marTop w:val="0"/>
      <w:marBottom w:val="0"/>
      <w:divBdr>
        <w:top w:val="none" w:sz="0" w:space="0" w:color="auto"/>
        <w:left w:val="none" w:sz="0" w:space="0" w:color="auto"/>
        <w:bottom w:val="none" w:sz="0" w:space="0" w:color="auto"/>
        <w:right w:val="none" w:sz="0" w:space="0" w:color="auto"/>
      </w:divBdr>
    </w:div>
    <w:div w:id="782306113">
      <w:bodyDiv w:val="1"/>
      <w:marLeft w:val="0"/>
      <w:marRight w:val="0"/>
      <w:marTop w:val="0"/>
      <w:marBottom w:val="0"/>
      <w:divBdr>
        <w:top w:val="none" w:sz="0" w:space="0" w:color="auto"/>
        <w:left w:val="none" w:sz="0" w:space="0" w:color="auto"/>
        <w:bottom w:val="none" w:sz="0" w:space="0" w:color="auto"/>
        <w:right w:val="none" w:sz="0" w:space="0" w:color="auto"/>
      </w:divBdr>
    </w:div>
    <w:div w:id="801312384">
      <w:bodyDiv w:val="1"/>
      <w:marLeft w:val="0"/>
      <w:marRight w:val="0"/>
      <w:marTop w:val="0"/>
      <w:marBottom w:val="0"/>
      <w:divBdr>
        <w:top w:val="none" w:sz="0" w:space="0" w:color="auto"/>
        <w:left w:val="none" w:sz="0" w:space="0" w:color="auto"/>
        <w:bottom w:val="none" w:sz="0" w:space="0" w:color="auto"/>
        <w:right w:val="none" w:sz="0" w:space="0" w:color="auto"/>
      </w:divBdr>
    </w:div>
    <w:div w:id="1090859446">
      <w:bodyDiv w:val="1"/>
      <w:marLeft w:val="0"/>
      <w:marRight w:val="0"/>
      <w:marTop w:val="0"/>
      <w:marBottom w:val="0"/>
      <w:divBdr>
        <w:top w:val="none" w:sz="0" w:space="0" w:color="auto"/>
        <w:left w:val="none" w:sz="0" w:space="0" w:color="auto"/>
        <w:bottom w:val="none" w:sz="0" w:space="0" w:color="auto"/>
        <w:right w:val="none" w:sz="0" w:space="0" w:color="auto"/>
      </w:divBdr>
    </w:div>
    <w:div w:id="1241788255">
      <w:bodyDiv w:val="1"/>
      <w:marLeft w:val="0"/>
      <w:marRight w:val="0"/>
      <w:marTop w:val="0"/>
      <w:marBottom w:val="0"/>
      <w:divBdr>
        <w:top w:val="none" w:sz="0" w:space="0" w:color="auto"/>
        <w:left w:val="none" w:sz="0" w:space="0" w:color="auto"/>
        <w:bottom w:val="none" w:sz="0" w:space="0" w:color="auto"/>
        <w:right w:val="none" w:sz="0" w:space="0" w:color="auto"/>
      </w:divBdr>
    </w:div>
    <w:div w:id="1499081137">
      <w:bodyDiv w:val="1"/>
      <w:marLeft w:val="0"/>
      <w:marRight w:val="0"/>
      <w:marTop w:val="0"/>
      <w:marBottom w:val="0"/>
      <w:divBdr>
        <w:top w:val="none" w:sz="0" w:space="0" w:color="auto"/>
        <w:left w:val="none" w:sz="0" w:space="0" w:color="auto"/>
        <w:bottom w:val="none" w:sz="0" w:space="0" w:color="auto"/>
        <w:right w:val="none" w:sz="0" w:space="0" w:color="auto"/>
      </w:divBdr>
    </w:div>
    <w:div w:id="1562714576">
      <w:bodyDiv w:val="1"/>
      <w:marLeft w:val="0"/>
      <w:marRight w:val="0"/>
      <w:marTop w:val="0"/>
      <w:marBottom w:val="0"/>
      <w:divBdr>
        <w:top w:val="none" w:sz="0" w:space="0" w:color="auto"/>
        <w:left w:val="none" w:sz="0" w:space="0" w:color="auto"/>
        <w:bottom w:val="none" w:sz="0" w:space="0" w:color="auto"/>
        <w:right w:val="none" w:sz="0" w:space="0" w:color="auto"/>
      </w:divBdr>
      <w:divsChild>
        <w:div w:id="330841121">
          <w:marLeft w:val="150"/>
          <w:marRight w:val="0"/>
          <w:marTop w:val="90"/>
          <w:marBottom w:val="0"/>
          <w:divBdr>
            <w:top w:val="none" w:sz="0" w:space="0" w:color="auto"/>
            <w:left w:val="none" w:sz="0" w:space="0" w:color="auto"/>
            <w:bottom w:val="none" w:sz="0" w:space="0" w:color="auto"/>
            <w:right w:val="none" w:sz="0" w:space="0" w:color="auto"/>
          </w:divBdr>
        </w:div>
        <w:div w:id="1742369145">
          <w:marLeft w:val="0"/>
          <w:marRight w:val="0"/>
          <w:marTop w:val="0"/>
          <w:marBottom w:val="0"/>
          <w:divBdr>
            <w:top w:val="none" w:sz="0" w:space="0" w:color="auto"/>
            <w:left w:val="none" w:sz="0" w:space="0" w:color="auto"/>
            <w:bottom w:val="none" w:sz="0" w:space="0" w:color="auto"/>
            <w:right w:val="none" w:sz="0" w:space="0" w:color="auto"/>
          </w:divBdr>
        </w:div>
      </w:divsChild>
    </w:div>
    <w:div w:id="1790584602">
      <w:bodyDiv w:val="1"/>
      <w:marLeft w:val="0"/>
      <w:marRight w:val="0"/>
      <w:marTop w:val="0"/>
      <w:marBottom w:val="0"/>
      <w:divBdr>
        <w:top w:val="none" w:sz="0" w:space="0" w:color="auto"/>
        <w:left w:val="none" w:sz="0" w:space="0" w:color="auto"/>
        <w:bottom w:val="none" w:sz="0" w:space="0" w:color="auto"/>
        <w:right w:val="none" w:sz="0" w:space="0" w:color="auto"/>
      </w:divBdr>
    </w:div>
    <w:div w:id="1938250269">
      <w:bodyDiv w:val="1"/>
      <w:marLeft w:val="0"/>
      <w:marRight w:val="0"/>
      <w:marTop w:val="0"/>
      <w:marBottom w:val="0"/>
      <w:divBdr>
        <w:top w:val="none" w:sz="0" w:space="0" w:color="auto"/>
        <w:left w:val="none" w:sz="0" w:space="0" w:color="auto"/>
        <w:bottom w:val="none" w:sz="0" w:space="0" w:color="auto"/>
        <w:right w:val="none" w:sz="0" w:space="0" w:color="auto"/>
      </w:divBdr>
    </w:div>
    <w:div w:id="1989505390">
      <w:bodyDiv w:val="1"/>
      <w:marLeft w:val="0"/>
      <w:marRight w:val="0"/>
      <w:marTop w:val="0"/>
      <w:marBottom w:val="0"/>
      <w:divBdr>
        <w:top w:val="none" w:sz="0" w:space="0" w:color="auto"/>
        <w:left w:val="none" w:sz="0" w:space="0" w:color="auto"/>
        <w:bottom w:val="none" w:sz="0" w:space="0" w:color="auto"/>
        <w:right w:val="none" w:sz="0" w:space="0" w:color="auto"/>
      </w:divBdr>
    </w:div>
    <w:div w:id="2047025171">
      <w:bodyDiv w:val="1"/>
      <w:marLeft w:val="0"/>
      <w:marRight w:val="0"/>
      <w:marTop w:val="0"/>
      <w:marBottom w:val="0"/>
      <w:divBdr>
        <w:top w:val="none" w:sz="0" w:space="0" w:color="auto"/>
        <w:left w:val="none" w:sz="0" w:space="0" w:color="auto"/>
        <w:bottom w:val="none" w:sz="0" w:space="0" w:color="auto"/>
        <w:right w:val="none" w:sz="0" w:space="0" w:color="auto"/>
      </w:divBdr>
    </w:div>
    <w:div w:id="207234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chart" Target="charts/chart8.xml"/><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chart" Target="charts/chart11.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chart" Target="charts/chart7.xml"/><Relationship Id="rId33" Type="http://schemas.openxmlformats.org/officeDocument/2006/relationships/chart" Target="charts/chart10.xml"/><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4.xml"/><Relationship Id="rId29" Type="http://schemas.openxmlformats.org/officeDocument/2006/relationships/footer" Target="footer6.xml"/><Relationship Id="rId41"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6.xml"/><Relationship Id="rId32" Type="http://schemas.openxmlformats.org/officeDocument/2006/relationships/footer" Target="footer7.xml"/><Relationship Id="rId37" Type="http://schemas.openxmlformats.org/officeDocument/2006/relationships/header" Target="header9.xml"/><Relationship Id="rId40"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5.xml"/><Relationship Id="rId28" Type="http://schemas.openxmlformats.org/officeDocument/2006/relationships/header" Target="header6.xml"/><Relationship Id="rId36" Type="http://schemas.openxmlformats.org/officeDocument/2006/relationships/footer" Target="footer8.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3.emf"/><Relationship Id="rId30" Type="http://schemas.openxmlformats.org/officeDocument/2006/relationships/chart" Target="charts/chart9.xml"/><Relationship Id="rId35" Type="http://schemas.openxmlformats.org/officeDocument/2006/relationships/header" Target="header8.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seargueta\Desktop\Informes%202021\Sitfin\Septiembre\Sitfin%20al%20300921%20(181021).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9.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04712414212641"/>
          <c:y val="4.8404840484048403E-2"/>
          <c:w val="0.87601381165765591"/>
          <c:h val="0.86199457741049701"/>
        </c:manualLayout>
      </c:layout>
      <c:barChart>
        <c:barDir val="col"/>
        <c:grouping val="clustered"/>
        <c:varyColors val="0"/>
        <c:ser>
          <c:idx val="0"/>
          <c:order val="0"/>
          <c:tx>
            <c:strRef>
              <c:f>'Reporte Diario'!$L$62</c:f>
              <c:strCache>
                <c:ptCount val="1"/>
                <c:pt idx="0">
                  <c:v>Déficit</c:v>
                </c:pt>
              </c:strCache>
            </c:strRef>
          </c:tx>
          <c:spPr>
            <a:solidFill>
              <a:schemeClr val="accent1">
                <a:lumMod val="50000"/>
              </a:schemeClr>
            </a:solidFill>
            <a:ln>
              <a:noFill/>
            </a:ln>
            <a:effectLst/>
            <a:scene3d>
              <a:camera prst="orthographicFront"/>
              <a:lightRig rig="threePt" dir="t"/>
            </a:scene3d>
            <a:sp3d>
              <a:bevelT w="165100" prst="coolSlant"/>
            </a:sp3d>
          </c:spPr>
          <c:invertIfNegative val="0"/>
          <c:dPt>
            <c:idx val="3"/>
            <c:invertIfNegative val="0"/>
            <c:bubble3D val="0"/>
            <c:spPr>
              <a:solidFill>
                <a:srgbClr val="C00000"/>
              </a:solidFill>
              <a:ln>
                <a:noFill/>
              </a:ln>
              <a:effectLst/>
              <a:scene3d>
                <a:camera prst="orthographicFront"/>
                <a:lightRig rig="threePt" dir="t"/>
              </a:scene3d>
              <a:sp3d>
                <a:bevelT w="165100" prst="coolSlant"/>
              </a:sp3d>
            </c:spPr>
            <c:extLst xmlns:c16r2="http://schemas.microsoft.com/office/drawing/2015/06/chart">
              <c:ext xmlns:c16="http://schemas.microsoft.com/office/drawing/2014/chart" uri="{C3380CC4-5D6E-409C-BE32-E72D297353CC}">
                <c16:uniqueId val="{00000001-B4BA-4804-B360-CC06BE312C5F}"/>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'Reporte Diario'!$M$61:$P$61</c:f>
              <c:numCache>
                <c:formatCode>General</c:formatCode>
                <c:ptCount val="4"/>
                <c:pt idx="0">
                  <c:v>2018</c:v>
                </c:pt>
                <c:pt idx="1">
                  <c:v>2019</c:v>
                </c:pt>
                <c:pt idx="2">
                  <c:v>2020</c:v>
                </c:pt>
                <c:pt idx="3">
                  <c:v>2021</c:v>
                </c:pt>
              </c:numCache>
            </c:numRef>
          </c:cat>
          <c:val>
            <c:numRef>
              <c:f>'Reporte Diario'!$M$62:$P$62</c:f>
              <c:numCache>
                <c:formatCode>_-* #,##0.0_-;\-* #,##0.0_-;_-* "-"??_-;_-@_-</c:formatCode>
                <c:ptCount val="4"/>
                <c:pt idx="0">
                  <c:v>-3730.3901698200007</c:v>
                </c:pt>
                <c:pt idx="1">
                  <c:v>-7887.1024730199988</c:v>
                </c:pt>
                <c:pt idx="2">
                  <c:v>-19428.427970539997</c:v>
                </c:pt>
                <c:pt idx="3">
                  <c:v>-3643.4576299399996</c:v>
                </c:pt>
              </c:numCache>
            </c:numRef>
          </c:val>
          <c:extLst xmlns:c16r2="http://schemas.microsoft.com/office/drawing/2015/06/chart">
            <c:ext xmlns:c16="http://schemas.microsoft.com/office/drawing/2014/chart" uri="{C3380CC4-5D6E-409C-BE32-E72D297353CC}">
              <c16:uniqueId val="{00000002-B4BA-4804-B360-CC06BE312C5F}"/>
            </c:ext>
          </c:extLst>
        </c:ser>
        <c:dLbls>
          <c:showLegendKey val="0"/>
          <c:showVal val="0"/>
          <c:showCatName val="0"/>
          <c:showSerName val="0"/>
          <c:showPercent val="0"/>
          <c:showBubbleSize val="0"/>
        </c:dLbls>
        <c:gapWidth val="63"/>
        <c:overlap val="-27"/>
        <c:axId val="161688960"/>
        <c:axId val="161727616"/>
      </c:barChart>
      <c:catAx>
        <c:axId val="1616889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61727616"/>
        <c:crosses val="autoZero"/>
        <c:auto val="1"/>
        <c:lblAlgn val="ctr"/>
        <c:lblOffset val="100"/>
        <c:noMultiLvlLbl val="0"/>
      </c:catAx>
      <c:valAx>
        <c:axId val="161727616"/>
        <c:scaling>
          <c:orientation val="minMax"/>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616889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88843047973636"/>
          <c:y val="1.9759260690094382E-2"/>
          <c:w val="0.87155221493945989"/>
          <c:h val="0.88952215049835981"/>
        </c:manualLayout>
      </c:layout>
      <c:barChart>
        <c:barDir val="col"/>
        <c:grouping val="clustered"/>
        <c:varyColors val="0"/>
        <c:ser>
          <c:idx val="1"/>
          <c:order val="0"/>
          <c:tx>
            <c:strRef>
              <c:f>Sheet1!$B$1</c:f>
              <c:strCache>
                <c:ptCount val="1"/>
                <c:pt idx="0">
                  <c:v>Ejecución</c:v>
                </c:pt>
              </c:strCache>
            </c:strRef>
          </c:tx>
          <c:spPr>
            <a:solidFill>
              <a:schemeClr val="accent3"/>
            </a:solidFill>
            <a:ln>
              <a:noFill/>
            </a:ln>
            <a:effectLst/>
            <a:scene3d>
              <a:camera prst="orthographicFront"/>
              <a:lightRig rig="threePt" dir="t"/>
            </a:scene3d>
            <a:sp3d>
              <a:bevelT w="165100" prst="coolSlant"/>
            </a:sp3d>
          </c:spPr>
          <c:invertIfNegative val="0"/>
          <c:dLbls>
            <c:dLbl>
              <c:idx val="2"/>
              <c:layout>
                <c:manualLayout>
                  <c:x val="4.2598509052182388E-3"/>
                  <c:y val="7.183139269753443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9E7-41E8-8C54-9AADF3A4B7A9}"/>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Sheet1!$A$2:$A$10</c:f>
              <c:strCache>
                <c:ptCount val="9"/>
                <c:pt idx="0">
                  <c:v>Enero</c:v>
                </c:pt>
                <c:pt idx="1">
                  <c:v>Febrero</c:v>
                </c:pt>
                <c:pt idx="2">
                  <c:v>Marzo</c:v>
                </c:pt>
                <c:pt idx="3">
                  <c:v>Abril </c:v>
                </c:pt>
                <c:pt idx="4">
                  <c:v>Mayo</c:v>
                </c:pt>
                <c:pt idx="5">
                  <c:v>Junio</c:v>
                </c:pt>
                <c:pt idx="6">
                  <c:v>Julio</c:v>
                </c:pt>
                <c:pt idx="7">
                  <c:v>Agosto</c:v>
                </c:pt>
                <c:pt idx="8">
                  <c:v>Septiembre</c:v>
                </c:pt>
              </c:strCache>
            </c:strRef>
          </c:cat>
          <c:val>
            <c:numRef>
              <c:f>Sheet1!$B$2:$B$10</c:f>
              <c:numCache>
                <c:formatCode>_-* #,##0.0_-;\-* #,##0.0_-;_-* "-"??_-;_-@_-</c:formatCode>
                <c:ptCount val="9"/>
                <c:pt idx="0">
                  <c:v>4.03</c:v>
                </c:pt>
                <c:pt idx="1">
                  <c:v>22.38</c:v>
                </c:pt>
                <c:pt idx="2">
                  <c:v>139.29</c:v>
                </c:pt>
                <c:pt idx="3">
                  <c:v>1010.3</c:v>
                </c:pt>
                <c:pt idx="4">
                  <c:v>1099.79</c:v>
                </c:pt>
                <c:pt idx="5">
                  <c:v>1218.47</c:v>
                </c:pt>
                <c:pt idx="6">
                  <c:v>1308.33</c:v>
                </c:pt>
                <c:pt idx="7">
                  <c:v>1429.6381633000001</c:v>
                </c:pt>
                <c:pt idx="8">
                  <c:v>1554.32</c:v>
                </c:pt>
              </c:numCache>
            </c:numRef>
          </c:val>
          <c:extLst xmlns:c16r2="http://schemas.microsoft.com/office/drawing/2015/06/chart">
            <c:ext xmlns:c16="http://schemas.microsoft.com/office/drawing/2014/chart" uri="{C3380CC4-5D6E-409C-BE32-E72D297353CC}">
              <c16:uniqueId val="{00000001-89E7-41E8-8C54-9AADF3A4B7A9}"/>
            </c:ext>
          </c:extLst>
        </c:ser>
        <c:dLbls>
          <c:showLegendKey val="0"/>
          <c:showVal val="0"/>
          <c:showCatName val="0"/>
          <c:showSerName val="0"/>
          <c:showPercent val="0"/>
          <c:showBubbleSize val="0"/>
        </c:dLbls>
        <c:gapWidth val="68"/>
        <c:axId val="219916544"/>
        <c:axId val="219922432"/>
      </c:barChart>
      <c:catAx>
        <c:axId val="21991654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19922432"/>
        <c:crosses val="autoZero"/>
        <c:auto val="1"/>
        <c:lblAlgn val="ctr"/>
        <c:lblOffset val="100"/>
        <c:noMultiLvlLbl val="0"/>
      </c:catAx>
      <c:valAx>
        <c:axId val="219922432"/>
        <c:scaling>
          <c:orientation val="minMax"/>
        </c:scaling>
        <c:delete val="0"/>
        <c:axPos val="l"/>
        <c:majorGridlines>
          <c:spPr>
            <a:ln w="9525" cap="flat" cmpd="sng" algn="ctr">
              <a:solidFill>
                <a:schemeClr val="dk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1991654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322189999150465E-4"/>
          <c:y val="5.3060050186034442E-2"/>
          <c:w val="0.97017979770072604"/>
          <c:h val="0.87543800614666767"/>
        </c:manualLayout>
      </c:layout>
      <c:ofPieChart>
        <c:ofPieType val="bar"/>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E16-4785-9F68-29D21A78E33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E16-4785-9F68-29D21A78E33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E16-4785-9F68-29D21A78E33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E16-4785-9F68-29D21A78E33A}"/>
              </c:ext>
            </c:extLst>
          </c:dPt>
          <c:dPt>
            <c:idx val="4"/>
            <c:bubble3D val="0"/>
            <c:spPr>
              <a:solidFill>
                <a:schemeClr val="accent6">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9E16-4785-9F68-29D21A78E33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9E16-4785-9F68-29D21A78E33A}"/>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9E16-4785-9F68-29D21A78E33A}"/>
              </c:ext>
            </c:extLst>
          </c:dPt>
          <c:dLbls>
            <c:dLbl>
              <c:idx val="0"/>
              <c:layout>
                <c:manualLayout>
                  <c:x val="4.6497200034111251E-2"/>
                  <c:y val="6.1367537044558279E-4"/>
                </c:manualLayout>
              </c:layout>
              <c:tx>
                <c:rich>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FDC7BDA1-E372-4970-8527-358DD59F94FF}" type="CATEGORYNAME">
                      <a:rPr lang="en-US" sz="700">
                        <a:solidFill>
                          <a:schemeClr val="bg1"/>
                        </a:solidFill>
                        <a:latin typeface="Times New Roman" panose="02020603050405020304" pitchFamily="18" charset="0"/>
                        <a:cs typeface="Times New Roman" panose="02020603050405020304" pitchFamily="18" charset="0"/>
                      </a:rPr>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[NOMBRE DE CATEGORÍA]</a:t>
                    </a:fld>
                    <a:r>
                      <a:rPr lang="en-US" sz="700" baseline="0">
                        <a:solidFill>
                          <a:schemeClr val="bg1"/>
                        </a:solidFill>
                        <a:latin typeface="Times New Roman" panose="02020603050405020304" pitchFamily="18" charset="0"/>
                        <a:cs typeface="Times New Roman" panose="02020603050405020304" pitchFamily="18" charset="0"/>
                      </a:rPr>
                      <a:t>; </a:t>
                    </a:r>
                    <a:fld id="{A62E6584-E5F5-4B14-9482-26CC836CD6EA}" type="VALUE">
                      <a:rPr lang="en-US" sz="700" baseline="0">
                        <a:solidFill>
                          <a:schemeClr val="bg1"/>
                        </a:solidFill>
                        <a:latin typeface="Times New Roman" panose="02020603050405020304" pitchFamily="18" charset="0"/>
                        <a:cs typeface="Times New Roman" panose="02020603050405020304" pitchFamily="18" charset="0"/>
                      </a:rPr>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[VALOR]</a:t>
                    </a:fld>
                    <a:r>
                      <a:rPr lang="en-US" sz="700" baseline="0">
                        <a:solidFill>
                          <a:schemeClr val="bg1"/>
                        </a:solidFill>
                        <a:latin typeface="Times New Roman" panose="02020603050405020304" pitchFamily="18" charset="0"/>
                        <a:cs typeface="Times New Roman" panose="02020603050405020304" pitchFamily="18" charset="0"/>
                      </a:rPr>
                      <a:t>; </a:t>
                    </a:r>
                  </a:p>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02571D6F-CC88-483A-8998-5228F8499A85}" type="PERCENTAGE">
                      <a:rPr lang="en-US" sz="700" baseline="0">
                        <a:solidFill>
                          <a:schemeClr val="bg1"/>
                        </a:solidFill>
                        <a:latin typeface="Times New Roman" panose="02020603050405020304" pitchFamily="18" charset="0"/>
                        <a:cs typeface="Times New Roman" panose="02020603050405020304" pitchFamily="18" charset="0"/>
                      </a:rPr>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[PORCENTAJE]</a:t>
                    </a:fld>
                    <a:endParaRPr lang="es-GT"/>
                  </a:p>
                </c:rich>
              </c:tx>
              <c:spPr>
                <a:noFill/>
                <a:ln>
                  <a:noFill/>
                </a:ln>
                <a:effectLst/>
              </c:spPr>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7862266857962692"/>
                      <c:h val="0.44146685472496466"/>
                    </c:manualLayout>
                  </c15:layout>
                  <c15:dlblFieldTable/>
                  <c15:showDataLabelsRange val="0"/>
                </c:ext>
                <c:ext xmlns:c16="http://schemas.microsoft.com/office/drawing/2014/chart" uri="{C3380CC4-5D6E-409C-BE32-E72D297353CC}">
                  <c16:uniqueId val="{00000001-9E16-4785-9F68-29D21A78E33A}"/>
                </c:ext>
              </c:extLst>
            </c:dLbl>
            <c:dLbl>
              <c:idx val="2"/>
              <c:layout>
                <c:manualLayout>
                  <c:x val="-7.3406542255322782E-2"/>
                  <c:y val="-6.8948078661548642E-3"/>
                </c:manualLayout>
              </c:layout>
              <c:tx>
                <c:rich>
                  <a:bodyPr/>
                  <a:lstStyle/>
                  <a:p>
                    <a:fld id="{3E464A87-2203-40B8-BAE9-BF48B5BA28B8}" type="CATEGORYNAME">
                      <a:rPr lang="en-US" sz="700">
                        <a:solidFill>
                          <a:sysClr val="windowText" lastClr="000000"/>
                        </a:solidFill>
                        <a:latin typeface="Times New Roman" panose="02020603050405020304" pitchFamily="18" charset="0"/>
                        <a:cs typeface="Times New Roman" panose="02020603050405020304" pitchFamily="18" charset="0"/>
                      </a:rPr>
                      <a:pPr/>
                      <a:t>[NOMBRE DE CATEGORÍA]</a:t>
                    </a:fld>
                    <a:r>
                      <a:rPr lang="en-US" sz="700" baseline="0">
                        <a:solidFill>
                          <a:sysClr val="windowText" lastClr="000000"/>
                        </a:solidFill>
                        <a:latin typeface="Times New Roman" panose="02020603050405020304" pitchFamily="18" charset="0"/>
                        <a:cs typeface="Times New Roman" panose="02020603050405020304" pitchFamily="18" charset="0"/>
                      </a:rPr>
                      <a:t>; </a:t>
                    </a:r>
                  </a:p>
                  <a:p>
                    <a:fld id="{07979994-A173-4E9F-BB7C-04A202E50AC3}" type="VALUE">
                      <a:rPr lang="en-US" sz="700" baseline="0">
                        <a:solidFill>
                          <a:sysClr val="windowText" lastClr="000000"/>
                        </a:solidFill>
                        <a:latin typeface="Times New Roman" panose="02020603050405020304" pitchFamily="18" charset="0"/>
                        <a:cs typeface="Times New Roman" panose="02020603050405020304" pitchFamily="18" charset="0"/>
                      </a:rPr>
                      <a:pPr/>
                      <a:t>[VALOR]</a:t>
                    </a:fld>
                    <a:r>
                      <a:rPr lang="en-US" sz="700" baseline="0">
                        <a:solidFill>
                          <a:sysClr val="windowText" lastClr="000000"/>
                        </a:solidFill>
                        <a:latin typeface="Times New Roman" panose="02020603050405020304" pitchFamily="18" charset="0"/>
                        <a:cs typeface="Times New Roman" panose="02020603050405020304" pitchFamily="18" charset="0"/>
                      </a:rPr>
                      <a:t>; </a:t>
                    </a:r>
                  </a:p>
                  <a:p>
                    <a:fld id="{445F64B9-5C3F-4E0D-A94D-A760BF44CAE6}" type="PERCENTAGE">
                      <a:rPr lang="en-US" sz="700" baseline="0">
                        <a:solidFill>
                          <a:sysClr val="windowText" lastClr="000000"/>
                        </a:solidFill>
                        <a:latin typeface="Times New Roman" panose="02020603050405020304" pitchFamily="18" charset="0"/>
                        <a:cs typeface="Times New Roman" panose="02020603050405020304" pitchFamily="18" charset="0"/>
                      </a:rPr>
                      <a:pPr/>
                      <a:t>[PORCENTAJE]</a:t>
                    </a:fld>
                    <a:endParaRPr lang="es-GT"/>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3834597362446258"/>
                      <c:h val="0.25041344358495599"/>
                    </c:manualLayout>
                  </c15:layout>
                  <c15:dlblFieldTable/>
                  <c15:showDataLabelsRange val="0"/>
                </c:ext>
                <c:ext xmlns:c16="http://schemas.microsoft.com/office/drawing/2014/chart" uri="{C3380CC4-5D6E-409C-BE32-E72D297353CC}">
                  <c16:uniqueId val="{00000005-9E16-4785-9F68-29D21A78E33A}"/>
                </c:ext>
              </c:extLst>
            </c:dLbl>
            <c:dLbl>
              <c:idx val="3"/>
              <c:layout>
                <c:manualLayout>
                  <c:x val="-3.5183632280622046E-2"/>
                  <c:y val="-1.0305920578563348E-2"/>
                </c:manualLayout>
              </c:layout>
              <c:tx>
                <c:rich>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5A0539E1-39E3-495F-9C04-90C91D46ADE0}" type="CATEGORYNAME">
                      <a:rPr lang="en-US" sz="600">
                        <a:solidFill>
                          <a:sysClr val="windowText" lastClr="000000"/>
                        </a:solidFill>
                        <a:latin typeface="Times New Roman" panose="02020603050405020304" pitchFamily="18" charset="0"/>
                        <a:cs typeface="Times New Roman" panose="02020603050405020304" pitchFamily="18" charset="0"/>
                      </a:rPr>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[NOMBRE DE CATEGORÍA]</a:t>
                    </a:fld>
                    <a:r>
                      <a:rPr lang="en-US" sz="600" baseline="0">
                        <a:solidFill>
                          <a:sysClr val="windowText" lastClr="000000"/>
                        </a:solidFill>
                        <a:latin typeface="Times New Roman" panose="02020603050405020304" pitchFamily="18" charset="0"/>
                        <a:cs typeface="Times New Roman" panose="02020603050405020304" pitchFamily="18" charset="0"/>
                      </a:rPr>
                      <a:t>; </a:t>
                    </a:r>
                    <a:fld id="{B4F15D38-FB5C-4520-8E45-B19E6843CE2D}" type="VALUE">
                      <a:rPr lang="en-US" sz="600" baseline="0">
                        <a:solidFill>
                          <a:sysClr val="windowText" lastClr="000000"/>
                        </a:solidFill>
                        <a:latin typeface="Times New Roman" panose="02020603050405020304" pitchFamily="18" charset="0"/>
                        <a:cs typeface="Times New Roman" panose="02020603050405020304" pitchFamily="18" charset="0"/>
                      </a:rPr>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[VALOR]</a:t>
                    </a:fld>
                    <a:r>
                      <a:rPr lang="en-US" sz="600" baseline="0">
                        <a:solidFill>
                          <a:sysClr val="windowText" lastClr="000000"/>
                        </a:solidFill>
                        <a:latin typeface="Times New Roman" panose="02020603050405020304" pitchFamily="18" charset="0"/>
                        <a:cs typeface="Times New Roman" panose="02020603050405020304" pitchFamily="18" charset="0"/>
                      </a:rPr>
                      <a:t>; </a:t>
                    </a:r>
                    <a:fld id="{4FBFE300-7A01-4361-9133-E4B417EE6842}" type="PERCENTAGE">
                      <a:rPr lang="en-US" sz="600" baseline="0">
                        <a:solidFill>
                          <a:sysClr val="windowText" lastClr="000000"/>
                        </a:solidFill>
                        <a:latin typeface="Times New Roman" panose="02020603050405020304" pitchFamily="18" charset="0"/>
                        <a:cs typeface="Times New Roman" panose="02020603050405020304" pitchFamily="18" charset="0"/>
                      </a:rPr>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[PORCENTAJE]</a:t>
                    </a:fld>
                    <a:endParaRPr lang="en-US" sz="600" baseline="0">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9759415253969074"/>
                      <c:h val="0.30901594755976924"/>
                    </c:manualLayout>
                  </c15:layout>
                  <c15:dlblFieldTable/>
                  <c15:showDataLabelsRange val="0"/>
                </c:ext>
                <c:ext xmlns:c16="http://schemas.microsoft.com/office/drawing/2014/chart" uri="{C3380CC4-5D6E-409C-BE32-E72D297353CC}">
                  <c16:uniqueId val="{00000007-9E16-4785-9F68-29D21A78E33A}"/>
                </c:ext>
              </c:extLst>
            </c:dLbl>
            <c:dLbl>
              <c:idx val="4"/>
              <c:layout>
                <c:manualLayout>
                  <c:x val="-2.9057107933710368E-2"/>
                  <c:y val="2.620304740221255E-7"/>
                </c:manualLayout>
              </c:layout>
              <c:tx>
                <c:rich>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D59B87D0-C898-4D9B-8D89-576CB63F6D88}" type="CATEGORYNAME">
                      <a:rPr lang="en-US" sz="600">
                        <a:solidFill>
                          <a:sysClr val="windowText" lastClr="000000"/>
                        </a:solidFill>
                        <a:latin typeface="Times New Roman" panose="02020603050405020304" pitchFamily="18" charset="0"/>
                        <a:cs typeface="Times New Roman" panose="02020603050405020304" pitchFamily="18" charset="0"/>
                      </a:rPr>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[NOMBRE DE CATEGORÍA]</a:t>
                    </a:fld>
                    <a:r>
                      <a:rPr lang="en-US" sz="600" baseline="0">
                        <a:solidFill>
                          <a:sysClr val="windowText" lastClr="000000"/>
                        </a:solidFill>
                        <a:latin typeface="Times New Roman" panose="02020603050405020304" pitchFamily="18" charset="0"/>
                        <a:cs typeface="Times New Roman" panose="02020603050405020304" pitchFamily="18" charset="0"/>
                      </a:rPr>
                      <a:t>; </a:t>
                    </a:r>
                  </a:p>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6A39C6A9-3549-49EE-BED0-8E4767D8C56C}" type="VALUE">
                      <a:rPr lang="en-US" sz="600" baseline="0">
                        <a:solidFill>
                          <a:sysClr val="windowText" lastClr="000000"/>
                        </a:solidFill>
                        <a:latin typeface="Times New Roman" panose="02020603050405020304" pitchFamily="18" charset="0"/>
                        <a:cs typeface="Times New Roman" panose="02020603050405020304" pitchFamily="18" charset="0"/>
                      </a:rPr>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[VALOR]</a:t>
                    </a:fld>
                    <a:r>
                      <a:rPr lang="en-US" sz="600" baseline="0">
                        <a:solidFill>
                          <a:sysClr val="windowText" lastClr="000000"/>
                        </a:solidFill>
                        <a:latin typeface="Times New Roman" panose="02020603050405020304" pitchFamily="18" charset="0"/>
                        <a:cs typeface="Times New Roman" panose="02020603050405020304" pitchFamily="18" charset="0"/>
                      </a:rPr>
                      <a:t>; </a:t>
                    </a:r>
                    <a:fld id="{CAF1BFE2-D038-4C74-9F07-B4BBB4820F46}" type="PERCENTAGE">
                      <a:rPr lang="en-US" sz="600" baseline="0">
                        <a:solidFill>
                          <a:sysClr val="windowText" lastClr="000000"/>
                        </a:solidFill>
                        <a:latin typeface="Times New Roman" panose="02020603050405020304" pitchFamily="18" charset="0"/>
                        <a:cs typeface="Times New Roman" panose="02020603050405020304" pitchFamily="18" charset="0"/>
                      </a:rPr>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[PORCENTAJE]</a:t>
                    </a:fld>
                    <a:endParaRPr lang="en-US" sz="600" baseline="0">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30886363977085901"/>
                      <c:h val="0.19181145626027515"/>
                    </c:manualLayout>
                  </c15:layout>
                  <c15:dlblFieldTable/>
                  <c15:showDataLabelsRange val="0"/>
                </c:ext>
                <c:ext xmlns:c16="http://schemas.microsoft.com/office/drawing/2014/chart" uri="{C3380CC4-5D6E-409C-BE32-E72D297353CC}">
                  <c16:uniqueId val="{00000009-9E16-4785-9F68-29D21A78E33A}"/>
                </c:ext>
              </c:extLst>
            </c:dLbl>
            <c:dLbl>
              <c:idx val="5"/>
              <c:layout>
                <c:manualLayout>
                  <c:x val="-3.0428315140531275E-2"/>
                  <c:y val="8.3654013773751645E-2"/>
                </c:manualLayout>
              </c:layout>
              <c:tx>
                <c:rich>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20376161-5E3F-464E-9F50-6AB3A50BF40D}" type="CATEGORYNAME">
                      <a:rPr lang="en-US" sz="600">
                        <a:solidFill>
                          <a:sysClr val="windowText" lastClr="000000"/>
                        </a:solidFill>
                        <a:latin typeface="Times New Roman" panose="02020603050405020304" pitchFamily="18" charset="0"/>
                        <a:cs typeface="Times New Roman" panose="02020603050405020304" pitchFamily="18" charset="0"/>
                      </a:rPr>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[NOMBRE DE CATEGORÍA]</a:t>
                    </a:fld>
                    <a:r>
                      <a:rPr lang="en-US" sz="600" baseline="0">
                        <a:solidFill>
                          <a:sysClr val="windowText" lastClr="000000"/>
                        </a:solidFill>
                        <a:latin typeface="Times New Roman" panose="02020603050405020304" pitchFamily="18" charset="0"/>
                        <a:cs typeface="Times New Roman" panose="02020603050405020304" pitchFamily="18" charset="0"/>
                      </a:rPr>
                      <a:t>; </a:t>
                    </a:r>
                    <a:fld id="{19734FF8-526B-4F1C-BDDA-D652191670ED}" type="VALUE">
                      <a:rPr lang="en-US" sz="600" baseline="0">
                        <a:solidFill>
                          <a:sysClr val="windowText" lastClr="000000"/>
                        </a:solidFill>
                        <a:latin typeface="Times New Roman" panose="02020603050405020304" pitchFamily="18" charset="0"/>
                        <a:cs typeface="Times New Roman" panose="02020603050405020304" pitchFamily="18" charset="0"/>
                      </a:rPr>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[VALOR]</a:t>
                    </a:fld>
                    <a:r>
                      <a:rPr lang="en-US" sz="600" baseline="0">
                        <a:solidFill>
                          <a:sysClr val="windowText" lastClr="000000"/>
                        </a:solidFill>
                        <a:latin typeface="Times New Roman" panose="02020603050405020304" pitchFamily="18" charset="0"/>
                        <a:cs typeface="Times New Roman" panose="02020603050405020304" pitchFamily="18" charset="0"/>
                      </a:rPr>
                      <a:t>;</a:t>
                    </a:r>
                    <a:fld id="{00C29D26-9236-4F5B-A2F1-04490C3042E4}" type="PERCENTAGE">
                      <a:rPr lang="en-US" sz="600" baseline="0">
                        <a:solidFill>
                          <a:sysClr val="windowText" lastClr="000000"/>
                        </a:solidFill>
                        <a:latin typeface="Times New Roman" panose="02020603050405020304" pitchFamily="18" charset="0"/>
                        <a:cs typeface="Times New Roman" panose="02020603050405020304" pitchFamily="18" charset="0"/>
                      </a:rPr>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[PORCENTAJE]</a:t>
                    </a:fld>
                    <a:endParaRPr lang="en-US" sz="600" baseline="0">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4333990195376201"/>
                      <c:h val="0.1918113596696652"/>
                    </c:manualLayout>
                  </c15:layout>
                  <c15:dlblFieldTable/>
                  <c15:showDataLabelsRange val="0"/>
                </c:ext>
                <c:ext xmlns:c16="http://schemas.microsoft.com/office/drawing/2014/chart" uri="{C3380CC4-5D6E-409C-BE32-E72D297353CC}">
                  <c16:uniqueId val="{0000000B-9E16-4785-9F68-29D21A78E33A}"/>
                </c:ext>
              </c:extLst>
            </c:dLbl>
            <c:dLbl>
              <c:idx val="6"/>
              <c:layout>
                <c:manualLayout>
                  <c:x val="-0.33486490519912449"/>
                  <c:y val="-4.0554456483289309E-3"/>
                </c:manualLayout>
              </c:layout>
              <c:tx>
                <c:rich>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en-US" sz="700" baseline="0">
                        <a:solidFill>
                          <a:schemeClr val="bg1"/>
                        </a:solidFill>
                        <a:latin typeface="Times New Roman" panose="02020603050405020304" pitchFamily="18" charset="0"/>
                        <a:cs typeface="Times New Roman" panose="02020603050405020304" pitchFamily="18" charset="0"/>
                      </a:rPr>
                      <a:t>Vacunados primera dosis; </a:t>
                    </a:r>
                    <a:fld id="{471A49C0-EBEC-4D6B-9798-0B71A84C5862}" type="VALUE">
                      <a:rPr lang="en-US" sz="700" baseline="0">
                        <a:solidFill>
                          <a:schemeClr val="bg1"/>
                        </a:solidFill>
                        <a:latin typeface="Times New Roman" panose="02020603050405020304" pitchFamily="18" charset="0"/>
                        <a:cs typeface="Times New Roman" panose="02020603050405020304" pitchFamily="18" charset="0"/>
                      </a:rPr>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[VALOR]</a:t>
                    </a:fld>
                    <a:r>
                      <a:rPr lang="en-US" sz="700" baseline="0">
                        <a:solidFill>
                          <a:schemeClr val="bg1"/>
                        </a:solidFill>
                        <a:latin typeface="Times New Roman" panose="02020603050405020304" pitchFamily="18" charset="0"/>
                        <a:cs typeface="Times New Roman" panose="02020603050405020304" pitchFamily="18" charset="0"/>
                      </a:rPr>
                      <a:t>;</a:t>
                    </a:r>
                  </a:p>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en-US" sz="700" baseline="0">
                        <a:solidFill>
                          <a:schemeClr val="bg1"/>
                        </a:solidFill>
                        <a:latin typeface="Times New Roman" panose="02020603050405020304" pitchFamily="18" charset="0"/>
                        <a:cs typeface="Times New Roman" panose="02020603050405020304" pitchFamily="18" charset="0"/>
                      </a:rPr>
                      <a:t> </a:t>
                    </a:r>
                    <a:fld id="{F8CE4A89-340F-437B-81A8-DD4EEBCA6CF6}" type="PERCENTAGE">
                      <a:rPr lang="en-US" sz="700" baseline="0">
                        <a:solidFill>
                          <a:schemeClr val="bg1"/>
                        </a:solidFill>
                        <a:latin typeface="Times New Roman" panose="02020603050405020304" pitchFamily="18" charset="0"/>
                        <a:cs typeface="Times New Roman" panose="02020603050405020304" pitchFamily="18" charset="0"/>
                      </a:rPr>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[PORCENTAJE]</a:t>
                    </a:fld>
                    <a:endParaRPr lang="en-US" sz="700" baseline="0">
                      <a:solidFill>
                        <a:schemeClr val="bg1"/>
                      </a:solidFill>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30621942301637928"/>
                      <c:h val="0.48492931448386234"/>
                    </c:manualLayout>
                  </c15:layout>
                  <c15:dlblFieldTable/>
                  <c15:showDataLabelsRange val="0"/>
                </c:ext>
                <c:ext xmlns:c16="http://schemas.microsoft.com/office/drawing/2014/chart" uri="{C3380CC4-5D6E-409C-BE32-E72D297353CC}">
                  <c16:uniqueId val="{0000000D-9E16-4785-9F68-29D21A78E33A}"/>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Sheet1!$A$2:$A$7</c:f>
              <c:strCache>
                <c:ptCount val="6"/>
                <c:pt idx="0">
                  <c:v>Vacunados 2da Dosis (Esquema Completo)</c:v>
                </c:pt>
                <c:pt idx="2">
                  <c:v>Moderna</c:v>
                </c:pt>
                <c:pt idx="3">
                  <c:v>Astrazeneca</c:v>
                </c:pt>
                <c:pt idx="4">
                  <c:v>Sputnik</c:v>
                </c:pt>
                <c:pt idx="5">
                  <c:v>Pfizer</c:v>
                </c:pt>
              </c:strCache>
            </c:strRef>
          </c:cat>
          <c:val>
            <c:numRef>
              <c:f>Sheet1!$B$2:$B$7</c:f>
              <c:numCache>
                <c:formatCode>General</c:formatCode>
                <c:ptCount val="6"/>
                <c:pt idx="0" formatCode="#,##0.0">
                  <c:v>2463203</c:v>
                </c:pt>
                <c:pt idx="2" formatCode="#,##0.0">
                  <c:v>2162800</c:v>
                </c:pt>
                <c:pt idx="3" formatCode="#,##0.0">
                  <c:v>1224822</c:v>
                </c:pt>
                <c:pt idx="4" formatCode="#,##0.0">
                  <c:v>1018457</c:v>
                </c:pt>
                <c:pt idx="5" formatCode="#,##0.0">
                  <c:v>130136</c:v>
                </c:pt>
              </c:numCache>
            </c:numRef>
          </c:val>
          <c:extLst xmlns:c16r2="http://schemas.microsoft.com/office/drawing/2015/06/chart">
            <c:ext xmlns:c16="http://schemas.microsoft.com/office/drawing/2014/chart" uri="{C3380CC4-5D6E-409C-BE32-E72D297353CC}">
              <c16:uniqueId val="{0000000E-9E16-4785-9F68-29D21A78E33A}"/>
            </c:ext>
          </c:extLst>
        </c:ser>
        <c:dLbls>
          <c:showLegendKey val="0"/>
          <c:showVal val="0"/>
          <c:showCatName val="0"/>
          <c:showSerName val="0"/>
          <c:showPercent val="0"/>
          <c:showBubbleSize val="0"/>
          <c:showLeaderLines val="0"/>
        </c:dLbls>
        <c:gapWidth val="38"/>
        <c:splitType val="pos"/>
        <c:splitPos val="4"/>
        <c:secondPieSize val="73"/>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823024002555867E-2"/>
          <c:y val="2.369672592922557E-2"/>
          <c:w val="0.89509807968783939"/>
          <c:h val="0.79111244824431393"/>
        </c:manualLayout>
      </c:layout>
      <c:barChart>
        <c:barDir val="col"/>
        <c:grouping val="clustered"/>
        <c:varyColors val="0"/>
        <c:ser>
          <c:idx val="0"/>
          <c:order val="0"/>
          <c:tx>
            <c:strRef>
              <c:f>Hoja1!$B$1</c:f>
              <c:strCache>
                <c:ptCount val="1"/>
                <c:pt idx="0">
                  <c:v>Mensual</c:v>
                </c:pt>
              </c:strCache>
            </c:strRef>
          </c:tx>
          <c:spPr>
            <a:solidFill>
              <a:schemeClr val="accent1">
                <a:alpha val="46000"/>
              </a:schemeClr>
            </a:solidFill>
            <a:ln>
              <a:noFill/>
            </a:ln>
            <a:effectLst/>
          </c:spPr>
          <c:invertIfNegative val="0"/>
          <c:dLbls>
            <c:dLbl>
              <c:idx val="0"/>
              <c:layout>
                <c:manualLayout>
                  <c:x val="0"/>
                  <c:y val="-7.03653585926928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F38-4463-B760-E40AB2548E07}"/>
                </c:ext>
              </c:extLst>
            </c:dLbl>
            <c:dLbl>
              <c:idx val="8"/>
              <c:layout>
                <c:manualLayout>
                  <c:x val="0"/>
                  <c:y val="5.41271989174559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F38-4463-B760-E40AB2548E07}"/>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Hoja1!$A$2:$A$10</c:f>
              <c:strCache>
                <c:ptCount val="9"/>
                <c:pt idx="0">
                  <c:v>Ene</c:v>
                </c:pt>
                <c:pt idx="1">
                  <c:v>Feb</c:v>
                </c:pt>
                <c:pt idx="2">
                  <c:v>Mar</c:v>
                </c:pt>
                <c:pt idx="3">
                  <c:v>Abr</c:v>
                </c:pt>
                <c:pt idx="4">
                  <c:v>May</c:v>
                </c:pt>
                <c:pt idx="5">
                  <c:v>Jun</c:v>
                </c:pt>
                <c:pt idx="6">
                  <c:v>Jul</c:v>
                </c:pt>
                <c:pt idx="7">
                  <c:v>Ago</c:v>
                </c:pt>
                <c:pt idx="8">
                  <c:v>Sep</c:v>
                </c:pt>
              </c:strCache>
            </c:strRef>
          </c:cat>
          <c:val>
            <c:numRef>
              <c:f>Hoja1!$B$2:$B$10</c:f>
              <c:numCache>
                <c:formatCode>0.0%</c:formatCode>
                <c:ptCount val="9"/>
                <c:pt idx="0">
                  <c:v>4.0000000000000001E-3</c:v>
                </c:pt>
                <c:pt idx="1">
                  <c:v>4.2000000000000003E-2</c:v>
                </c:pt>
                <c:pt idx="2">
                  <c:v>0.158</c:v>
                </c:pt>
                <c:pt idx="3">
                  <c:v>0.26700000000000002</c:v>
                </c:pt>
                <c:pt idx="4">
                  <c:v>0.36799999999999999</c:v>
                </c:pt>
                <c:pt idx="5">
                  <c:v>0.315</c:v>
                </c:pt>
                <c:pt idx="6">
                  <c:v>0.30099999999999999</c:v>
                </c:pt>
                <c:pt idx="7">
                  <c:v>0.24</c:v>
                </c:pt>
                <c:pt idx="8">
                  <c:v>0.1709775879166231</c:v>
                </c:pt>
              </c:numCache>
            </c:numRef>
          </c:val>
          <c:extLst xmlns:c16r2="http://schemas.microsoft.com/office/drawing/2015/06/chart">
            <c:ext xmlns:c16="http://schemas.microsoft.com/office/drawing/2014/chart" uri="{C3380CC4-5D6E-409C-BE32-E72D297353CC}">
              <c16:uniqueId val="{00000002-5F38-4463-B760-E40AB2548E07}"/>
            </c:ext>
          </c:extLst>
        </c:ser>
        <c:dLbls>
          <c:showLegendKey val="0"/>
          <c:showVal val="0"/>
          <c:showCatName val="0"/>
          <c:showSerName val="0"/>
          <c:showPercent val="0"/>
          <c:showBubbleSize val="0"/>
        </c:dLbls>
        <c:gapWidth val="20"/>
        <c:overlap val="-27"/>
        <c:axId val="161882496"/>
        <c:axId val="161884032"/>
      </c:barChart>
      <c:lineChart>
        <c:grouping val="standard"/>
        <c:varyColors val="0"/>
        <c:ser>
          <c:idx val="1"/>
          <c:order val="1"/>
          <c:tx>
            <c:strRef>
              <c:f>Hoja1!$C$1</c:f>
              <c:strCache>
                <c:ptCount val="1"/>
                <c:pt idx="0">
                  <c:v>Acumulada</c:v>
                </c:pt>
              </c:strCache>
            </c:strRef>
          </c:tx>
          <c:spPr>
            <a:ln w="28575" cap="rnd">
              <a:solidFill>
                <a:srgbClr val="FF0000"/>
              </a:solidFill>
              <a:prstDash val="sysDash"/>
              <a:round/>
            </a:ln>
            <a:effectLst/>
          </c:spPr>
          <c:marker>
            <c:symbol val="circle"/>
            <c:size val="5"/>
            <c:spPr>
              <a:solidFill>
                <a:schemeClr val="bg1"/>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Hoja1!$A$2:$A$10</c:f>
              <c:strCache>
                <c:ptCount val="9"/>
                <c:pt idx="0">
                  <c:v>Ene</c:v>
                </c:pt>
                <c:pt idx="1">
                  <c:v>Feb</c:v>
                </c:pt>
                <c:pt idx="2">
                  <c:v>Mar</c:v>
                </c:pt>
                <c:pt idx="3">
                  <c:v>Abr</c:v>
                </c:pt>
                <c:pt idx="4">
                  <c:v>May</c:v>
                </c:pt>
                <c:pt idx="5">
                  <c:v>Jun</c:v>
                </c:pt>
                <c:pt idx="6">
                  <c:v>Jul</c:v>
                </c:pt>
                <c:pt idx="7">
                  <c:v>Ago</c:v>
                </c:pt>
                <c:pt idx="8">
                  <c:v>Sep</c:v>
                </c:pt>
              </c:strCache>
            </c:strRef>
          </c:cat>
          <c:val>
            <c:numRef>
              <c:f>Hoja1!$C$2:$C$10</c:f>
              <c:numCache>
                <c:formatCode>0.0%</c:formatCode>
                <c:ptCount val="9"/>
                <c:pt idx="0">
                  <c:v>4.0000000000000001E-3</c:v>
                </c:pt>
                <c:pt idx="1">
                  <c:v>1.9E-2</c:v>
                </c:pt>
                <c:pt idx="2">
                  <c:v>6.4000000000000001E-2</c:v>
                </c:pt>
                <c:pt idx="3">
                  <c:v>0.11799999999999999</c:v>
                </c:pt>
                <c:pt idx="4">
                  <c:v>0.154</c:v>
                </c:pt>
                <c:pt idx="5">
                  <c:v>0.17399999999999999</c:v>
                </c:pt>
                <c:pt idx="6">
                  <c:v>0.19800000000000001</c:v>
                </c:pt>
                <c:pt idx="7">
                  <c:v>0.20200000000000001</c:v>
                </c:pt>
                <c:pt idx="8">
                  <c:v>0.19890922731583349</c:v>
                </c:pt>
              </c:numCache>
            </c:numRef>
          </c:val>
          <c:smooth val="0"/>
          <c:extLst xmlns:c16r2="http://schemas.microsoft.com/office/drawing/2015/06/chart">
            <c:ext xmlns:c16="http://schemas.microsoft.com/office/drawing/2014/chart" uri="{C3380CC4-5D6E-409C-BE32-E72D297353CC}">
              <c16:uniqueId val="{00000003-5F38-4463-B760-E40AB2548E07}"/>
            </c:ext>
          </c:extLst>
        </c:ser>
        <c:dLbls>
          <c:showLegendKey val="0"/>
          <c:showVal val="0"/>
          <c:showCatName val="0"/>
          <c:showSerName val="0"/>
          <c:showPercent val="0"/>
          <c:showBubbleSize val="0"/>
        </c:dLbls>
        <c:marker val="1"/>
        <c:smooth val="0"/>
        <c:axId val="161882496"/>
        <c:axId val="161884032"/>
      </c:lineChart>
      <c:catAx>
        <c:axId val="16188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61884032"/>
        <c:crosses val="autoZero"/>
        <c:auto val="1"/>
        <c:lblAlgn val="ctr"/>
        <c:lblOffset val="100"/>
        <c:noMultiLvlLbl val="0"/>
      </c:catAx>
      <c:valAx>
        <c:axId val="16188403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61882496"/>
        <c:crosses val="autoZero"/>
        <c:crossBetween val="between"/>
      </c:valAx>
      <c:spPr>
        <a:noFill/>
        <a:ln>
          <a:noFill/>
        </a:ln>
        <a:effectLst/>
      </c:spPr>
    </c:plotArea>
    <c:legend>
      <c:legendPos val="b"/>
      <c:layout>
        <c:manualLayout>
          <c:xMode val="edge"/>
          <c:yMode val="edge"/>
          <c:x val="0.11110923648790538"/>
          <c:y val="0.91412528102458102"/>
          <c:w val="0.76866367883636155"/>
          <c:h val="8.5874718975419012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s-G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06649556832003"/>
          <c:y val="2.3583513747838829E-2"/>
          <c:w val="0.80441713078548105"/>
          <c:h val="0.94924023099816968"/>
        </c:manualLayout>
      </c:layout>
      <c:radarChart>
        <c:radarStyle val="marker"/>
        <c:varyColors val="0"/>
        <c:ser>
          <c:idx val="0"/>
          <c:order val="0"/>
          <c:tx>
            <c:strRef>
              <c:f>Hoja1!$B$1</c:f>
              <c:strCache>
                <c:ptCount val="1"/>
                <c:pt idx="0">
                  <c:v>2021-2020</c:v>
                </c:pt>
              </c:strCache>
            </c:strRef>
          </c:tx>
          <c:spPr>
            <a:ln w="22225" cap="rnd">
              <a:solidFill>
                <a:schemeClr val="accent1"/>
              </a:solidFill>
              <a:round/>
            </a:ln>
            <a:effectLst/>
          </c:spPr>
          <c:marker>
            <c:symbol val="none"/>
          </c:marker>
          <c:dLbls>
            <c:dLbl>
              <c:idx val="0"/>
              <c:layout>
                <c:manualLayout>
                  <c:x val="-0.22021249561099768"/>
                  <c:y val="0"/>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0B9-4769-B730-28663D1CCE31}"/>
                </c:ext>
              </c:extLst>
            </c:dLbl>
            <c:dLbl>
              <c:idx val="1"/>
              <c:layout>
                <c:manualLayout>
                  <c:x val="9.0625090932369506E-2"/>
                  <c:y val="-2.1786635975074914E-3"/>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0B9-4769-B730-28663D1CCE31}"/>
                </c:ext>
              </c:extLst>
            </c:dLbl>
            <c:dLbl>
              <c:idx val="2"/>
              <c:layout>
                <c:manualLayout>
                  <c:x val="0.16231878997386959"/>
                  <c:y val="-3.7390673879866818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0B9-4769-B730-28663D1CCE31}"/>
                </c:ext>
              </c:extLst>
            </c:dLbl>
            <c:dLbl>
              <c:idx val="3"/>
              <c:layout>
                <c:manualLayout>
                  <c:x val="9.2102233479161872E-3"/>
                  <c:y val="7.821901323706377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0B9-4769-B730-28663D1CCE31}"/>
                </c:ext>
              </c:extLst>
            </c:dLbl>
            <c:dLbl>
              <c:idx val="4"/>
              <c:layout>
                <c:manualLayout>
                  <c:x val="-9.4585959460167263E-2"/>
                  <c:y val="-0.11497837561032501"/>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0B9-4769-B730-28663D1CCE31}"/>
                </c:ext>
              </c:extLst>
            </c:dLbl>
            <c:dLbl>
              <c:idx val="5"/>
              <c:layout>
                <c:manualLayout>
                  <c:x val="-0.14505337608852109"/>
                  <c:y val="-0.12551272365905969"/>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0B9-4769-B730-28663D1CCE3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Hoja1!$B$2:$B$7</c:f>
              <c:numCache>
                <c:formatCode>General</c:formatCode>
                <c:ptCount val="6"/>
                <c:pt idx="0">
                  <c:v>4416.4469637399943</c:v>
                </c:pt>
                <c:pt idx="1">
                  <c:v>1914.0848100999999</c:v>
                </c:pt>
                <c:pt idx="2">
                  <c:v>578.15305777000003</c:v>
                </c:pt>
                <c:pt idx="3">
                  <c:v>262.0584863400004</c:v>
                </c:pt>
                <c:pt idx="4">
                  <c:v>3625.3037563200014</c:v>
                </c:pt>
                <c:pt idx="5">
                  <c:v>1914.5333923800044</c:v>
                </c:pt>
              </c:numCache>
            </c:numRef>
          </c:val>
          <c:extLst xmlns:c16r2="http://schemas.microsoft.com/office/drawing/2015/06/chart">
            <c:ext xmlns:c16="http://schemas.microsoft.com/office/drawing/2014/chart" uri="{C3380CC4-5D6E-409C-BE32-E72D297353CC}">
              <c16:uniqueId val="{00000006-00B9-4769-B730-28663D1CCE31}"/>
            </c:ext>
          </c:extLst>
        </c:ser>
        <c:ser>
          <c:idx val="1"/>
          <c:order val="1"/>
          <c:tx>
            <c:strRef>
              <c:f>Hoja1!$C$1</c:f>
              <c:strCache>
                <c:ptCount val="1"/>
                <c:pt idx="0">
                  <c:v>2021-Presupuesto</c:v>
                </c:pt>
              </c:strCache>
            </c:strRef>
          </c:tx>
          <c:spPr>
            <a:ln w="22225" cap="rnd">
              <a:solidFill>
                <a:srgbClr val="FF0000"/>
              </a:solidFill>
              <a:round/>
            </a:ln>
            <a:effectLst/>
          </c:spPr>
          <c:marker>
            <c:symbol val="none"/>
          </c:marker>
          <c:dLbls>
            <c:dLbl>
              <c:idx val="0"/>
              <c:layout>
                <c:manualLayout>
                  <c:x val="0.11152896353587721"/>
                  <c:y val="-7.238973589344474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0B9-4769-B730-28663D1CCE31}"/>
                </c:ext>
              </c:extLst>
            </c:dLbl>
            <c:dLbl>
              <c:idx val="1"/>
              <c:layout>
                <c:manualLayout>
                  <c:x val="0.17520781077531605"/>
                  <c:y val="-0.1702399724181290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0B9-4769-B730-28663D1CCE31}"/>
                </c:ext>
              </c:extLst>
            </c:dLbl>
            <c:dLbl>
              <c:idx val="2"/>
              <c:layout>
                <c:manualLayout>
                  <c:x val="0.16720692618522454"/>
                  <c:y val="8.6560429141463557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0B9-4769-B730-28663D1CCE31}"/>
                </c:ext>
              </c:extLst>
            </c:dLbl>
            <c:dLbl>
              <c:idx val="3"/>
              <c:layout>
                <c:manualLayout>
                  <c:x val="9.5325811650933383E-3"/>
                  <c:y val="0.1255990789959918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0B9-4769-B730-28663D1CCE31}"/>
                </c:ext>
              </c:extLst>
            </c:dLbl>
            <c:dLbl>
              <c:idx val="4"/>
              <c:layout>
                <c:manualLayout>
                  <c:x val="-0.13303769401330379"/>
                  <c:y val="-2.2277431032646997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0B9-4769-B730-28663D1CCE31}"/>
                </c:ext>
              </c:extLst>
            </c:dLbl>
            <c:dLbl>
              <c:idx val="5"/>
              <c:layout>
                <c:manualLayout>
                  <c:x val="-0.17664526967388502"/>
                  <c:y val="-3.2173948314413107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0B9-4769-B730-28663D1CCE3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rgbClr val="FF0000"/>
                      </a:solidFill>
                      <a:prstDash val="sysDot"/>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Hoja1!$C$2:$C$7</c:f>
              <c:numCache>
                <c:formatCode>General</c:formatCode>
                <c:ptCount val="6"/>
                <c:pt idx="0">
                  <c:v>2821.1710980699863</c:v>
                </c:pt>
                <c:pt idx="1">
                  <c:v>892.36918318918231</c:v>
                </c:pt>
                <c:pt idx="2">
                  <c:v>469.9626669399986</c:v>
                </c:pt>
                <c:pt idx="3">
                  <c:v>243.49549268999999</c:v>
                </c:pt>
                <c:pt idx="4">
                  <c:v>3767.1393813200175</c:v>
                </c:pt>
                <c:pt idx="5">
                  <c:v>1017.0768830200013</c:v>
                </c:pt>
              </c:numCache>
            </c:numRef>
          </c:val>
          <c:extLst xmlns:c16r2="http://schemas.microsoft.com/office/drawing/2015/06/chart">
            <c:ext xmlns:c16="http://schemas.microsoft.com/office/drawing/2014/chart" uri="{C3380CC4-5D6E-409C-BE32-E72D297353CC}">
              <c16:uniqueId val="{0000000D-00B9-4769-B730-28663D1CCE31}"/>
            </c:ext>
          </c:extLst>
        </c:ser>
        <c:dLbls>
          <c:showLegendKey val="0"/>
          <c:showVal val="0"/>
          <c:showCatName val="0"/>
          <c:showSerName val="0"/>
          <c:showPercent val="0"/>
          <c:showBubbleSize val="0"/>
        </c:dLbls>
        <c:axId val="161928320"/>
        <c:axId val="161929856"/>
      </c:radarChart>
      <c:catAx>
        <c:axId val="161928320"/>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crossAx val="161929856"/>
        <c:crosses val="autoZero"/>
        <c:auto val="1"/>
        <c:lblAlgn val="ctr"/>
        <c:lblOffset val="100"/>
        <c:noMultiLvlLbl val="1"/>
      </c:catAx>
      <c:valAx>
        <c:axId val="16192985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61928320"/>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1605824266029914"/>
          <c:y val="0.9267115501094908"/>
          <c:w val="0.80795044743575573"/>
          <c:h val="7.3288681799514269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es-G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482287829320674E-2"/>
          <c:y val="3.1756595536123096E-2"/>
          <c:w val="0.90234513368755731"/>
          <c:h val="0.84918067673973185"/>
        </c:manualLayout>
      </c:layout>
      <c:barChart>
        <c:barDir val="col"/>
        <c:grouping val="clustered"/>
        <c:varyColors val="0"/>
        <c:ser>
          <c:idx val="0"/>
          <c:order val="0"/>
          <c:tx>
            <c:strRef>
              <c:f>Hoja1!$B$1</c:f>
              <c:strCache>
                <c:ptCount val="1"/>
                <c:pt idx="0">
                  <c:v>IVA dom</c:v>
                </c:pt>
              </c:strCache>
            </c:strRef>
          </c:tx>
          <c:spPr>
            <a:solidFill>
              <a:schemeClr val="accent1"/>
            </a:solidFill>
            <a:ln>
              <a:noFill/>
            </a:ln>
            <a:effectLst/>
          </c:spPr>
          <c:invertIfNegative val="0"/>
          <c:dLbls>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Hoja1!$A$2:$A$10</c:f>
              <c:strCache>
                <c:ptCount val="9"/>
                <c:pt idx="0">
                  <c:v>Ene</c:v>
                </c:pt>
                <c:pt idx="1">
                  <c:v>Feb</c:v>
                </c:pt>
                <c:pt idx="2">
                  <c:v>Mar</c:v>
                </c:pt>
                <c:pt idx="3">
                  <c:v>Abr</c:v>
                </c:pt>
                <c:pt idx="4">
                  <c:v>May</c:v>
                </c:pt>
                <c:pt idx="5">
                  <c:v>Jun</c:v>
                </c:pt>
                <c:pt idx="6">
                  <c:v>Jul</c:v>
                </c:pt>
                <c:pt idx="7">
                  <c:v>Ago</c:v>
                </c:pt>
                <c:pt idx="8">
                  <c:v>Sep</c:v>
                </c:pt>
              </c:strCache>
            </c:strRef>
          </c:cat>
          <c:val>
            <c:numRef>
              <c:f>Hoja1!$B$2:$B$10</c:f>
              <c:numCache>
                <c:formatCode>General</c:formatCode>
                <c:ptCount val="9"/>
                <c:pt idx="0">
                  <c:v>69.45493179999994</c:v>
                </c:pt>
                <c:pt idx="1">
                  <c:v>49.331967139999961</c:v>
                </c:pt>
                <c:pt idx="2">
                  <c:v>-28.778871321311954</c:v>
                </c:pt>
                <c:pt idx="3">
                  <c:v>175.57319428647793</c:v>
                </c:pt>
                <c:pt idx="4">
                  <c:v>256.31831503483431</c:v>
                </c:pt>
                <c:pt idx="5">
                  <c:v>245.9969491899999</c:v>
                </c:pt>
                <c:pt idx="6">
                  <c:v>160.38195810000002</c:v>
                </c:pt>
                <c:pt idx="7">
                  <c:v>65.036105840000118</c:v>
                </c:pt>
                <c:pt idx="8">
                  <c:v>23.767828109998618</c:v>
                </c:pt>
              </c:numCache>
            </c:numRef>
          </c:val>
          <c:extLst xmlns:c16r2="http://schemas.microsoft.com/office/drawing/2015/06/chart">
            <c:ext xmlns:c16="http://schemas.microsoft.com/office/drawing/2014/chart" uri="{C3380CC4-5D6E-409C-BE32-E72D297353CC}">
              <c16:uniqueId val="{00000001-A9CF-472C-B731-20F3D7ED69FD}"/>
            </c:ext>
          </c:extLst>
        </c:ser>
        <c:dLbls>
          <c:showLegendKey val="0"/>
          <c:showVal val="0"/>
          <c:showCatName val="0"/>
          <c:showSerName val="0"/>
          <c:showPercent val="0"/>
          <c:showBubbleSize val="0"/>
        </c:dLbls>
        <c:gapWidth val="20"/>
        <c:overlap val="-27"/>
        <c:axId val="162119680"/>
        <c:axId val="162121216"/>
      </c:barChart>
      <c:catAx>
        <c:axId val="1621196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62121216"/>
        <c:crosses val="autoZero"/>
        <c:auto val="1"/>
        <c:lblAlgn val="ctr"/>
        <c:lblOffset val="100"/>
        <c:noMultiLvlLbl val="0"/>
      </c:catAx>
      <c:valAx>
        <c:axId val="162121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621196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pPr>
      <a:endParaRPr lang="es-G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52367019503562E-2"/>
          <c:y val="2.0471470641031241E-2"/>
          <c:w val="0.90205628106458469"/>
          <c:h val="0.75908117018744026"/>
        </c:manualLayout>
      </c:layout>
      <c:barChart>
        <c:barDir val="col"/>
        <c:grouping val="clustered"/>
        <c:varyColors val="0"/>
        <c:ser>
          <c:idx val="1"/>
          <c:order val="1"/>
          <c:tx>
            <c:strRef>
              <c:f>Sheet1!$C$1</c:f>
              <c:strCache>
                <c:ptCount val="1"/>
                <c:pt idx="0">
                  <c:v>2021</c:v>
                </c:pt>
              </c:strCache>
            </c:strRef>
          </c:tx>
          <c:spPr>
            <a:solidFill>
              <a:srgbClr val="FF7C80"/>
            </a:solidFill>
            <a:ln w="12700">
              <a:solidFill>
                <a:schemeClr val="tx1"/>
              </a:solidFill>
            </a:ln>
            <a:effectLst/>
          </c:spPr>
          <c:invertIfNegative val="0"/>
          <c:dLbls>
            <c:dLbl>
              <c:idx val="0"/>
              <c:layout>
                <c:manualLayout>
                  <c:x val="0"/>
                  <c:y val="9.206431535269710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8D6-4CAA-B51B-E5A75B4076C1}"/>
                </c:ext>
              </c:extLst>
            </c:dLbl>
            <c:dLbl>
              <c:idx val="1"/>
              <c:layout>
                <c:manualLayout>
                  <c:x val="0"/>
                  <c:y val="9.725103734439824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8D6-4CAA-B51B-E5A75B4076C1}"/>
                </c:ext>
              </c:extLst>
            </c:dLbl>
            <c:dLbl>
              <c:idx val="2"/>
              <c:layout>
                <c:manualLayout>
                  <c:x val="0"/>
                  <c:y val="8.06878328486947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8D6-4CAA-B51B-E5A75B4076C1}"/>
                </c:ext>
              </c:extLst>
            </c:dLbl>
            <c:dLbl>
              <c:idx val="3"/>
              <c:layout>
                <c:manualLayout>
                  <c:x val="3.9468507099136252E-17"/>
                  <c:y val="1.949880746234516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8D6-4CAA-B51B-E5A75B4076C1}"/>
                </c:ext>
              </c:extLst>
            </c:dLbl>
            <c:dLbl>
              <c:idx val="4"/>
              <c:layout>
                <c:manualLayout>
                  <c:x val="0"/>
                  <c:y val="1.426348547717847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8D6-4CAA-B51B-E5A75B4076C1}"/>
                </c:ext>
              </c:extLst>
            </c:dLbl>
            <c:dLbl>
              <c:idx val="6"/>
              <c:layout>
                <c:manualLayout>
                  <c:x val="0"/>
                  <c:y val="1.513382915860101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8D6-4CAA-B51B-E5A75B4076C1}"/>
                </c:ext>
              </c:extLst>
            </c:dLbl>
            <c:dLbl>
              <c:idx val="7"/>
              <c:layout>
                <c:manualLayout>
                  <c:x val="4.7036688617121351E-3"/>
                  <c:y val="5.931467439028531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8D6-4CAA-B51B-E5A75B4076C1}"/>
                </c:ext>
              </c:extLst>
            </c:dLbl>
            <c:dLbl>
              <c:idx val="8"/>
              <c:layout>
                <c:manualLayout>
                  <c:x val="0"/>
                  <c:y val="2.204356846473029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8D6-4CAA-B51B-E5A75B4076C1}"/>
                </c:ext>
              </c:extLst>
            </c:dLbl>
            <c:dLbl>
              <c:idx val="9"/>
              <c:layout>
                <c:manualLayout>
                  <c:x val="0"/>
                  <c:y val="1.685684647302904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8D6-4CAA-B51B-E5A75B4076C1}"/>
                </c:ext>
              </c:extLst>
            </c:dLbl>
            <c:dLbl>
              <c:idx val="10"/>
              <c:layout>
                <c:manualLayout>
                  <c:x val="0"/>
                  <c:y val="2.204356846473029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8D6-4CAA-B51B-E5A75B4076C1}"/>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3.7189413058487304</c:v>
                </c:pt>
                <c:pt idx="1">
                  <c:v>6.1267370575853732</c:v>
                </c:pt>
                <c:pt idx="2">
                  <c:v>1.9518107242856928</c:v>
                </c:pt>
                <c:pt idx="3">
                  <c:v>11.31040113518587</c:v>
                </c:pt>
                <c:pt idx="4">
                  <c:v>6.3930371872600773</c:v>
                </c:pt>
                <c:pt idx="5">
                  <c:v>0.38854905082506264</c:v>
                </c:pt>
                <c:pt idx="6">
                  <c:v>1.4992457432228861</c:v>
                </c:pt>
                <c:pt idx="7">
                  <c:v>-1.4193223500163015</c:v>
                </c:pt>
                <c:pt idx="8">
                  <c:v>-4.3420352501965001</c:v>
                </c:pt>
              </c:numCache>
            </c:numRef>
          </c:val>
          <c:extLst xmlns:c16r2="http://schemas.microsoft.com/office/drawing/2015/06/chart">
            <c:ext xmlns:c16="http://schemas.microsoft.com/office/drawing/2014/chart" uri="{C3380CC4-5D6E-409C-BE32-E72D297353CC}">
              <c16:uniqueId val="{0000000A-F8D6-4CAA-B51B-E5A75B4076C1}"/>
            </c:ext>
          </c:extLst>
        </c:ser>
        <c:dLbls>
          <c:showLegendKey val="0"/>
          <c:showVal val="0"/>
          <c:showCatName val="0"/>
          <c:showSerName val="0"/>
          <c:showPercent val="0"/>
          <c:showBubbleSize val="0"/>
        </c:dLbls>
        <c:gapWidth val="62"/>
        <c:overlap val="-27"/>
        <c:axId val="162365824"/>
        <c:axId val="162367360"/>
      </c:barChart>
      <c:lineChart>
        <c:grouping val="stacked"/>
        <c:varyColors val="0"/>
        <c:ser>
          <c:idx val="0"/>
          <c:order val="0"/>
          <c:tx>
            <c:strRef>
              <c:f>Sheet1!$B$1</c:f>
              <c:strCache>
                <c:ptCount val="1"/>
                <c:pt idx="0">
                  <c:v>2020</c:v>
                </c:pt>
              </c:strCache>
            </c:strRef>
          </c:tx>
          <c:spPr>
            <a:ln w="15875" cap="rnd">
              <a:solidFill>
                <a:schemeClr val="accent1"/>
              </a:solidFill>
              <a:prstDash val="sysDash"/>
              <a:round/>
            </a:ln>
            <a:effectLst/>
          </c:spPr>
          <c:marker>
            <c:symbol val="circle"/>
            <c:size val="4"/>
            <c:spPr>
              <a:solidFill>
                <a:schemeClr val="accent1"/>
              </a:solidFill>
              <a:ln w="3175">
                <a:solidFill>
                  <a:schemeClr val="accent1"/>
                </a:solidFill>
              </a:ln>
              <a:effectLst/>
            </c:spPr>
          </c:marker>
          <c:dLbls>
            <c:dLbl>
              <c:idx val="0"/>
              <c:layout>
                <c:manualLayout>
                  <c:x val="-5.6657223796033995E-2"/>
                  <c:y val="-4.72673559822747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8D6-4CAA-B51B-E5A75B4076C1}"/>
                </c:ext>
              </c:extLst>
            </c:dLbl>
            <c:dLbl>
              <c:idx val="1"/>
              <c:layout>
                <c:manualLayout>
                  <c:x val="-6.3041624640838081E-2"/>
                  <c:y val="5.02891495409546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8D6-4CAA-B51B-E5A75B4076C1}"/>
                </c:ext>
              </c:extLst>
            </c:dLbl>
            <c:dLbl>
              <c:idx val="2"/>
              <c:layout>
                <c:manualLayout>
                  <c:x val="-5.235160997770865E-2"/>
                  <c:y val="-3.57201783905642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8D6-4CAA-B51B-E5A75B4076C1}"/>
                </c:ext>
              </c:extLst>
            </c:dLbl>
            <c:dLbl>
              <c:idx val="3"/>
              <c:layout>
                <c:manualLayout>
                  <c:x val="-6.1378673198681163E-2"/>
                  <c:y val="3.12551050413304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8D6-4CAA-B51B-E5A75B4076C1}"/>
                </c:ext>
              </c:extLst>
            </c:dLbl>
            <c:dLbl>
              <c:idx val="4"/>
              <c:layout>
                <c:manualLayout>
                  <c:x val="-1.0988023698329421E-3"/>
                  <c:y val="-1.4703744241513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F8D6-4CAA-B51B-E5A75B4076C1}"/>
                </c:ext>
              </c:extLst>
            </c:dLbl>
            <c:dLbl>
              <c:idx val="5"/>
              <c:layout>
                <c:manualLayout>
                  <c:x val="-6.915877711195681E-2"/>
                  <c:y val="-4.06373542000196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F8D6-4CAA-B51B-E5A75B4076C1}"/>
                </c:ext>
              </c:extLst>
            </c:dLbl>
            <c:dLbl>
              <c:idx val="6"/>
              <c:layout>
                <c:manualLayout>
                  <c:x val="-7.5489811186583891E-2"/>
                  <c:y val="-4.72673817806046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F8D6-4CAA-B51B-E5A75B4076C1}"/>
                </c:ext>
              </c:extLst>
            </c:dLbl>
            <c:dLbl>
              <c:idx val="7"/>
              <c:layout>
                <c:manualLayout>
                  <c:x val="-6.9990083317087975E-2"/>
                  <c:y val="-4.65457248341882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F8D6-4CAA-B51B-E5A75B4076C1}"/>
                </c:ext>
              </c:extLst>
            </c:dLbl>
            <c:dLbl>
              <c:idx val="8"/>
              <c:layout>
                <c:manualLayout>
                  <c:x val="-4.9708856360662211E-2"/>
                  <c:y val="5.24540954683568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F8D6-4CAA-B51B-E5A75B4076C1}"/>
                </c:ext>
              </c:extLst>
            </c:dLbl>
            <c:dLbl>
              <c:idx val="9"/>
              <c:layout>
                <c:manualLayout>
                  <c:x val="-3.2486036123848351E-2"/>
                  <c:y val="4.06373542000196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F8D6-4CAA-B51B-E5A75B4076C1}"/>
                </c:ext>
              </c:extLst>
            </c:dLbl>
            <c:dLbl>
              <c:idx val="10"/>
              <c:layout>
                <c:manualLayout>
                  <c:x val="-7.0405736419653836E-2"/>
                  <c:y val="-3.64418270330316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F8D6-4CAA-B51B-E5A75B4076C1}"/>
                </c:ext>
              </c:extLst>
            </c:dLbl>
            <c:dLbl>
              <c:idx val="11"/>
              <c:layout>
                <c:manualLayout>
                  <c:x val="-8.3130620513124768E-4"/>
                  <c:y val="-4.23501976672003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F8D6-4CAA-B51B-E5A75B4076C1}"/>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4.8191861258905817</c:v>
                </c:pt>
                <c:pt idx="1">
                  <c:v>9.5655130970186519E-2</c:v>
                </c:pt>
                <c:pt idx="2">
                  <c:v>2.3974325379896584</c:v>
                </c:pt>
                <c:pt idx="3">
                  <c:v>-1.9848700717106169</c:v>
                </c:pt>
                <c:pt idx="4">
                  <c:v>4.2224631181484256</c:v>
                </c:pt>
                <c:pt idx="5">
                  <c:v>9.0680434021580965</c:v>
                </c:pt>
                <c:pt idx="6">
                  <c:v>10.232293442045986</c:v>
                </c:pt>
                <c:pt idx="7">
                  <c:v>12.533229099769343</c:v>
                </c:pt>
                <c:pt idx="8">
                  <c:v>14.872198669992656</c:v>
                </c:pt>
                <c:pt idx="9">
                  <c:v>14.678379762438269</c:v>
                </c:pt>
                <c:pt idx="10">
                  <c:v>15.472802612662733</c:v>
                </c:pt>
                <c:pt idx="11">
                  <c:v>17.151091678742532</c:v>
                </c:pt>
              </c:numCache>
            </c:numRef>
          </c:val>
          <c:smooth val="0"/>
          <c:extLst xmlns:c16r2="http://schemas.microsoft.com/office/drawing/2015/06/chart">
            <c:ext xmlns:c16="http://schemas.microsoft.com/office/drawing/2014/chart" uri="{C3380CC4-5D6E-409C-BE32-E72D297353CC}">
              <c16:uniqueId val="{00000017-F8D6-4CAA-B51B-E5A75B4076C1}"/>
            </c:ext>
          </c:extLst>
        </c:ser>
        <c:dLbls>
          <c:showLegendKey val="0"/>
          <c:showVal val="0"/>
          <c:showCatName val="0"/>
          <c:showSerName val="0"/>
          <c:showPercent val="0"/>
          <c:showBubbleSize val="0"/>
        </c:dLbls>
        <c:marker val="1"/>
        <c:smooth val="0"/>
        <c:axId val="162365824"/>
        <c:axId val="162367360"/>
      </c:lineChart>
      <c:catAx>
        <c:axId val="1623658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62367360"/>
        <c:crosses val="autoZero"/>
        <c:auto val="1"/>
        <c:lblAlgn val="ctr"/>
        <c:lblOffset val="100"/>
        <c:noMultiLvlLbl val="0"/>
      </c:catAx>
      <c:valAx>
        <c:axId val="162367360"/>
        <c:scaling>
          <c:orientation val="minMax"/>
          <c:min val="-5.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62365824"/>
        <c:crosses val="autoZero"/>
        <c:crossBetween val="between"/>
      </c:valAx>
      <c:spPr>
        <a:noFill/>
        <a:ln>
          <a:noFill/>
        </a:ln>
        <a:effectLst/>
      </c:spPr>
    </c:plotArea>
    <c:legend>
      <c:legendPos val="b"/>
      <c:layout>
        <c:manualLayout>
          <c:xMode val="edge"/>
          <c:yMode val="edge"/>
          <c:x val="0.65501181472729819"/>
          <c:y val="0.34502509568234158"/>
          <c:w val="0.25118035882908402"/>
          <c:h val="0.1392891618715929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5.6323604710701483E-2"/>
          <c:w val="0.57115149606299209"/>
          <c:h val="0.78969080477843501"/>
        </c:manualLayout>
      </c:layout>
      <c:barChart>
        <c:barDir val="bar"/>
        <c:grouping val="clustered"/>
        <c:varyColors val="0"/>
        <c:ser>
          <c:idx val="0"/>
          <c:order val="0"/>
          <c:tx>
            <c:strRef>
              <c:f>Sheet1!$B$1</c:f>
              <c:strCache>
                <c:ptCount val="1"/>
                <c:pt idx="0">
                  <c:v>2020</c:v>
                </c:pt>
              </c:strCache>
            </c:strRef>
          </c:tx>
          <c:spPr>
            <a:solidFill>
              <a:schemeClr val="accent1">
                <a:lumMod val="75000"/>
              </a:schemeClr>
            </a:solidFill>
            <a:ln w="15875">
              <a:solidFill>
                <a:srgbClr val="002060"/>
              </a:solidFill>
            </a:ln>
            <a:effectLst>
              <a:outerShdw blurRad="50800" dist="38100" dir="2700000" algn="tl" rotWithShape="0">
                <a:prstClr val="black">
                  <a:alpha val="40000"/>
                </a:prstClr>
              </a:outerShdw>
            </a:effectLst>
          </c:spPr>
          <c:invertIfNegative val="0"/>
          <c:dLbls>
            <c:dLbl>
              <c:idx val="0"/>
              <c:layout>
                <c:manualLayout>
                  <c:x val="-8.5796707843951939E-3"/>
                  <c:y val="1.46805980036434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995-47F9-8329-37241809EBE3}"/>
                </c:ext>
              </c:extLst>
            </c:dLbl>
            <c:dLbl>
              <c:idx val="1"/>
              <c:layout>
                <c:manualLayout>
                  <c:x val="-1.2869337278786098E-2"/>
                  <c:y val="1.43403441682601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995-47F9-8329-37241809EBE3}"/>
                </c:ext>
              </c:extLst>
            </c:dLbl>
            <c:dLbl>
              <c:idx val="3"/>
              <c:layout>
                <c:manualLayout>
                  <c:x val="-3.9996850393700786E-3"/>
                  <c:y val="4.78011472275334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995-47F9-8329-37241809EBE3}"/>
                </c:ext>
              </c:extLst>
            </c:dLbl>
            <c:dLbl>
              <c:idx val="5"/>
              <c:layout>
                <c:manualLayout>
                  <c:x val="-1.4067995310668316E-2"/>
                  <c:y val="-4.047046699238143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995-47F9-8329-37241809EBE3}"/>
                </c:ext>
              </c:extLst>
            </c:dLbl>
            <c:dLbl>
              <c:idx val="6"/>
              <c:layout>
                <c:manualLayout>
                  <c:x val="-4.6893317702227429E-3"/>
                  <c:y val="1.32450331125827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995-47F9-8329-37241809EBE3}"/>
                </c:ext>
              </c:extLst>
            </c:dLbl>
            <c:dLbl>
              <c:idx val="7"/>
              <c:layout>
                <c:manualLayout>
                  <c:x val="-8.5970089320275687E-17"/>
                  <c:y val="1.32450331125827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995-47F9-8329-37241809EBE3}"/>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Sheet1!$A$2:$A$9</c:f>
              <c:strCache>
                <c:ptCount val="8"/>
                <c:pt idx="0">
                  <c:v>Trans. Corrientes</c:v>
                </c:pt>
                <c:pt idx="1">
                  <c:v>Inversión Financiera</c:v>
                </c:pt>
                <c:pt idx="2">
                  <c:v>Prestaciones a la S.S</c:v>
                </c:pt>
                <c:pt idx="3">
                  <c:v>Inversión Real Directa</c:v>
                </c:pt>
                <c:pt idx="4">
                  <c:v>Remuneraciones </c:v>
                </c:pt>
                <c:pt idx="5">
                  <c:v>Trans. De Capital</c:v>
                </c:pt>
                <c:pt idx="6">
                  <c:v>Intereses </c:v>
                </c:pt>
                <c:pt idx="7">
                  <c:v>Bienes y servicios </c:v>
                </c:pt>
              </c:strCache>
            </c:strRef>
          </c:cat>
          <c:val>
            <c:numRef>
              <c:f>Sheet1!$B$2:$B$9</c:f>
              <c:numCache>
                <c:formatCode>#,##0.0</c:formatCode>
                <c:ptCount val="8"/>
                <c:pt idx="0">
                  <c:v>5915.7028903099963</c:v>
                </c:pt>
                <c:pt idx="1">
                  <c:v>2145.5050593199999</c:v>
                </c:pt>
                <c:pt idx="2">
                  <c:v>27.986785740000414</c:v>
                </c:pt>
                <c:pt idx="3">
                  <c:v>-1263.2018947400002</c:v>
                </c:pt>
                <c:pt idx="4">
                  <c:v>1559.2452153200029</c:v>
                </c:pt>
                <c:pt idx="5">
                  <c:v>-342.28514064999945</c:v>
                </c:pt>
                <c:pt idx="6">
                  <c:v>217.09081820999927</c:v>
                </c:pt>
                <c:pt idx="7">
                  <c:v>191.33133960000032</c:v>
                </c:pt>
              </c:numCache>
            </c:numRef>
          </c:val>
          <c:extLst xmlns:c16r2="http://schemas.microsoft.com/office/drawing/2015/06/chart">
            <c:ext xmlns:c16="http://schemas.microsoft.com/office/drawing/2014/chart" uri="{C3380CC4-5D6E-409C-BE32-E72D297353CC}">
              <c16:uniqueId val="{00000006-C995-47F9-8329-37241809EBE3}"/>
            </c:ext>
          </c:extLst>
        </c:ser>
        <c:ser>
          <c:idx val="1"/>
          <c:order val="1"/>
          <c:tx>
            <c:strRef>
              <c:f>Sheet1!$C$1</c:f>
              <c:strCache>
                <c:ptCount val="1"/>
                <c:pt idx="0">
                  <c:v>2021</c:v>
                </c:pt>
              </c:strCache>
            </c:strRef>
          </c:tx>
          <c:spPr>
            <a:solidFill>
              <a:srgbClr val="92D050"/>
            </a:solidFill>
            <a:ln w="15875">
              <a:solidFill>
                <a:schemeClr val="accent3">
                  <a:lumMod val="50000"/>
                </a:schemeClr>
              </a:solidFill>
            </a:ln>
            <a:effectLst>
              <a:outerShdw blurRad="50800" dist="38100" dir="2700000" algn="tl" rotWithShape="0">
                <a:prstClr val="black">
                  <a:alpha val="40000"/>
                </a:prstClr>
              </a:outerShdw>
            </a:effectLst>
          </c:spPr>
          <c:invertIfNegative val="0"/>
          <c:dLbls>
            <c:dLbl>
              <c:idx val="0"/>
              <c:layout>
                <c:manualLayout>
                  <c:x val="-8.8297901800961864E-2"/>
                  <c:y val="3.86059689558672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995-47F9-8329-37241809EBE3}"/>
                </c:ext>
              </c:extLst>
            </c:dLbl>
            <c:dLbl>
              <c:idx val="1"/>
              <c:layout>
                <c:manualLayout>
                  <c:x val="-1.4067995310668272E-2"/>
                  <c:y val="-8.0940933984762867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995-47F9-8329-37241809EBE3}"/>
                </c:ext>
              </c:extLst>
            </c:dLbl>
            <c:dLbl>
              <c:idx val="2"/>
              <c:layout>
                <c:manualLayout>
                  <c:x val="-8.5801574803149611E-3"/>
                  <c:y val="-4.78011472275334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995-47F9-8329-37241809EBE3}"/>
                </c:ext>
              </c:extLst>
            </c:dLbl>
            <c:dLbl>
              <c:idx val="4"/>
              <c:layout>
                <c:manualLayout>
                  <c:x val="0"/>
                  <c:y val="-9.560229445506692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995-47F9-8329-37241809EBE3}"/>
                </c:ext>
              </c:extLst>
            </c:dLbl>
            <c:dLbl>
              <c:idx val="6"/>
              <c:layout>
                <c:manualLayout>
                  <c:x val="0"/>
                  <c:y val="-4.78011472275334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995-47F9-8329-37241809EBE3}"/>
                </c:ext>
              </c:extLst>
            </c:dLbl>
            <c:dLbl>
              <c:idx val="7"/>
              <c:layout>
                <c:manualLayout>
                  <c:x val="-1.4067995310668231E-2"/>
                  <c:y val="-4.016269489492631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995-47F9-8329-37241809EBE3}"/>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Sheet1!$A$2:$A$9</c:f>
              <c:strCache>
                <c:ptCount val="8"/>
                <c:pt idx="0">
                  <c:v>Trans. Corrientes</c:v>
                </c:pt>
                <c:pt idx="1">
                  <c:v>Inversión Financiera</c:v>
                </c:pt>
                <c:pt idx="2">
                  <c:v>Prestaciones a la S.S</c:v>
                </c:pt>
                <c:pt idx="3">
                  <c:v>Inversión Real Directa</c:v>
                </c:pt>
                <c:pt idx="4">
                  <c:v>Remuneraciones </c:v>
                </c:pt>
                <c:pt idx="5">
                  <c:v>Trans. De Capital</c:v>
                </c:pt>
                <c:pt idx="6">
                  <c:v>Intereses </c:v>
                </c:pt>
                <c:pt idx="7">
                  <c:v>Bienes y servicios </c:v>
                </c:pt>
              </c:strCache>
            </c:strRef>
          </c:cat>
          <c:val>
            <c:numRef>
              <c:f>Sheet1!$C$2:$C$9</c:f>
              <c:numCache>
                <c:formatCode>#,##0.0</c:formatCode>
                <c:ptCount val="8"/>
                <c:pt idx="0">
                  <c:v>-6208.3889544699978</c:v>
                </c:pt>
                <c:pt idx="1">
                  <c:v>-2142.0734304500002</c:v>
                </c:pt>
                <c:pt idx="2">
                  <c:v>127.68885214000011</c:v>
                </c:pt>
                <c:pt idx="3">
                  <c:v>308.53142268000011</c:v>
                </c:pt>
                <c:pt idx="4">
                  <c:v>608.78046178999648</c:v>
                </c:pt>
                <c:pt idx="5">
                  <c:v>713.022508009999</c:v>
                </c:pt>
                <c:pt idx="6">
                  <c:v>1158.8049009700017</c:v>
                </c:pt>
                <c:pt idx="7">
                  <c:v>2574.6740250799985</c:v>
                </c:pt>
              </c:numCache>
            </c:numRef>
          </c:val>
          <c:extLst xmlns:c16r2="http://schemas.microsoft.com/office/drawing/2015/06/chart">
            <c:ext xmlns:c16="http://schemas.microsoft.com/office/drawing/2014/chart" uri="{C3380CC4-5D6E-409C-BE32-E72D297353CC}">
              <c16:uniqueId val="{0000000D-C995-47F9-8329-37241809EBE3}"/>
            </c:ext>
          </c:extLst>
        </c:ser>
        <c:dLbls>
          <c:showLegendKey val="0"/>
          <c:showVal val="0"/>
          <c:showCatName val="0"/>
          <c:showSerName val="0"/>
          <c:showPercent val="0"/>
          <c:showBubbleSize val="0"/>
        </c:dLbls>
        <c:gapWidth val="132"/>
        <c:axId val="162583296"/>
        <c:axId val="162584832"/>
      </c:barChart>
      <c:catAx>
        <c:axId val="16258329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162584832"/>
        <c:crosses val="autoZero"/>
        <c:auto val="1"/>
        <c:lblAlgn val="ctr"/>
        <c:lblOffset val="100"/>
        <c:noMultiLvlLbl val="0"/>
      </c:catAx>
      <c:valAx>
        <c:axId val="162584832"/>
        <c:scaling>
          <c:orientation val="minMax"/>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62583296"/>
        <c:crosses val="autoZero"/>
        <c:crossBetween val="between"/>
        <c:majorUnit val="40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5845657669175118"/>
          <c:y val="0.92436630905007844"/>
          <c:w val="0.28308684661649763"/>
          <c:h val="7.563369094992158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2.363100771720747E-2"/>
          <c:w val="0.90489558370421086"/>
          <c:h val="0.88490914133436227"/>
        </c:manualLayout>
      </c:layout>
      <c:barChart>
        <c:barDir val="col"/>
        <c:grouping val="clustered"/>
        <c:varyColors val="0"/>
        <c:ser>
          <c:idx val="0"/>
          <c:order val="0"/>
          <c:tx>
            <c:strRef>
              <c:f>Hoja1!$B$1</c:f>
              <c:strCache>
                <c:ptCount val="1"/>
                <c:pt idx="0">
                  <c:v>% de ejecución</c:v>
                </c:pt>
              </c:strCache>
            </c:strRef>
          </c:tx>
          <c:spPr>
            <a:solidFill>
              <a:schemeClr val="tx2">
                <a:lumMod val="60000"/>
                <a:lumOff val="40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A71B-46AB-BAB4-353F4453F3F8}"/>
              </c:ext>
            </c:extLst>
          </c:dPt>
          <c:dPt>
            <c:idx val="6"/>
            <c:invertIfNegative val="0"/>
            <c:bubble3D val="0"/>
            <c:spPr>
              <a:solidFill>
                <a:srgbClr val="FFC000"/>
              </a:solidFill>
              <a:ln>
                <a:noFill/>
              </a:ln>
              <a:effectLst>
                <a:outerShdw blurRad="50800" dist="38100" dir="2700000" algn="tl" rotWithShape="0">
                  <a:prstClr val="black">
                    <a:alpha val="40000"/>
                  </a:prstClr>
                </a:outerShdw>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A71B-46AB-BAB4-353F4453F3F8}"/>
              </c:ext>
            </c:extLst>
          </c:dPt>
          <c:dLbls>
            <c:dLbl>
              <c:idx val="2"/>
              <c:layout>
                <c:manualLayout>
                  <c:x val="-4.2174192655966848E-17"/>
                  <c:y val="0.1716312056737588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71B-46AB-BAB4-353F4453F3F8}"/>
                </c:ext>
              </c:extLst>
            </c:dLbl>
            <c:dLbl>
              <c:idx val="3"/>
              <c:layout>
                <c:manualLayout>
                  <c:x val="4.6008741660914726E-3"/>
                  <c:y val="0.16025855810576869"/>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71B-46AB-BAB4-353F4453F3F8}"/>
                </c:ext>
              </c:extLst>
            </c:dLbl>
            <c:dLbl>
              <c:idx val="4"/>
              <c:layout>
                <c:manualLayout>
                  <c:x val="0"/>
                  <c:y val="0.11747778736311131"/>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71B-46AB-BAB4-353F4453F3F8}"/>
                </c:ext>
              </c:extLst>
            </c:dLbl>
            <c:dLbl>
              <c:idx val="5"/>
              <c:layout>
                <c:manualLayout>
                  <c:x val="0"/>
                  <c:y val="0.12454901616013979"/>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71B-46AB-BAB4-353F4453F3F8}"/>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2016</c:v>
                </c:pt>
                <c:pt idx="1">
                  <c:v>2017</c:v>
                </c:pt>
                <c:pt idx="2">
                  <c:v>2018</c:v>
                </c:pt>
                <c:pt idx="3">
                  <c:v>2019</c:v>
                </c:pt>
                <c:pt idx="4">
                  <c:v>2020</c:v>
                </c:pt>
                <c:pt idx="5">
                  <c:v>2021</c:v>
                </c:pt>
                <c:pt idx="6">
                  <c:v>Ajustado*</c:v>
                </c:pt>
              </c:strCache>
            </c:strRef>
          </c:cat>
          <c:val>
            <c:numRef>
              <c:f>Hoja1!$B$2:$B$8</c:f>
              <c:numCache>
                <c:formatCode>0.0</c:formatCode>
                <c:ptCount val="7"/>
                <c:pt idx="0">
                  <c:v>64.533764454852488</c:v>
                </c:pt>
                <c:pt idx="1">
                  <c:v>62.349842320345736</c:v>
                </c:pt>
                <c:pt idx="2">
                  <c:v>66.310085516450897</c:v>
                </c:pt>
                <c:pt idx="3">
                  <c:v>66.697171363133052</c:v>
                </c:pt>
                <c:pt idx="4">
                  <c:v>62.523756337188544</c:v>
                </c:pt>
                <c:pt idx="5">
                  <c:v>59.93469597939999</c:v>
                </c:pt>
                <c:pt idx="6">
                  <c:v>68.298813575471101</c:v>
                </c:pt>
              </c:numCache>
            </c:numRef>
          </c:val>
          <c:extLst xmlns:c16r2="http://schemas.microsoft.com/office/drawing/2015/06/chart">
            <c:ext xmlns:c16="http://schemas.microsoft.com/office/drawing/2014/chart" uri="{C3380CC4-5D6E-409C-BE32-E72D297353CC}">
              <c16:uniqueId val="{00000007-A71B-46AB-BAB4-353F4453F3F8}"/>
            </c:ext>
          </c:extLst>
        </c:ser>
        <c:dLbls>
          <c:showLegendKey val="0"/>
          <c:showVal val="0"/>
          <c:showCatName val="0"/>
          <c:showSerName val="0"/>
          <c:showPercent val="0"/>
          <c:showBubbleSize val="0"/>
        </c:dLbls>
        <c:gapWidth val="50"/>
        <c:overlap val="-27"/>
        <c:axId val="162543872"/>
        <c:axId val="16260300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0.32772588209082559"/>
                  <c:y val="-7.961132518009717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xmlns:c16r2="http://schemas.microsoft.com/office/drawing/2015/06/chart">
                <c:ext xmlns:c15="http://schemas.microsoft.com/office/drawing/2012/chart" uri="{CE6537A1-D6FC-4f65-9D91-7224C49458BB}">
                  <c15:layout>
                    <c:manualLayout>
                      <c:w val="0.28619165667433361"/>
                      <c:h val="0.15151902782219379"/>
                    </c:manualLayout>
                  </c15:layout>
                </c:ext>
                <c:ext xmlns:c16="http://schemas.microsoft.com/office/drawing/2014/chart" uri="{C3380CC4-5D6E-409C-BE32-E72D297353CC}">
                  <c16:uniqueId val="{00000008-A71B-46AB-BAB4-353F4453F3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2016</c:v>
                </c:pt>
                <c:pt idx="1">
                  <c:v>2017</c:v>
                </c:pt>
                <c:pt idx="2">
                  <c:v>2018</c:v>
                </c:pt>
                <c:pt idx="3">
                  <c:v>2019</c:v>
                </c:pt>
                <c:pt idx="4">
                  <c:v>2020</c:v>
                </c:pt>
                <c:pt idx="5">
                  <c:v>2021</c:v>
                </c:pt>
                <c:pt idx="6">
                  <c:v>Ajustado*</c:v>
                </c:pt>
              </c:strCache>
            </c:strRef>
          </c:cat>
          <c:val>
            <c:numRef>
              <c:f>Hoja1!$C$2:$C$8</c:f>
              <c:numCache>
                <c:formatCode>0.0</c:formatCode>
                <c:ptCount val="7"/>
                <c:pt idx="0">
                  <c:v>64.482923998394142</c:v>
                </c:pt>
                <c:pt idx="1">
                  <c:v>64.482923998394142</c:v>
                </c:pt>
                <c:pt idx="2">
                  <c:v>64.482923998394142</c:v>
                </c:pt>
                <c:pt idx="3">
                  <c:v>64.482923998394142</c:v>
                </c:pt>
                <c:pt idx="4">
                  <c:v>64.482923998394142</c:v>
                </c:pt>
              </c:numCache>
            </c:numRef>
          </c:val>
          <c:smooth val="0"/>
          <c:extLst xmlns:c16r2="http://schemas.microsoft.com/office/drawing/2015/06/chart">
            <c:ext xmlns:c16="http://schemas.microsoft.com/office/drawing/2014/chart" uri="{C3380CC4-5D6E-409C-BE32-E72D297353CC}">
              <c16:uniqueId val="{00000009-A71B-46AB-BAB4-353F4453F3F8}"/>
            </c:ext>
          </c:extLst>
        </c:ser>
        <c:dLbls>
          <c:showLegendKey val="0"/>
          <c:showVal val="0"/>
          <c:showCatName val="0"/>
          <c:showSerName val="0"/>
          <c:showPercent val="0"/>
          <c:showBubbleSize val="0"/>
        </c:dLbls>
        <c:marker val="1"/>
        <c:smooth val="0"/>
        <c:axId val="162543872"/>
        <c:axId val="162603008"/>
      </c:lineChart>
      <c:catAx>
        <c:axId val="1625438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62603008"/>
        <c:crosses val="autoZero"/>
        <c:auto val="1"/>
        <c:lblAlgn val="ctr"/>
        <c:lblOffset val="100"/>
        <c:noMultiLvlLbl val="0"/>
      </c:catAx>
      <c:valAx>
        <c:axId val="162603008"/>
        <c:scaling>
          <c:orientation val="minMax"/>
          <c:max val="72.5"/>
          <c:min val="30.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62543872"/>
        <c:crosses val="autoZero"/>
        <c:crossBetween val="between"/>
        <c:majorUnit val="2.5"/>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1229258735818"/>
          <c:y val="1.8216503424876768E-2"/>
          <c:w val="0.67595450840542404"/>
          <c:h val="0.93331000291630217"/>
        </c:manualLayout>
      </c:layout>
      <c:barChart>
        <c:barDir val="bar"/>
        <c:grouping val="clustered"/>
        <c:varyColors val="0"/>
        <c:ser>
          <c:idx val="0"/>
          <c:order val="0"/>
          <c:tx>
            <c:strRef>
              <c:f>Hoja1!$B$1</c:f>
              <c:strCache>
                <c:ptCount val="1"/>
                <c:pt idx="0">
                  <c:v>%</c:v>
                </c:pt>
              </c:strCache>
            </c:strRef>
          </c:tx>
          <c:spPr>
            <a:solidFill>
              <a:srgbClr val="FF9999">
                <a:alpha val="75000"/>
              </a:srgbClr>
            </a:solidFill>
            <a:ln>
              <a:solidFill>
                <a:schemeClr val="tx1">
                  <a:lumMod val="95000"/>
                  <a:lumOff val="5000"/>
                </a:schemeClr>
              </a:solidFill>
            </a:ln>
            <a:effectLst/>
          </c:spPr>
          <c:invertIfNegative val="0"/>
          <c:dPt>
            <c:idx val="7"/>
            <c:invertIfNegative val="0"/>
            <c:bubble3D val="0"/>
            <c:extLst xmlns:c16r2="http://schemas.microsoft.com/office/drawing/2015/06/chart">
              <c:ext xmlns:c16="http://schemas.microsoft.com/office/drawing/2014/chart" uri="{C3380CC4-5D6E-409C-BE32-E72D297353CC}">
                <c16:uniqueId val="{00000001-370D-4E4E-88EB-2323A8393725}"/>
              </c:ext>
            </c:extLst>
          </c:dPt>
          <c:dPt>
            <c:idx val="8"/>
            <c:invertIfNegative val="0"/>
            <c:bubble3D val="0"/>
            <c:spPr>
              <a:solidFill>
                <a:srgbClr val="C00000">
                  <a:alpha val="75000"/>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3-370D-4E4E-88EB-2323A8393725}"/>
              </c:ext>
            </c:extLst>
          </c:dPt>
          <c:dPt>
            <c:idx val="9"/>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5-370D-4E4E-88EB-2323A8393725}"/>
              </c:ext>
            </c:extLst>
          </c:dPt>
          <c:dPt>
            <c:idx val="10"/>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7-370D-4E4E-88EB-2323A8393725}"/>
              </c:ext>
            </c:extLst>
          </c:dPt>
          <c:dPt>
            <c:idx val="11"/>
            <c:invertIfNegative val="0"/>
            <c:bubble3D val="0"/>
            <c:spPr>
              <a:solidFill>
                <a:srgbClr val="FF7C80">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9-370D-4E4E-88EB-2323A8393725}"/>
              </c:ext>
            </c:extLst>
          </c:dPt>
          <c:dPt>
            <c:idx val="12"/>
            <c:invertIfNegative val="0"/>
            <c:bubble3D val="0"/>
            <c:spPr>
              <a:solidFill>
                <a:srgbClr val="FF7C80">
                  <a:alpha val="75000"/>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B-370D-4E4E-88EB-2323A8393725}"/>
              </c:ext>
            </c:extLst>
          </c:dPt>
          <c:dPt>
            <c:idx val="13"/>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D-370D-4E4E-88EB-2323A8393725}"/>
              </c:ext>
            </c:extLst>
          </c:dPt>
          <c:dPt>
            <c:idx val="14"/>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F-370D-4E4E-88EB-2323A8393725}"/>
              </c:ext>
            </c:extLst>
          </c:dPt>
          <c:dLbls>
            <c:dLbl>
              <c:idx val="19"/>
              <c:layout>
                <c:manualLayout>
                  <c:x val="-1.3295143311980156E-3"/>
                  <c:y val="-4.1402713522016234E-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370D-4E4E-88EB-2323A839372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Hoja1!$A$2:$A$21</c:f>
              <c:strCache>
                <c:ptCount val="20"/>
                <c:pt idx="0">
                  <c:v>Obligaciones </c:v>
                </c:pt>
                <c:pt idx="1">
                  <c:v>Economía</c:v>
                </c:pt>
                <c:pt idx="2">
                  <c:v>Cultura</c:v>
                </c:pt>
                <c:pt idx="3">
                  <c:v>Secretarías</c:v>
                </c:pt>
                <c:pt idx="4">
                  <c:v>Agricultura</c:v>
                </c:pt>
                <c:pt idx="5">
                  <c:v>Energía</c:v>
                </c:pt>
                <c:pt idx="6">
                  <c:v>Comunicaciones</c:v>
                </c:pt>
                <c:pt idx="7">
                  <c:v>Presidencia</c:v>
                </c:pt>
                <c:pt idx="8">
                  <c:v>Total</c:v>
                </c:pt>
                <c:pt idx="9">
                  <c:v>Finanzas</c:v>
                </c:pt>
                <c:pt idx="10">
                  <c:v>Defensa </c:v>
                </c:pt>
                <c:pt idx="11">
                  <c:v>Desarrollo</c:v>
                </c:pt>
                <c:pt idx="12">
                  <c:v>Trabajo </c:v>
                </c:pt>
                <c:pt idx="13">
                  <c:v>Ambiente </c:v>
                </c:pt>
                <c:pt idx="14">
                  <c:v>MINREX</c:v>
                </c:pt>
                <c:pt idx="15">
                  <c:v>Salud Pública </c:v>
                </c:pt>
                <c:pt idx="16">
                  <c:v>Deuda Pública</c:v>
                </c:pt>
                <c:pt idx="17">
                  <c:v>Gobernación</c:v>
                </c:pt>
                <c:pt idx="18">
                  <c:v>Educación </c:v>
                </c:pt>
                <c:pt idx="19">
                  <c:v>PGN</c:v>
                </c:pt>
              </c:strCache>
            </c:strRef>
          </c:cat>
          <c:val>
            <c:numRef>
              <c:f>Hoja1!$B$2:$B$21</c:f>
              <c:numCache>
                <c:formatCode>0.0</c:formatCode>
                <c:ptCount val="20"/>
                <c:pt idx="0">
                  <c:v>48.172466493944412</c:v>
                </c:pt>
                <c:pt idx="1">
                  <c:v>51.218348987747866</c:v>
                </c:pt>
                <c:pt idx="2">
                  <c:v>51.897921219493895</c:v>
                </c:pt>
                <c:pt idx="3">
                  <c:v>52.476354173107879</c:v>
                </c:pt>
                <c:pt idx="4">
                  <c:v>56.476784375007085</c:v>
                </c:pt>
                <c:pt idx="5">
                  <c:v>58.131782642571395</c:v>
                </c:pt>
                <c:pt idx="6">
                  <c:v>59.462970544971363</c:v>
                </c:pt>
                <c:pt idx="7">
                  <c:v>59.615263699731905</c:v>
                </c:pt>
                <c:pt idx="8">
                  <c:v>59.93469597939999</c:v>
                </c:pt>
                <c:pt idx="9">
                  <c:v>60.202722339422522</c:v>
                </c:pt>
                <c:pt idx="10">
                  <c:v>62.19694222442704</c:v>
                </c:pt>
                <c:pt idx="11">
                  <c:v>62.590135150631234</c:v>
                </c:pt>
                <c:pt idx="12">
                  <c:v>65.394978121227908</c:v>
                </c:pt>
                <c:pt idx="13">
                  <c:v>66.084542059572911</c:v>
                </c:pt>
                <c:pt idx="14">
                  <c:v>66.262611365477298</c:v>
                </c:pt>
                <c:pt idx="15">
                  <c:v>69.36320471224748</c:v>
                </c:pt>
                <c:pt idx="16">
                  <c:v>69.76664900650195</c:v>
                </c:pt>
                <c:pt idx="17">
                  <c:v>70.669513441138534</c:v>
                </c:pt>
                <c:pt idx="18">
                  <c:v>71.207319834694744</c:v>
                </c:pt>
                <c:pt idx="19">
                  <c:v>72.171434215693338</c:v>
                </c:pt>
              </c:numCache>
            </c:numRef>
          </c:val>
          <c:extLst xmlns:c16r2="http://schemas.microsoft.com/office/drawing/2015/06/chart">
            <c:ext xmlns:c16="http://schemas.microsoft.com/office/drawing/2014/chart" uri="{C3380CC4-5D6E-409C-BE32-E72D297353CC}">
              <c16:uniqueId val="{00000011-370D-4E4E-88EB-2323A8393725}"/>
            </c:ext>
          </c:extLst>
        </c:ser>
        <c:dLbls>
          <c:showLegendKey val="0"/>
          <c:showVal val="0"/>
          <c:showCatName val="0"/>
          <c:showSerName val="0"/>
          <c:showPercent val="0"/>
          <c:showBubbleSize val="0"/>
        </c:dLbls>
        <c:gapWidth val="100"/>
        <c:axId val="162638464"/>
        <c:axId val="219230592"/>
      </c:barChart>
      <c:catAx>
        <c:axId val="162638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19230592"/>
        <c:crosses val="autoZero"/>
        <c:auto val="1"/>
        <c:lblAlgn val="ctr"/>
        <c:lblOffset val="100"/>
        <c:noMultiLvlLbl val="0"/>
      </c:catAx>
      <c:valAx>
        <c:axId val="219230592"/>
        <c:scaling>
          <c:orientation val="minMax"/>
          <c:max val="80"/>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62638464"/>
        <c:crosses val="autoZero"/>
        <c:crossBetween val="between"/>
        <c:majorUnit val="20"/>
        <c:minorUnit val="5"/>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5.2306229196386118E-2"/>
          <c:y val="5.7049714751426242E-2"/>
          <c:w val="0.94769377080361383"/>
          <c:h val="0.8369969646214761"/>
        </c:manualLayout>
      </c:layout>
      <c:ofPieChart>
        <c:ofPieType val="pie"/>
        <c:varyColors val="1"/>
        <c:ser>
          <c:idx val="0"/>
          <c:order val="0"/>
          <c:tx>
            <c:strRef>
              <c:f>Sheet1!$B$1</c:f>
              <c:strCache>
                <c:ptCount val="1"/>
                <c:pt idx="0">
                  <c:v>Column1</c:v>
                </c:pt>
              </c:strCache>
            </c:strRef>
          </c:tx>
          <c:spPr>
            <a:ln w="9525">
              <a:solidFill>
                <a:schemeClr val="tx1"/>
              </a:solidFill>
            </a:ln>
            <a:effectLst>
              <a:softEdge rad="0"/>
            </a:effectLst>
          </c:spPr>
          <c:dPt>
            <c:idx val="0"/>
            <c:bubble3D val="0"/>
            <c:spPr>
              <a:solidFill>
                <a:schemeClr val="accent1">
                  <a:shade val="58000"/>
                </a:schemeClr>
              </a:solidFill>
              <a:ln w="9525">
                <a:solidFill>
                  <a:schemeClr val="tx1"/>
                </a:solidFill>
              </a:ln>
              <a:effectLst>
                <a:softEdge rad="0"/>
              </a:effectLst>
            </c:spPr>
            <c:extLst xmlns:c16r2="http://schemas.microsoft.com/office/drawing/2015/06/chart">
              <c:ext xmlns:c16="http://schemas.microsoft.com/office/drawing/2014/chart" uri="{C3380CC4-5D6E-409C-BE32-E72D297353CC}">
                <c16:uniqueId val="{00000001-F986-4B45-A5EB-B8A195E08C3E}"/>
              </c:ext>
            </c:extLst>
          </c:dPt>
          <c:dPt>
            <c:idx val="1"/>
            <c:bubble3D val="0"/>
            <c:spPr>
              <a:solidFill>
                <a:schemeClr val="accent1">
                  <a:shade val="86000"/>
                </a:schemeClr>
              </a:solidFill>
              <a:ln w="9525">
                <a:solidFill>
                  <a:schemeClr val="tx1"/>
                </a:solidFill>
              </a:ln>
              <a:effectLst>
                <a:softEdge rad="0"/>
              </a:effectLst>
            </c:spPr>
            <c:extLst xmlns:c16r2="http://schemas.microsoft.com/office/drawing/2015/06/chart">
              <c:ext xmlns:c16="http://schemas.microsoft.com/office/drawing/2014/chart" uri="{C3380CC4-5D6E-409C-BE32-E72D297353CC}">
                <c16:uniqueId val="{00000003-F986-4B45-A5EB-B8A195E08C3E}"/>
              </c:ext>
            </c:extLst>
          </c:dPt>
          <c:dPt>
            <c:idx val="2"/>
            <c:bubble3D val="0"/>
            <c:spPr>
              <a:solidFill>
                <a:schemeClr val="accent1">
                  <a:tint val="86000"/>
                </a:schemeClr>
              </a:solidFill>
              <a:ln w="9525">
                <a:solidFill>
                  <a:schemeClr val="tx1"/>
                </a:solidFill>
              </a:ln>
              <a:effectLst>
                <a:softEdge rad="0"/>
              </a:effectLst>
            </c:spPr>
            <c:extLst xmlns:c16r2="http://schemas.microsoft.com/office/drawing/2015/06/chart">
              <c:ext xmlns:c16="http://schemas.microsoft.com/office/drawing/2014/chart" uri="{C3380CC4-5D6E-409C-BE32-E72D297353CC}">
                <c16:uniqueId val="{00000005-F986-4B45-A5EB-B8A195E08C3E}"/>
              </c:ext>
            </c:extLst>
          </c:dPt>
          <c:dPt>
            <c:idx val="3"/>
            <c:bubble3D val="0"/>
            <c:spPr>
              <a:solidFill>
                <a:schemeClr val="accent1">
                  <a:tint val="58000"/>
                </a:schemeClr>
              </a:solidFill>
              <a:ln w="9525">
                <a:solidFill>
                  <a:schemeClr val="tx1"/>
                </a:solidFill>
              </a:ln>
              <a:effectLst>
                <a:softEdge rad="0"/>
              </a:effectLst>
            </c:spPr>
            <c:extLst xmlns:c16r2="http://schemas.microsoft.com/office/drawing/2015/06/chart">
              <c:ext xmlns:c16="http://schemas.microsoft.com/office/drawing/2014/chart" uri="{C3380CC4-5D6E-409C-BE32-E72D297353CC}">
                <c16:uniqueId val="{00000007-F986-4B45-A5EB-B8A195E08C3E}"/>
              </c:ext>
            </c:extLst>
          </c:dPt>
          <c:dPt>
            <c:idx val="4"/>
            <c:bubble3D val="0"/>
            <c:spPr>
              <a:solidFill>
                <a:schemeClr val="accent1">
                  <a:lumMod val="50000"/>
                </a:schemeClr>
              </a:solidFill>
              <a:ln w="9525">
                <a:solidFill>
                  <a:schemeClr val="tx1"/>
                </a:solidFill>
              </a:ln>
              <a:effectLst>
                <a:softEdge rad="0"/>
              </a:effectLst>
            </c:spPr>
            <c:extLst xmlns:c16r2="http://schemas.microsoft.com/office/drawing/2015/06/chart">
              <c:ext xmlns:c16="http://schemas.microsoft.com/office/drawing/2014/chart" uri="{C3380CC4-5D6E-409C-BE32-E72D297353CC}">
                <c16:uniqueId val="{00000009-F986-4B45-A5EB-B8A195E08C3E}"/>
              </c:ext>
            </c:extLst>
          </c:dPt>
          <c:dLbls>
            <c:dLbl>
              <c:idx val="0"/>
              <c:layout>
                <c:manualLayout>
                  <c:x val="0.1184268938365463"/>
                  <c:y val="-8.4504215734095191E-3"/>
                </c:manualLayout>
              </c:layout>
              <c:spPr>
                <a:noFill/>
                <a:ln w="6350">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986-4B45-A5EB-B8A195E08C3E}"/>
                </c:ext>
              </c:extLst>
            </c:dLbl>
            <c:dLbl>
              <c:idx val="2"/>
              <c:layout>
                <c:manualLayout>
                  <c:x val="-3.2327586206896551E-3"/>
                  <c:y val="0.2"/>
                </c:manualLayout>
              </c:layout>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34806034482758619"/>
                      <c:h val="0.3345132743362832"/>
                    </c:manualLayout>
                  </c15:layout>
                </c:ext>
                <c:ext xmlns:c16="http://schemas.microsoft.com/office/drawing/2014/chart" uri="{C3380CC4-5D6E-409C-BE32-E72D297353CC}">
                  <c16:uniqueId val="{00000005-F986-4B45-A5EB-B8A195E08C3E}"/>
                </c:ext>
              </c:extLst>
            </c:dLbl>
            <c:dLbl>
              <c:idx val="3"/>
              <c:layout>
                <c:manualLayout>
                  <c:x val="8.3939383654629385E-2"/>
                  <c:y val="-1.1582746846909624E-2"/>
                </c:manualLayout>
              </c:layou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986-4B45-A5EB-B8A195E08C3E}"/>
                </c:ext>
              </c:extLst>
            </c:dLbl>
            <c:dLbl>
              <c:idx val="4"/>
              <c:layout>
                <c:manualLayout>
                  <c:x val="-0.25337954792288897"/>
                  <c:y val="-2.9636401644484705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en-US" baseline="0">
                        <a:solidFill>
                          <a:schemeClr val="bg1"/>
                        </a:solidFill>
                        <a:latin typeface="Times New Roman" panose="02020603050405020304" pitchFamily="18" charset="0"/>
                        <a:cs typeface="Times New Roman" panose="02020603050405020304" pitchFamily="18" charset="0"/>
                      </a:rPr>
                      <a:t>Colocado; </a:t>
                    </a:r>
                    <a:fld id="{36066939-FD9D-4D7E-89B2-F23616AF3D74}" type="VALUE">
                      <a:rPr lang="en-US" baseline="0">
                        <a:solidFill>
                          <a:schemeClr val="bg1"/>
                        </a:solidFill>
                        <a:latin typeface="Times New Roman" panose="02020603050405020304" pitchFamily="18" charset="0"/>
                        <a:cs typeface="Times New Roman" panose="02020603050405020304" pitchFamily="18" charset="0"/>
                      </a:rPr>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[VALOR]</a:t>
                    </a:fld>
                    <a:endParaRPr lang="en-US" baseline="0">
                      <a:solidFill>
                        <a:schemeClr val="bg1"/>
                      </a:solidFill>
                      <a:latin typeface="Times New Roman" panose="02020603050405020304" pitchFamily="18" charset="0"/>
                      <a:cs typeface="Times New Roman" panose="02020603050405020304" pitchFamily="18" charset="0"/>
                    </a:endParaRPr>
                  </a:p>
                </c:rich>
              </c:tx>
              <c:spPr>
                <a:noFill/>
                <a:ln w="6350">
                  <a:noFill/>
                </a:ln>
                <a:effectLst/>
              </c:spPr>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F986-4B45-A5EB-B8A195E08C3E}"/>
                </c:ext>
              </c:extLst>
            </c:dLbl>
            <c:spPr>
              <a:noFill/>
              <a:ln w="6350">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Sheet1!$A$2:$A$5</c:f>
              <c:strCache>
                <c:ptCount val="4"/>
                <c:pt idx="0">
                  <c:v>Por Colocar</c:v>
                </c:pt>
                <c:pt idx="1">
                  <c:v>Colocado</c:v>
                </c:pt>
                <c:pt idx="2">
                  <c:v>Nuevo Endeudamiento</c:v>
                </c:pt>
                <c:pt idx="3">
                  <c:v>Roll Over</c:v>
                </c:pt>
              </c:strCache>
            </c:strRef>
          </c:cat>
          <c:val>
            <c:numRef>
              <c:f>Sheet1!$B$2:$B$5</c:f>
              <c:numCache>
                <c:formatCode>General</c:formatCode>
                <c:ptCount val="4"/>
                <c:pt idx="0" formatCode="#,##0.0">
                  <c:v>8834.3225494500002</c:v>
                </c:pt>
                <c:pt idx="2" formatCode="#,##0.0">
                  <c:v>13746.61745055</c:v>
                </c:pt>
                <c:pt idx="3" formatCode="#,##0.0">
                  <c:v>1897.53</c:v>
                </c:pt>
              </c:numCache>
            </c:numRef>
          </c:val>
          <c:extLst xmlns:c16r2="http://schemas.microsoft.com/office/drawing/2015/06/chart">
            <c:ext xmlns:c16="http://schemas.microsoft.com/office/drawing/2014/chart" uri="{C3380CC4-5D6E-409C-BE32-E72D297353CC}">
              <c16:uniqueId val="{0000000A-F986-4B45-A5EB-B8A195E08C3E}"/>
            </c:ext>
          </c:extLst>
        </c:ser>
        <c:dLbls>
          <c:showLegendKey val="0"/>
          <c:showVal val="0"/>
          <c:showCatName val="0"/>
          <c:showSerName val="0"/>
          <c:showPercent val="0"/>
          <c:showBubbleSize val="0"/>
          <c:showLeaderLines val="0"/>
        </c:dLbls>
        <c:gapWidth val="29"/>
        <c:secondPieSize val="63"/>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82A0A-A642-43EA-BA05-E5A1268BD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4826</Words>
  <Characters>26543</Characters>
  <Application>Microsoft Office Word</Application>
  <DocSecurity>0</DocSecurity>
  <Lines>221</Lines>
  <Paragraphs>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31307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 Enrique De León Meneses</dc:creator>
  <cp:lastModifiedBy>René Augusto Castro González</cp:lastModifiedBy>
  <cp:revision>2</cp:revision>
  <cp:lastPrinted>2021-07-09T18:17:00Z</cp:lastPrinted>
  <dcterms:created xsi:type="dcterms:W3CDTF">2021-10-19T17:51:00Z</dcterms:created>
  <dcterms:modified xsi:type="dcterms:W3CDTF">2021-10-19T17:51:00Z</dcterms:modified>
</cp:coreProperties>
</file>