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51" w:rsidRPr="00C74E80" w:rsidRDefault="00E348DD"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C74E80"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C74E80">
        <w:rPr>
          <w:rFonts w:ascii="Times New Roman" w:hAnsi="Times New Roman" w:cs="Times New Roman"/>
          <w:b/>
          <w:lang w:val="es-MX"/>
        </w:rPr>
        <w:t xml:space="preserve">En </w:t>
      </w:r>
      <w:r w:rsidR="00442575" w:rsidRPr="00C74E80">
        <w:rPr>
          <w:rFonts w:ascii="Times New Roman" w:hAnsi="Times New Roman" w:cs="Times New Roman"/>
          <w:b/>
          <w:lang w:val="es-MX"/>
        </w:rPr>
        <w:t>noviem</w:t>
      </w:r>
      <w:r w:rsidR="00BA7AF8" w:rsidRPr="00C74E80">
        <w:rPr>
          <w:rFonts w:ascii="Times New Roman" w:hAnsi="Times New Roman" w:cs="Times New Roman"/>
          <w:b/>
          <w:lang w:val="es-MX"/>
        </w:rPr>
        <w:t>bre</w:t>
      </w:r>
      <w:r w:rsidR="003D7EBA" w:rsidRPr="00C74E80">
        <w:rPr>
          <w:rFonts w:ascii="Times New Roman" w:hAnsi="Times New Roman" w:cs="Times New Roman"/>
          <w:b/>
          <w:lang w:val="es-MX"/>
        </w:rPr>
        <w:t xml:space="preserve"> </w:t>
      </w:r>
      <w:r w:rsidR="00B44B94" w:rsidRPr="00C74E80">
        <w:rPr>
          <w:rFonts w:ascii="Times New Roman" w:hAnsi="Times New Roman" w:cs="Times New Roman"/>
          <w:b/>
          <w:lang w:val="es-MX"/>
        </w:rPr>
        <w:t xml:space="preserve">el </w:t>
      </w:r>
      <w:r w:rsidR="007A1B15" w:rsidRPr="00C74E80">
        <w:rPr>
          <w:rFonts w:ascii="Times New Roman" w:hAnsi="Times New Roman" w:cs="Times New Roman"/>
          <w:b/>
          <w:lang w:val="es-MX"/>
        </w:rPr>
        <w:t>déficit</w:t>
      </w:r>
      <w:r w:rsidR="00E37543" w:rsidRPr="00C74E80">
        <w:rPr>
          <w:rFonts w:ascii="Times New Roman" w:hAnsi="Times New Roman" w:cs="Times New Roman"/>
          <w:b/>
          <w:lang w:val="es-MX"/>
        </w:rPr>
        <w:t xml:space="preserve"> </w:t>
      </w:r>
      <w:r w:rsidR="004B799B" w:rsidRPr="00C74E80">
        <w:rPr>
          <w:rFonts w:ascii="Times New Roman" w:hAnsi="Times New Roman" w:cs="Times New Roman"/>
          <w:b/>
          <w:lang w:val="es-MX"/>
        </w:rPr>
        <w:t>fiscal</w:t>
      </w:r>
      <w:r w:rsidR="006E737B" w:rsidRPr="00C74E80">
        <w:rPr>
          <w:rFonts w:ascii="Times New Roman" w:hAnsi="Times New Roman" w:cs="Times New Roman"/>
          <w:b/>
          <w:lang w:val="es-MX"/>
        </w:rPr>
        <w:t xml:space="preserve"> </w:t>
      </w:r>
      <w:r w:rsidR="00442575" w:rsidRPr="00C74E80">
        <w:rPr>
          <w:rFonts w:ascii="Times New Roman" w:hAnsi="Times New Roman" w:cs="Times New Roman"/>
          <w:b/>
          <w:lang w:val="es-MX"/>
        </w:rPr>
        <w:t>es de 3.9</w:t>
      </w:r>
      <w:r w:rsidR="006E737B" w:rsidRPr="00C74E80">
        <w:rPr>
          <w:rFonts w:ascii="Times New Roman" w:hAnsi="Times New Roman" w:cs="Times New Roman"/>
          <w:b/>
          <w:lang w:val="es-MX"/>
        </w:rPr>
        <w:t xml:space="preserve">% </w:t>
      </w:r>
      <w:r w:rsidR="00CC108B" w:rsidRPr="00C74E80">
        <w:rPr>
          <w:rFonts w:ascii="Times New Roman" w:hAnsi="Times New Roman" w:cs="Times New Roman"/>
          <w:b/>
          <w:lang w:val="es-MX"/>
        </w:rPr>
        <w:t xml:space="preserve"> del PIB</w:t>
      </w:r>
    </w:p>
    <w:p w:rsidR="007D4651" w:rsidRPr="0007418D" w:rsidRDefault="007D4651" w:rsidP="00BF0E86">
      <w:pPr>
        <w:pStyle w:val="Sinespaciado"/>
        <w:rPr>
          <w:rFonts w:ascii="Times New Roman" w:hAnsi="Times New Roman" w:cs="Times New Roman"/>
          <w:b/>
          <w:color w:val="FF0000"/>
          <w:sz w:val="6"/>
          <w:lang w:val="es-MX"/>
        </w:rPr>
      </w:pPr>
    </w:p>
    <w:p w:rsidR="007D4651" w:rsidRPr="0007418D" w:rsidRDefault="007D4651" w:rsidP="00BF0E86">
      <w:pPr>
        <w:pStyle w:val="Sinespaciado"/>
        <w:jc w:val="center"/>
        <w:rPr>
          <w:rFonts w:ascii="Times New Roman" w:hAnsi="Times New Roman" w:cs="Times New Roman"/>
          <w:b/>
          <w:color w:val="FF0000"/>
          <w:sz w:val="16"/>
          <w:lang w:val="es-MX"/>
        </w:rPr>
      </w:pPr>
    </w:p>
    <w:p w:rsidR="009C4027" w:rsidRPr="0007418D" w:rsidRDefault="009C4027" w:rsidP="00BF0E86">
      <w:pPr>
        <w:pStyle w:val="Sinespaciado"/>
        <w:jc w:val="center"/>
        <w:rPr>
          <w:rFonts w:ascii="Times New Roman" w:hAnsi="Times New Roman" w:cs="Times New Roman"/>
          <w:b/>
          <w:color w:val="FF0000"/>
          <w:lang w:val="es-MX"/>
        </w:rPr>
        <w:sectPr w:rsidR="009C4027" w:rsidRPr="0007418D" w:rsidSect="004E358C">
          <w:type w:val="continuous"/>
          <w:pgSz w:w="12240" w:h="15840"/>
          <w:pgMar w:top="1417" w:right="1701" w:bottom="1417" w:left="1701" w:header="708" w:footer="708" w:gutter="0"/>
          <w:cols w:space="708"/>
          <w:docGrid w:linePitch="360"/>
        </w:sectPr>
      </w:pPr>
    </w:p>
    <w:p w:rsidR="00C74E80" w:rsidRDefault="00C74E80" w:rsidP="004C1AB9">
      <w:pPr>
        <w:pStyle w:val="Sinespaciado"/>
        <w:jc w:val="both"/>
        <w:rPr>
          <w:rFonts w:ascii="Times New Roman" w:hAnsi="Times New Roman" w:cs="Times New Roman"/>
          <w:lang w:val="es-US"/>
        </w:rPr>
      </w:pPr>
      <w:r w:rsidRPr="00C74E80">
        <w:rPr>
          <w:rFonts w:ascii="Times New Roman" w:hAnsi="Times New Roman" w:cs="Times New Roman"/>
          <w:lang w:val="es-US"/>
        </w:rPr>
        <w:lastRenderedPageBreak/>
        <w:t>El resultado presupuestar</w:t>
      </w:r>
      <w:r w:rsidR="00DE4CD6">
        <w:rPr>
          <w:rFonts w:ascii="Times New Roman" w:hAnsi="Times New Roman" w:cs="Times New Roman"/>
          <w:lang w:val="es-US"/>
        </w:rPr>
        <w:t>io del gobierno central, muestra</w:t>
      </w:r>
      <w:r w:rsidRPr="00C74E80">
        <w:rPr>
          <w:rFonts w:ascii="Times New Roman" w:hAnsi="Times New Roman" w:cs="Times New Roman"/>
          <w:lang w:val="es-US"/>
        </w:rPr>
        <w:t xml:space="preserve"> un déficit fiscal que se sitúa en Q22,767.2 millones</w:t>
      </w:r>
      <w:r w:rsidR="00DE4CD6">
        <w:rPr>
          <w:rFonts w:ascii="Times New Roman" w:hAnsi="Times New Roman" w:cs="Times New Roman"/>
          <w:lang w:val="es-US"/>
        </w:rPr>
        <w:t xml:space="preserve"> </w:t>
      </w:r>
      <w:r w:rsidR="00DE4CD6" w:rsidRPr="00C74E80">
        <w:rPr>
          <w:rFonts w:ascii="Times New Roman" w:hAnsi="Times New Roman" w:cs="Times New Roman"/>
          <w:lang w:val="es-US"/>
        </w:rPr>
        <w:t>al 30 de noviembre de 2020</w:t>
      </w:r>
      <w:r w:rsidRPr="00C74E80">
        <w:rPr>
          <w:rFonts w:ascii="Times New Roman" w:hAnsi="Times New Roman" w:cs="Times New Roman"/>
          <w:lang w:val="es-US"/>
        </w:rPr>
        <w:t xml:space="preserve">, correspondiente al 3.9% del PIB. Dada la dinámica entre los ingresos y los gastos, este déficit fiscal es menor al esperado. </w:t>
      </w:r>
    </w:p>
    <w:p w:rsidR="004C1AB9" w:rsidRDefault="004C1AB9" w:rsidP="004C1AB9">
      <w:pPr>
        <w:pStyle w:val="Sinespaciado"/>
        <w:ind w:right="283"/>
        <w:jc w:val="both"/>
        <w:rPr>
          <w:rFonts w:ascii="Times New Roman" w:hAnsi="Times New Roman" w:cs="Times New Roman"/>
          <w:lang w:val="es-US"/>
        </w:rPr>
      </w:pPr>
    </w:p>
    <w:p w:rsidR="00C74E80" w:rsidRPr="00C74E80" w:rsidRDefault="00C74E80" w:rsidP="00D7015D">
      <w:pPr>
        <w:pStyle w:val="Sinespaciado"/>
        <w:jc w:val="both"/>
        <w:rPr>
          <w:rFonts w:ascii="Times New Roman" w:hAnsi="Times New Roman" w:cs="Times New Roman"/>
          <w:lang w:val="es-US"/>
        </w:rPr>
      </w:pPr>
      <w:r w:rsidRPr="00C74E80">
        <w:rPr>
          <w:rFonts w:ascii="Times New Roman" w:hAnsi="Times New Roman" w:cs="Times New Roman"/>
          <w:lang w:val="es-US"/>
        </w:rPr>
        <w:t>Por una parte, los ingresos tributarios han mostrado un mejor dinamismo, en noviembre se generó una brecha positiva en la recaudación tributaria respecto a la meta de presupuesto por Q8.2 millones, al igual que ocurrió en octubre, en dicho mes la brecha positiva fue mayor (Q308.5 millones), aunque explicada en una parte por la prórroga en el pago del Impuesto de Circulación de Vehículos de julio a octubre.</w:t>
      </w:r>
    </w:p>
    <w:p w:rsidR="00C74E80" w:rsidRPr="00C74E80" w:rsidRDefault="00C74E80" w:rsidP="004C1AB9">
      <w:pPr>
        <w:pStyle w:val="Sinespaciado"/>
        <w:tabs>
          <w:tab w:val="left" w:pos="3686"/>
        </w:tabs>
        <w:ind w:left="-284" w:right="283"/>
        <w:jc w:val="both"/>
        <w:rPr>
          <w:rFonts w:ascii="Times New Roman" w:hAnsi="Times New Roman" w:cs="Times New Roman"/>
          <w:lang w:val="es-US"/>
        </w:rPr>
      </w:pPr>
      <w:r w:rsidRPr="00C74E80">
        <w:rPr>
          <w:rFonts w:ascii="Times New Roman" w:hAnsi="Times New Roman" w:cs="Times New Roman"/>
          <w:lang w:val="es-US"/>
        </w:rPr>
        <w:lastRenderedPageBreak/>
        <w:t xml:space="preserve">El gasto público por su parte se muestra dinámico, pero por debajo de lo previsto, en el gasto destinado a la atención de la emergencia COVID-19 algunos programas ya han sido ejecutados en su totalidad o están por concluir, mientras que en otros posiblemente no se logre viabilizar su ejecución. De esa cuenta, el gasto público reporta un crecimiento interanual de 15.0% (al incluir amortizaciones de la deuda pública). </w:t>
      </w:r>
    </w:p>
    <w:p w:rsidR="00C74E80" w:rsidRPr="00C74E80" w:rsidRDefault="00C74E80" w:rsidP="004C1AB9">
      <w:pPr>
        <w:pStyle w:val="Sinespaciado"/>
        <w:ind w:left="-284" w:right="283"/>
        <w:jc w:val="both"/>
        <w:rPr>
          <w:rFonts w:ascii="Times New Roman" w:hAnsi="Times New Roman" w:cs="Times New Roman"/>
          <w:lang w:val="es-US"/>
        </w:rPr>
      </w:pPr>
    </w:p>
    <w:p w:rsidR="006E737B" w:rsidRPr="00C74E80" w:rsidRDefault="00C74E80" w:rsidP="004C1AB9">
      <w:pPr>
        <w:pStyle w:val="Sinespaciado"/>
        <w:ind w:left="-284" w:right="283"/>
        <w:jc w:val="both"/>
        <w:rPr>
          <w:rFonts w:ascii="Times New Roman" w:hAnsi="Times New Roman" w:cs="Times New Roman"/>
          <w:lang w:val="es-US"/>
        </w:rPr>
        <w:sectPr w:rsidR="006E737B" w:rsidRPr="00C74E80" w:rsidSect="004C1AB9">
          <w:type w:val="continuous"/>
          <w:pgSz w:w="12240" w:h="15840" w:code="1"/>
          <w:pgMar w:top="1418" w:right="1418" w:bottom="1418" w:left="1701" w:header="709" w:footer="709" w:gutter="0"/>
          <w:cols w:num="2" w:space="899"/>
          <w:docGrid w:linePitch="360"/>
        </w:sectPr>
      </w:pPr>
      <w:r w:rsidRPr="00C74E80">
        <w:rPr>
          <w:rFonts w:ascii="Times New Roman" w:hAnsi="Times New Roman" w:cs="Times New Roman"/>
          <w:lang w:val="es-US"/>
        </w:rPr>
        <w:t xml:space="preserve">Se espera que en el último mes del año haya una aceleración del gasto público y de esa cuenta, el déficit fiscal continuará creciendo, aunque a un nivel menor del previsto, pudiendo ubicarse al cierre de año en 4.9% del PIB. </w:t>
      </w:r>
    </w:p>
    <w:p w:rsidR="00634664" w:rsidRPr="00D7015D" w:rsidRDefault="00634664" w:rsidP="00BF0E86">
      <w:pPr>
        <w:pStyle w:val="Sinespaciado"/>
        <w:rPr>
          <w:rFonts w:ascii="Times New Roman" w:hAnsi="Times New Roman" w:cs="Times New Roman"/>
          <w:b/>
          <w:color w:val="FF0000"/>
          <w:lang w:val="es-US"/>
        </w:rPr>
      </w:pPr>
    </w:p>
    <w:p w:rsidR="006F5EA0" w:rsidRPr="00C74E80" w:rsidRDefault="00950874" w:rsidP="00BF0E86">
      <w:pPr>
        <w:pStyle w:val="Sinespaciado"/>
        <w:jc w:val="center"/>
        <w:rPr>
          <w:rFonts w:ascii="Times New Roman" w:hAnsi="Times New Roman" w:cs="Times New Roman"/>
          <w:b/>
          <w:sz w:val="24"/>
          <w:lang w:val="es-MX"/>
        </w:rPr>
      </w:pPr>
      <w:r w:rsidRPr="00C74E80">
        <w:rPr>
          <w:rFonts w:ascii="Times New Roman" w:hAnsi="Times New Roman" w:cs="Times New Roman"/>
          <w:b/>
          <w:sz w:val="24"/>
          <w:lang w:val="es-MX"/>
        </w:rPr>
        <w:t>Resultado Presupuestario</w:t>
      </w:r>
    </w:p>
    <w:p w:rsidR="00CC108B" w:rsidRPr="00C74E80" w:rsidRDefault="00CC108B" w:rsidP="00BF0E86">
      <w:pPr>
        <w:pStyle w:val="Sinespaciado"/>
        <w:jc w:val="center"/>
        <w:rPr>
          <w:rFonts w:ascii="Times New Roman" w:hAnsi="Times New Roman" w:cs="Times New Roman"/>
          <w:sz w:val="20"/>
          <w:lang w:val="es-MX"/>
        </w:rPr>
      </w:pPr>
      <w:r w:rsidRPr="00C74E80">
        <w:rPr>
          <w:rFonts w:ascii="Times New Roman" w:hAnsi="Times New Roman" w:cs="Times New Roman"/>
          <w:sz w:val="20"/>
          <w:lang w:val="es-MX"/>
        </w:rPr>
        <w:t>Cifras en millones de quetzales</w:t>
      </w:r>
      <w:r w:rsidR="006F5EA0" w:rsidRPr="00C74E80">
        <w:rPr>
          <w:rFonts w:ascii="Times New Roman" w:hAnsi="Times New Roman" w:cs="Times New Roman"/>
          <w:lang w:val="es-MX"/>
        </w:rPr>
        <w:t xml:space="preserve">      </w:t>
      </w:r>
    </w:p>
    <w:p w:rsidR="00950874" w:rsidRPr="00C74E80" w:rsidRDefault="00BA7AF8" w:rsidP="00BF0E86">
      <w:pPr>
        <w:pStyle w:val="Sinespaciado"/>
        <w:jc w:val="center"/>
        <w:rPr>
          <w:rFonts w:ascii="Times New Roman" w:hAnsi="Times New Roman" w:cs="Times New Roman"/>
          <w:sz w:val="18"/>
          <w:lang w:val="es-MX"/>
        </w:rPr>
      </w:pPr>
      <w:r w:rsidRPr="00C74E80">
        <w:rPr>
          <w:rFonts w:ascii="Times New Roman" w:hAnsi="Times New Roman" w:cs="Times New Roman"/>
          <w:sz w:val="20"/>
          <w:lang w:val="es-MX"/>
        </w:rPr>
        <w:t xml:space="preserve">Al </w:t>
      </w:r>
      <w:r w:rsidR="00442575" w:rsidRPr="00C74E80">
        <w:rPr>
          <w:rFonts w:ascii="Times New Roman" w:hAnsi="Times New Roman" w:cs="Times New Roman"/>
          <w:sz w:val="20"/>
          <w:lang w:val="es-MX"/>
        </w:rPr>
        <w:t>30</w:t>
      </w:r>
      <w:r w:rsidR="006F5EA0" w:rsidRPr="00C74E80">
        <w:rPr>
          <w:rFonts w:ascii="Times New Roman" w:hAnsi="Times New Roman" w:cs="Times New Roman"/>
          <w:sz w:val="20"/>
          <w:lang w:val="es-MX"/>
        </w:rPr>
        <w:t xml:space="preserve"> de </w:t>
      </w:r>
      <w:r w:rsidR="00442575" w:rsidRPr="00C74E80">
        <w:rPr>
          <w:rFonts w:ascii="Times New Roman" w:hAnsi="Times New Roman" w:cs="Times New Roman"/>
          <w:sz w:val="20"/>
          <w:lang w:val="es-MX"/>
        </w:rPr>
        <w:t>noviem</w:t>
      </w:r>
      <w:r w:rsidRPr="00C74E80">
        <w:rPr>
          <w:rFonts w:ascii="Times New Roman" w:hAnsi="Times New Roman" w:cs="Times New Roman"/>
          <w:sz w:val="20"/>
          <w:lang w:val="es-MX"/>
        </w:rPr>
        <w:t>bre</w:t>
      </w:r>
      <w:r w:rsidR="006F5EA0" w:rsidRPr="00C74E80">
        <w:rPr>
          <w:rFonts w:ascii="Times New Roman" w:hAnsi="Times New Roman" w:cs="Times New Roman"/>
          <w:sz w:val="20"/>
          <w:lang w:val="es-MX"/>
        </w:rPr>
        <w:t xml:space="preserve"> de cada año</w:t>
      </w:r>
    </w:p>
    <w:p w:rsidR="005C4C97" w:rsidRPr="00C74E80" w:rsidRDefault="00C74E80" w:rsidP="00BF0E86">
      <w:pPr>
        <w:pStyle w:val="Sinespaciado"/>
        <w:jc w:val="center"/>
        <w:rPr>
          <w:noProof/>
          <w:lang w:eastAsia="es-GT"/>
        </w:rPr>
      </w:pPr>
      <w:r w:rsidRPr="00C74E80">
        <w:rPr>
          <w:noProof/>
          <w:lang w:val="es-ES" w:eastAsia="es-ES"/>
        </w:rPr>
        <w:drawing>
          <wp:inline distT="0" distB="0" distL="0" distR="0" wp14:anchorId="48C5F648" wp14:editId="6D861267">
            <wp:extent cx="5305425" cy="2244437"/>
            <wp:effectExtent l="0" t="0" r="0" b="3810"/>
            <wp:docPr id="7"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5996" w:rsidRDefault="007F443F" w:rsidP="00D7015D">
      <w:pPr>
        <w:pStyle w:val="Sinespaciado"/>
        <w:jc w:val="both"/>
        <w:rPr>
          <w:rFonts w:ascii="Times New Roman" w:hAnsi="Times New Roman" w:cs="Times New Roman"/>
          <w:sz w:val="16"/>
        </w:rPr>
      </w:pPr>
      <w:r w:rsidRPr="00C74E80">
        <w:rPr>
          <w:rFonts w:ascii="Times New Roman" w:hAnsi="Times New Roman" w:cs="Times New Roman"/>
          <w:sz w:val="16"/>
        </w:rPr>
        <w:t xml:space="preserve">          </w:t>
      </w:r>
      <w:r w:rsidR="00157C3A" w:rsidRPr="00C74E80">
        <w:rPr>
          <w:rFonts w:ascii="Times New Roman" w:hAnsi="Times New Roman" w:cs="Times New Roman"/>
          <w:sz w:val="16"/>
        </w:rPr>
        <w:t>F</w:t>
      </w:r>
      <w:r w:rsidR="007D4651" w:rsidRPr="00C74E80">
        <w:rPr>
          <w:rFonts w:ascii="Times New Roman" w:hAnsi="Times New Roman" w:cs="Times New Roman"/>
          <w:sz w:val="16"/>
        </w:rPr>
        <w:t>uente: Dirección de Análisis y Política fiscal</w:t>
      </w:r>
    </w:p>
    <w:p w:rsidR="00D7015D" w:rsidRPr="00D7015D" w:rsidRDefault="00D7015D" w:rsidP="00D7015D">
      <w:pPr>
        <w:pStyle w:val="Sinespaciado"/>
        <w:jc w:val="both"/>
        <w:rPr>
          <w:rFonts w:ascii="Times New Roman" w:hAnsi="Times New Roman" w:cs="Times New Roman"/>
          <w:sz w:val="16"/>
        </w:rPr>
      </w:pPr>
    </w:p>
    <w:p w:rsidR="009C2275" w:rsidRPr="0007418D" w:rsidRDefault="009C2275" w:rsidP="00BF0E86">
      <w:pPr>
        <w:spacing w:after="0" w:line="240" w:lineRule="auto"/>
        <w:rPr>
          <w:rFonts w:ascii="Times New Roman" w:hAnsi="Times New Roman" w:cs="Times New Roman"/>
          <w:color w:val="FF0000"/>
          <w:sz w:val="8"/>
          <w:lang w:val="es-MX"/>
        </w:rPr>
      </w:pPr>
    </w:p>
    <w:p w:rsidR="009C2275" w:rsidRPr="00D7015D" w:rsidRDefault="009C2275" w:rsidP="00BF0E86">
      <w:pPr>
        <w:spacing w:after="0" w:line="240" w:lineRule="auto"/>
        <w:rPr>
          <w:rFonts w:ascii="Times New Roman" w:hAnsi="Times New Roman" w:cs="Times New Roman"/>
          <w:color w:val="FF0000"/>
          <w:lang w:val="es-MX"/>
        </w:rPr>
        <w:sectPr w:rsidR="009C2275" w:rsidRPr="00D7015D" w:rsidSect="007D4651">
          <w:type w:val="continuous"/>
          <w:pgSz w:w="12240" w:h="15840" w:code="1"/>
          <w:pgMar w:top="1418" w:right="1418" w:bottom="1418" w:left="1418" w:header="709" w:footer="709" w:gutter="0"/>
          <w:cols w:space="708"/>
          <w:docGrid w:linePitch="360"/>
        </w:sectPr>
      </w:pPr>
    </w:p>
    <w:p w:rsidR="00E16925" w:rsidRPr="00082678" w:rsidRDefault="006417A5"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082678" w:rsidSect="00E16925">
          <w:headerReference w:type="default" r:id="rId12"/>
          <w:footerReference w:type="default" r:id="rId13"/>
          <w:type w:val="continuous"/>
          <w:pgSz w:w="12240" w:h="15840" w:code="1"/>
          <w:pgMar w:top="1418" w:right="1418" w:bottom="1418" w:left="1418" w:header="709" w:footer="709" w:gutter="0"/>
          <w:cols w:space="708"/>
          <w:docGrid w:linePitch="360"/>
        </w:sectPr>
      </w:pPr>
      <w:r w:rsidRPr="00082678">
        <w:rPr>
          <w:rFonts w:ascii="Times New Roman" w:hAnsi="Times New Roman" w:cs="Times New Roman"/>
          <w:b/>
          <w:lang w:val="es-MX"/>
        </w:rPr>
        <w:lastRenderedPageBreak/>
        <w:t>De nuevo la meta</w:t>
      </w:r>
      <w:r w:rsidR="00264407" w:rsidRPr="00082678">
        <w:rPr>
          <w:rFonts w:ascii="Times New Roman" w:hAnsi="Times New Roman" w:cs="Times New Roman"/>
          <w:b/>
          <w:lang w:val="es-MX"/>
        </w:rPr>
        <w:t xml:space="preserve"> mensual de presupuesto se superó</w:t>
      </w:r>
    </w:p>
    <w:p w:rsidR="00E16925" w:rsidRPr="00082678" w:rsidRDefault="00E16925" w:rsidP="00BF0E86">
      <w:pPr>
        <w:pStyle w:val="Sinespaciado"/>
        <w:rPr>
          <w:rFonts w:ascii="Times New Roman" w:hAnsi="Times New Roman" w:cs="Times New Roman"/>
          <w:b/>
          <w:sz w:val="8"/>
          <w:lang w:val="es-MX"/>
        </w:rPr>
      </w:pPr>
    </w:p>
    <w:p w:rsidR="00E16925" w:rsidRPr="00082678" w:rsidRDefault="00E16925" w:rsidP="00BF0E86">
      <w:pPr>
        <w:pStyle w:val="Sinespaciado"/>
        <w:jc w:val="center"/>
        <w:rPr>
          <w:rFonts w:ascii="Times New Roman" w:hAnsi="Times New Roman" w:cs="Times New Roman"/>
          <w:b/>
          <w:sz w:val="14"/>
          <w:lang w:val="es-MX"/>
        </w:rPr>
      </w:pPr>
    </w:p>
    <w:p w:rsidR="00343A5D" w:rsidRPr="00082678" w:rsidRDefault="00343A5D" w:rsidP="00BF0E86">
      <w:pPr>
        <w:pStyle w:val="Sinespaciado"/>
        <w:rPr>
          <w:rFonts w:ascii="Times New Roman" w:hAnsi="Times New Roman" w:cs="Times New Roman"/>
          <w:b/>
          <w:sz w:val="20"/>
          <w:lang w:val="es-MX"/>
        </w:rPr>
        <w:sectPr w:rsidR="00343A5D" w:rsidRPr="00082678" w:rsidSect="004E358C">
          <w:type w:val="continuous"/>
          <w:pgSz w:w="12240" w:h="15840"/>
          <w:pgMar w:top="1417" w:right="1701" w:bottom="1417" w:left="1701" w:header="708" w:footer="708" w:gutter="0"/>
          <w:cols w:space="708"/>
          <w:docGrid w:linePitch="360"/>
        </w:sectPr>
      </w:pPr>
    </w:p>
    <w:p w:rsidR="00D7015D" w:rsidRPr="00082678" w:rsidRDefault="002362CE" w:rsidP="00BF0E86">
      <w:pPr>
        <w:spacing w:after="0" w:line="240" w:lineRule="auto"/>
        <w:jc w:val="both"/>
        <w:rPr>
          <w:rFonts w:ascii="Times New Roman" w:hAnsi="Times New Roman" w:cs="Times New Roman"/>
          <w:lang w:val="es-US"/>
        </w:rPr>
      </w:pPr>
      <w:r w:rsidRPr="00082678">
        <w:rPr>
          <w:rFonts w:ascii="Times New Roman" w:hAnsi="Times New Roman" w:cs="Times New Roman"/>
          <w:lang w:val="es-US"/>
        </w:rPr>
        <w:lastRenderedPageBreak/>
        <w:t xml:space="preserve">Luego de la reapertura gradual de la economía y el esfuerzo de SAT en el control de cumplimiento tributario, así como a mejoras en fiscalización y mayor efectividad </w:t>
      </w:r>
      <w:r w:rsidRPr="00082678">
        <w:rPr>
          <w:rFonts w:ascii="Times New Roman" w:hAnsi="Times New Roman" w:cs="Times New Roman"/>
          <w:lang w:val="es-US"/>
        </w:rPr>
        <w:lastRenderedPageBreak/>
        <w:t>en aduanas la meta mensual</w:t>
      </w:r>
      <w:r w:rsidR="00144E5F" w:rsidRPr="00082678">
        <w:rPr>
          <w:rFonts w:ascii="Times New Roman" w:hAnsi="Times New Roman" w:cs="Times New Roman"/>
          <w:lang w:val="es-US"/>
        </w:rPr>
        <w:t xml:space="preserve"> de presupuesto se superó en Q8</w:t>
      </w:r>
      <w:r w:rsidRPr="00082678">
        <w:rPr>
          <w:rFonts w:ascii="Times New Roman" w:hAnsi="Times New Roman" w:cs="Times New Roman"/>
          <w:lang w:val="es-US"/>
        </w:rPr>
        <w:t xml:space="preserve">.2 millones, impuestos que contribuyeron con esta brecha positiva son el ISO, el IVA doméstico, los derivados del </w:t>
      </w:r>
      <w:r w:rsidRPr="00082678">
        <w:rPr>
          <w:rFonts w:ascii="Times New Roman" w:hAnsi="Times New Roman" w:cs="Times New Roman"/>
          <w:lang w:val="es-US"/>
        </w:rPr>
        <w:lastRenderedPageBreak/>
        <w:t>petróleo y el de circulación de vehículos, IPRIMA, bebidas y cemento.</w:t>
      </w:r>
    </w:p>
    <w:p w:rsidR="001F4598" w:rsidRPr="00082678" w:rsidRDefault="00785996" w:rsidP="00BF0E86">
      <w:pPr>
        <w:spacing w:after="0" w:line="240" w:lineRule="auto"/>
        <w:jc w:val="center"/>
        <w:rPr>
          <w:rFonts w:ascii="Times New Roman" w:eastAsiaTheme="minorEastAsia" w:hAnsi="Times New Roman" w:cs="Times New Roman"/>
          <w:b/>
          <w:szCs w:val="24"/>
          <w:lang w:val="es-MX" w:eastAsia="es-ES"/>
        </w:rPr>
      </w:pPr>
      <w:r w:rsidRPr="00082678">
        <w:rPr>
          <w:rFonts w:ascii="Times New Roman" w:eastAsiaTheme="minorEastAsia" w:hAnsi="Times New Roman" w:cs="Times New Roman"/>
          <w:b/>
          <w:lang w:val="es-MX" w:eastAsia="es-ES"/>
        </w:rPr>
        <w:t>Brecha mensual de</w:t>
      </w:r>
      <w:r w:rsidR="001F4598" w:rsidRPr="00082678">
        <w:rPr>
          <w:rFonts w:ascii="Times New Roman" w:eastAsiaTheme="minorEastAsia" w:hAnsi="Times New Roman" w:cs="Times New Roman"/>
          <w:b/>
          <w:lang w:val="es-MX" w:eastAsia="es-ES"/>
        </w:rPr>
        <w:t xml:space="preserve"> recaudación tributaria</w:t>
      </w:r>
      <w:r w:rsidR="00264407" w:rsidRPr="00082678">
        <w:rPr>
          <w:rFonts w:ascii="Times New Roman" w:eastAsiaTheme="minorEastAsia" w:hAnsi="Times New Roman" w:cs="Times New Roman"/>
          <w:b/>
          <w:lang w:val="es-MX" w:eastAsia="es-ES"/>
        </w:rPr>
        <w:t xml:space="preserve"> respecto a presupuesto</w:t>
      </w:r>
      <w:r w:rsidR="001F4598" w:rsidRPr="00082678">
        <w:rPr>
          <w:rFonts w:ascii="Times New Roman" w:eastAsiaTheme="minorEastAsia" w:hAnsi="Times New Roman" w:cs="Times New Roman"/>
          <w:b/>
          <w:lang w:val="es-MX" w:eastAsia="es-ES"/>
        </w:rPr>
        <w:t xml:space="preserve"> </w:t>
      </w:r>
    </w:p>
    <w:p w:rsidR="009907A9" w:rsidRPr="00082678" w:rsidRDefault="00264407" w:rsidP="00BF0E86">
      <w:pPr>
        <w:spacing w:after="0" w:line="240" w:lineRule="auto"/>
        <w:jc w:val="center"/>
        <w:rPr>
          <w:rFonts w:ascii="Times New Roman" w:eastAsiaTheme="minorEastAsia" w:hAnsi="Times New Roman" w:cs="Times New Roman"/>
          <w:sz w:val="20"/>
          <w:szCs w:val="24"/>
          <w:lang w:val="es-MX" w:eastAsia="es-ES"/>
        </w:rPr>
      </w:pPr>
      <w:r w:rsidRPr="00082678">
        <w:rPr>
          <w:rFonts w:ascii="Times New Roman" w:eastAsiaTheme="minorEastAsia" w:hAnsi="Times New Roman" w:cs="Times New Roman"/>
          <w:sz w:val="20"/>
          <w:szCs w:val="24"/>
          <w:lang w:val="es-MX" w:eastAsia="es-ES"/>
        </w:rPr>
        <w:t>E</w:t>
      </w:r>
      <w:r w:rsidR="00785996" w:rsidRPr="00082678">
        <w:rPr>
          <w:rFonts w:ascii="Times New Roman" w:eastAsiaTheme="minorEastAsia" w:hAnsi="Times New Roman" w:cs="Times New Roman"/>
          <w:sz w:val="20"/>
          <w:szCs w:val="24"/>
          <w:lang w:val="es-MX" w:eastAsia="es-ES"/>
        </w:rPr>
        <w:t>n millones de quetzales</w:t>
      </w:r>
    </w:p>
    <w:p w:rsidR="00E62867" w:rsidRPr="00082678" w:rsidRDefault="002362CE" w:rsidP="00BF0E86">
      <w:pPr>
        <w:spacing w:after="0" w:line="240" w:lineRule="auto"/>
        <w:jc w:val="both"/>
        <w:rPr>
          <w:rFonts w:ascii="Times New Roman" w:hAnsi="Times New Roman" w:cs="Times New Roman"/>
          <w:lang w:val="es-US"/>
        </w:rPr>
      </w:pPr>
      <w:r w:rsidRPr="00082678">
        <w:rPr>
          <w:rFonts w:ascii="Times New Roman" w:hAnsi="Times New Roman" w:cs="Times New Roman"/>
          <w:noProof/>
          <w:lang w:val="es-ES" w:eastAsia="es-ES"/>
        </w:rPr>
        <w:drawing>
          <wp:inline distT="0" distB="0" distL="0" distR="0" wp14:anchorId="0929F828" wp14:editId="2A21DE50">
            <wp:extent cx="2630170" cy="1870364"/>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5996" w:rsidRPr="00082678" w:rsidRDefault="00E62867" w:rsidP="00BF0E86">
      <w:pPr>
        <w:spacing w:after="0" w:line="240" w:lineRule="auto"/>
        <w:jc w:val="both"/>
        <w:rPr>
          <w:rFonts w:ascii="Times New Roman" w:hAnsi="Times New Roman" w:cs="Times New Roman"/>
          <w:sz w:val="16"/>
          <w:lang w:val="es-MX"/>
        </w:rPr>
      </w:pPr>
      <w:r w:rsidRPr="00082678">
        <w:rPr>
          <w:rFonts w:ascii="Times New Roman" w:hAnsi="Times New Roman" w:cs="Times New Roman"/>
          <w:sz w:val="16"/>
          <w:lang w:val="es-MX"/>
        </w:rPr>
        <w:t>Fuente: Dirección de Análisis y Política Fiscal</w:t>
      </w:r>
    </w:p>
    <w:p w:rsidR="00A17ADB" w:rsidRPr="00082678" w:rsidRDefault="00A17ADB" w:rsidP="00BF0E86">
      <w:pPr>
        <w:spacing w:after="0" w:line="240" w:lineRule="auto"/>
        <w:rPr>
          <w:rFonts w:ascii="Times New Roman" w:hAnsi="Times New Roman" w:cs="Times New Roman"/>
          <w:b/>
          <w:lang w:val="es-US"/>
        </w:rPr>
      </w:pPr>
    </w:p>
    <w:p w:rsidR="00785996" w:rsidRPr="00082678" w:rsidRDefault="00785996" w:rsidP="00BF0E86">
      <w:pPr>
        <w:spacing w:after="0" w:line="240" w:lineRule="auto"/>
        <w:rPr>
          <w:rFonts w:ascii="Times New Roman" w:hAnsi="Times New Roman" w:cs="Times New Roman"/>
          <w:b/>
          <w:lang w:val="es-US"/>
        </w:rPr>
      </w:pPr>
      <w:r w:rsidRPr="00082678">
        <w:rPr>
          <w:rFonts w:ascii="Times New Roman" w:hAnsi="Times New Roman" w:cs="Times New Roman"/>
          <w:b/>
          <w:lang w:val="es-US"/>
        </w:rPr>
        <w:t>Impuesto a la Renta</w:t>
      </w:r>
    </w:p>
    <w:p w:rsidR="00785996" w:rsidRPr="00082678" w:rsidRDefault="00785996" w:rsidP="00BF0E86">
      <w:pPr>
        <w:spacing w:after="0" w:line="240" w:lineRule="auto"/>
        <w:rPr>
          <w:rFonts w:ascii="Times New Roman" w:hAnsi="Times New Roman" w:cs="Times New Roman"/>
          <w:b/>
          <w:lang w:val="es-US"/>
        </w:rPr>
      </w:pPr>
    </w:p>
    <w:p w:rsidR="00785996" w:rsidRPr="00082678" w:rsidRDefault="006417A5" w:rsidP="00BF0E86">
      <w:pPr>
        <w:spacing w:after="0" w:line="240" w:lineRule="auto"/>
        <w:jc w:val="both"/>
        <w:rPr>
          <w:rFonts w:ascii="Times New Roman" w:hAnsi="Times New Roman" w:cs="Times New Roman"/>
          <w:lang w:val="es-US"/>
        </w:rPr>
      </w:pPr>
      <w:r w:rsidRPr="00082678">
        <w:rPr>
          <w:rFonts w:ascii="Times New Roman" w:hAnsi="Times New Roman" w:cs="Times New Roman"/>
          <w:lang w:val="es-US"/>
        </w:rPr>
        <w:t>La recaudación mensual de este impuesto fue inferior a lo programado en presupuesto se dejaron de percibir Q28.6 millones, de manera preliminar se observa una caída en el régimen de actividades lucrativas y en el régimen de relación de dependencia, para el caso de las retenciones a los no residentes el resultado es positivo, esto medido respecto a 2019.</w:t>
      </w:r>
    </w:p>
    <w:p w:rsidR="00E62867" w:rsidRPr="00082678" w:rsidRDefault="00E62867" w:rsidP="00BF0E86">
      <w:pPr>
        <w:spacing w:after="0" w:line="240" w:lineRule="auto"/>
        <w:jc w:val="both"/>
        <w:rPr>
          <w:rFonts w:ascii="Times New Roman" w:hAnsi="Times New Roman" w:cs="Times New Roman"/>
          <w:lang w:val="es-US"/>
        </w:rPr>
      </w:pPr>
    </w:p>
    <w:p w:rsidR="001F4598" w:rsidRPr="00082678" w:rsidRDefault="001F4598" w:rsidP="00BF0E86">
      <w:pPr>
        <w:spacing w:after="0" w:line="240" w:lineRule="auto"/>
        <w:jc w:val="center"/>
        <w:rPr>
          <w:rFonts w:ascii="Times New Roman" w:eastAsiaTheme="minorEastAsia" w:hAnsi="Times New Roman" w:cs="Times New Roman"/>
          <w:b/>
          <w:szCs w:val="24"/>
          <w:lang w:val="es-MX" w:eastAsia="es-ES"/>
        </w:rPr>
      </w:pPr>
      <w:r w:rsidRPr="00082678">
        <w:rPr>
          <w:rFonts w:ascii="Times New Roman" w:eastAsiaTheme="minorEastAsia" w:hAnsi="Times New Roman" w:cs="Times New Roman"/>
          <w:b/>
          <w:szCs w:val="24"/>
          <w:lang w:val="es-MX" w:eastAsia="es-ES"/>
        </w:rPr>
        <w:t xml:space="preserve">Brecha de recaudación </w:t>
      </w:r>
      <w:r w:rsidR="00785996" w:rsidRPr="00082678">
        <w:rPr>
          <w:rFonts w:ascii="Times New Roman" w:eastAsiaTheme="minorEastAsia" w:hAnsi="Times New Roman" w:cs="Times New Roman"/>
          <w:b/>
          <w:szCs w:val="24"/>
          <w:lang w:val="es-MX" w:eastAsia="es-ES"/>
        </w:rPr>
        <w:t>del ISR</w:t>
      </w:r>
      <w:r w:rsidRPr="00082678">
        <w:rPr>
          <w:rFonts w:ascii="Times New Roman" w:eastAsiaTheme="minorEastAsia" w:hAnsi="Times New Roman" w:cs="Times New Roman"/>
          <w:b/>
          <w:szCs w:val="24"/>
          <w:lang w:val="es-MX" w:eastAsia="es-ES"/>
        </w:rPr>
        <w:t xml:space="preserve"> respecto a </w:t>
      </w:r>
      <w:r w:rsidR="00264407" w:rsidRPr="00082678">
        <w:rPr>
          <w:rFonts w:ascii="Times New Roman" w:eastAsiaTheme="minorEastAsia" w:hAnsi="Times New Roman" w:cs="Times New Roman"/>
          <w:b/>
          <w:szCs w:val="24"/>
          <w:lang w:val="es-MX" w:eastAsia="es-ES"/>
        </w:rPr>
        <w:t>presupuesto</w:t>
      </w:r>
    </w:p>
    <w:p w:rsidR="009907A9" w:rsidRPr="00082678" w:rsidRDefault="009907A9" w:rsidP="00BF0E86">
      <w:pPr>
        <w:spacing w:after="0" w:line="240" w:lineRule="auto"/>
        <w:jc w:val="center"/>
        <w:rPr>
          <w:rFonts w:ascii="Times New Roman" w:eastAsiaTheme="minorEastAsia" w:hAnsi="Times New Roman" w:cs="Times New Roman"/>
          <w:sz w:val="20"/>
          <w:szCs w:val="24"/>
          <w:lang w:val="es-MX" w:eastAsia="es-ES"/>
        </w:rPr>
      </w:pPr>
      <w:r w:rsidRPr="00082678">
        <w:rPr>
          <w:rFonts w:ascii="Times New Roman" w:eastAsiaTheme="minorEastAsia" w:hAnsi="Times New Roman" w:cs="Times New Roman"/>
          <w:sz w:val="20"/>
          <w:szCs w:val="24"/>
          <w:lang w:val="es-MX" w:eastAsia="es-ES"/>
        </w:rPr>
        <w:t>En millones de quetzales</w:t>
      </w:r>
    </w:p>
    <w:p w:rsidR="00E62867" w:rsidRPr="00082678" w:rsidRDefault="006417A5" w:rsidP="00BF0E86">
      <w:pPr>
        <w:spacing w:after="0" w:line="240" w:lineRule="auto"/>
        <w:jc w:val="both"/>
        <w:rPr>
          <w:rFonts w:ascii="Times New Roman" w:hAnsi="Times New Roman" w:cs="Times New Roman"/>
          <w:lang w:val="es-US"/>
        </w:rPr>
      </w:pPr>
      <w:r w:rsidRPr="00082678">
        <w:rPr>
          <w:rFonts w:ascii="Times New Roman" w:hAnsi="Times New Roman" w:cs="Times New Roman"/>
          <w:noProof/>
          <w:lang w:val="es-ES" w:eastAsia="es-ES"/>
        </w:rPr>
        <w:drawing>
          <wp:inline distT="0" distB="0" distL="0" distR="0" wp14:anchorId="705A7D59" wp14:editId="5A87BAD0">
            <wp:extent cx="2630170" cy="1793174"/>
            <wp:effectExtent l="0" t="0" r="0"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2867" w:rsidRPr="00082678" w:rsidRDefault="00E62867" w:rsidP="00BF0E86">
      <w:pPr>
        <w:spacing w:after="0"/>
        <w:jc w:val="both"/>
        <w:rPr>
          <w:rFonts w:ascii="Times New Roman" w:hAnsi="Times New Roman" w:cs="Times New Roman"/>
          <w:sz w:val="16"/>
          <w:lang w:val="es-MX"/>
        </w:rPr>
      </w:pPr>
      <w:r w:rsidRPr="00082678">
        <w:rPr>
          <w:rFonts w:ascii="Times New Roman" w:hAnsi="Times New Roman" w:cs="Times New Roman"/>
          <w:sz w:val="16"/>
          <w:lang w:val="es-MX"/>
        </w:rPr>
        <w:t>Fuente: Dirección de Análisis y Política Fiscal</w:t>
      </w:r>
    </w:p>
    <w:p w:rsidR="00264407" w:rsidRDefault="00264407" w:rsidP="00BF0E86">
      <w:pPr>
        <w:spacing w:after="0" w:line="240" w:lineRule="auto"/>
        <w:jc w:val="both"/>
        <w:rPr>
          <w:rFonts w:ascii="Times New Roman" w:hAnsi="Times New Roman" w:cs="Times New Roman"/>
          <w:b/>
          <w:bCs/>
        </w:rPr>
      </w:pPr>
    </w:p>
    <w:p w:rsidR="00D7015D" w:rsidRDefault="00D7015D" w:rsidP="00BF0E86">
      <w:pPr>
        <w:spacing w:after="0" w:line="240" w:lineRule="auto"/>
        <w:jc w:val="both"/>
        <w:rPr>
          <w:rFonts w:ascii="Times New Roman" w:hAnsi="Times New Roman" w:cs="Times New Roman"/>
          <w:b/>
          <w:bCs/>
        </w:rPr>
      </w:pPr>
    </w:p>
    <w:p w:rsidR="00D7015D" w:rsidRPr="00082678" w:rsidRDefault="00D7015D" w:rsidP="00BF0E86">
      <w:pPr>
        <w:spacing w:after="0" w:line="240" w:lineRule="auto"/>
        <w:jc w:val="both"/>
        <w:rPr>
          <w:rFonts w:ascii="Times New Roman" w:hAnsi="Times New Roman" w:cs="Times New Roman"/>
          <w:b/>
          <w:bCs/>
        </w:rPr>
      </w:pPr>
    </w:p>
    <w:p w:rsidR="00785996" w:rsidRPr="00082678" w:rsidRDefault="00785996" w:rsidP="00BF0E86">
      <w:pPr>
        <w:spacing w:after="0" w:line="240" w:lineRule="auto"/>
        <w:jc w:val="both"/>
        <w:rPr>
          <w:rFonts w:ascii="Times New Roman" w:hAnsi="Times New Roman" w:cs="Times New Roman"/>
          <w:b/>
          <w:lang w:val="es-US"/>
        </w:rPr>
      </w:pPr>
      <w:r w:rsidRPr="00082678">
        <w:rPr>
          <w:rFonts w:ascii="Times New Roman" w:hAnsi="Times New Roman" w:cs="Times New Roman"/>
          <w:b/>
          <w:lang w:val="es-US"/>
        </w:rPr>
        <w:t>Impuesto al valor agregado</w:t>
      </w:r>
    </w:p>
    <w:p w:rsidR="00785996" w:rsidRPr="00082678" w:rsidRDefault="00785996" w:rsidP="00BF0E86">
      <w:pPr>
        <w:spacing w:after="0" w:line="240" w:lineRule="auto"/>
        <w:rPr>
          <w:rFonts w:ascii="Times New Roman" w:hAnsi="Times New Roman" w:cs="Times New Roman"/>
          <w:b/>
          <w:lang w:val="es-US"/>
        </w:rPr>
      </w:pPr>
    </w:p>
    <w:p w:rsidR="006417A5" w:rsidRPr="00082678" w:rsidRDefault="006417A5" w:rsidP="00BF0E86">
      <w:pPr>
        <w:spacing w:after="0" w:line="240" w:lineRule="auto"/>
        <w:jc w:val="both"/>
        <w:rPr>
          <w:rFonts w:ascii="Times New Roman" w:hAnsi="Times New Roman" w:cs="Times New Roman"/>
          <w:lang w:val="es-US"/>
        </w:rPr>
      </w:pPr>
      <w:r w:rsidRPr="00082678">
        <w:rPr>
          <w:rFonts w:ascii="Times New Roman" w:hAnsi="Times New Roman" w:cs="Times New Roman"/>
          <w:lang w:val="es-US"/>
        </w:rPr>
        <w:t>El resultado del IVA total es positivo de manera mensual se supe</w:t>
      </w:r>
      <w:r w:rsidR="00082678" w:rsidRPr="00082678">
        <w:rPr>
          <w:rFonts w:ascii="Times New Roman" w:hAnsi="Times New Roman" w:cs="Times New Roman"/>
          <w:lang w:val="es-US"/>
        </w:rPr>
        <w:t>ró la meta de presupuesto en Q27.2</w:t>
      </w:r>
      <w:r w:rsidRPr="00082678">
        <w:rPr>
          <w:rFonts w:ascii="Times New Roman" w:hAnsi="Times New Roman" w:cs="Times New Roman"/>
          <w:lang w:val="es-US"/>
        </w:rPr>
        <w:t xml:space="preserve"> millones, esto a pesar de que el IVA de impo</w:t>
      </w:r>
      <w:r w:rsidR="00082678" w:rsidRPr="00082678">
        <w:rPr>
          <w:rFonts w:ascii="Times New Roman" w:hAnsi="Times New Roman" w:cs="Times New Roman"/>
          <w:lang w:val="es-US"/>
        </w:rPr>
        <w:t>rtaciones dejo de recaudar Q14.4</w:t>
      </w:r>
      <w:r w:rsidRPr="00082678">
        <w:rPr>
          <w:rFonts w:ascii="Times New Roman" w:hAnsi="Times New Roman" w:cs="Times New Roman"/>
          <w:lang w:val="es-US"/>
        </w:rPr>
        <w:t xml:space="preserve"> millones.</w:t>
      </w:r>
    </w:p>
    <w:p w:rsidR="00264407" w:rsidRPr="0007418D" w:rsidRDefault="00264407" w:rsidP="00BF0E86">
      <w:pPr>
        <w:spacing w:after="0" w:line="240" w:lineRule="auto"/>
        <w:jc w:val="both"/>
        <w:rPr>
          <w:rFonts w:ascii="Times New Roman" w:hAnsi="Times New Roman" w:cs="Times New Roman"/>
          <w:color w:val="FF0000"/>
          <w:lang w:val="es-US"/>
        </w:rPr>
      </w:pPr>
    </w:p>
    <w:p w:rsidR="006417A5" w:rsidRPr="00D7015D" w:rsidRDefault="006417A5" w:rsidP="00BF0E86">
      <w:pPr>
        <w:spacing w:after="0" w:line="240" w:lineRule="auto"/>
        <w:jc w:val="both"/>
        <w:rPr>
          <w:rFonts w:ascii="Times New Roman" w:hAnsi="Times New Roman" w:cs="Times New Roman"/>
          <w:lang w:val="es-US"/>
        </w:rPr>
      </w:pPr>
      <w:r w:rsidRPr="00D7015D">
        <w:rPr>
          <w:rFonts w:ascii="Times New Roman" w:hAnsi="Times New Roman" w:cs="Times New Roman"/>
          <w:lang w:val="es-US"/>
        </w:rPr>
        <w:t>La recaudación tributaria acumulada a noviembre asociada al comercio exterior tiene una caída de 10.3%, los impuestos internos a pesar de ser negativos muestran una mejora respecto a lo observado a octubre (-4.8%) ubicándose en –4.3% de variación respecto a lo observado a octubre de 2019.</w:t>
      </w:r>
    </w:p>
    <w:p w:rsidR="007D38F3" w:rsidRPr="00D7015D" w:rsidRDefault="007D38F3" w:rsidP="00BF0E86">
      <w:pPr>
        <w:spacing w:after="0" w:line="240" w:lineRule="auto"/>
        <w:jc w:val="both"/>
        <w:rPr>
          <w:rFonts w:ascii="Times New Roman" w:hAnsi="Times New Roman" w:cs="Times New Roman"/>
          <w:lang w:val="es-US"/>
        </w:rPr>
      </w:pPr>
    </w:p>
    <w:p w:rsidR="00785996" w:rsidRPr="00D7015D" w:rsidRDefault="00785996" w:rsidP="00BF0E86">
      <w:pPr>
        <w:spacing w:after="0" w:line="240" w:lineRule="auto"/>
        <w:jc w:val="center"/>
        <w:rPr>
          <w:rFonts w:ascii="Times New Roman" w:eastAsiaTheme="minorEastAsia" w:hAnsi="Times New Roman" w:cs="Times New Roman"/>
          <w:b/>
          <w:szCs w:val="24"/>
          <w:lang w:val="es-MX" w:eastAsia="es-ES"/>
        </w:rPr>
      </w:pPr>
      <w:r w:rsidRPr="00D7015D">
        <w:rPr>
          <w:rFonts w:ascii="Times New Roman" w:eastAsiaTheme="minorEastAsia" w:hAnsi="Times New Roman" w:cs="Times New Roman"/>
          <w:b/>
          <w:szCs w:val="24"/>
          <w:lang w:val="es-MX" w:eastAsia="es-ES"/>
        </w:rPr>
        <w:t xml:space="preserve">Variación interanual de recaudación tributaria acumulada a </w:t>
      </w:r>
      <w:r w:rsidR="006417A5" w:rsidRPr="00D7015D">
        <w:rPr>
          <w:rFonts w:ascii="Times New Roman" w:eastAsiaTheme="minorEastAsia" w:hAnsi="Times New Roman" w:cs="Times New Roman"/>
          <w:b/>
          <w:szCs w:val="24"/>
          <w:lang w:val="es-MX" w:eastAsia="es-ES"/>
        </w:rPr>
        <w:t>noviem</w:t>
      </w:r>
      <w:r w:rsidRPr="00D7015D">
        <w:rPr>
          <w:rFonts w:ascii="Times New Roman" w:eastAsiaTheme="minorEastAsia" w:hAnsi="Times New Roman" w:cs="Times New Roman"/>
          <w:b/>
          <w:szCs w:val="24"/>
          <w:lang w:val="es-MX" w:eastAsia="es-ES"/>
        </w:rPr>
        <w:t>bre</w:t>
      </w:r>
    </w:p>
    <w:p w:rsidR="00785996" w:rsidRPr="00D7015D" w:rsidRDefault="00264407" w:rsidP="00BF0E86">
      <w:pPr>
        <w:spacing w:after="0" w:line="240" w:lineRule="auto"/>
        <w:jc w:val="center"/>
        <w:rPr>
          <w:rFonts w:ascii="Times New Roman" w:eastAsiaTheme="minorEastAsia" w:hAnsi="Times New Roman" w:cs="Times New Roman"/>
          <w:sz w:val="20"/>
          <w:szCs w:val="24"/>
          <w:lang w:val="es-MX" w:eastAsia="es-ES"/>
        </w:rPr>
      </w:pPr>
      <w:r w:rsidRPr="00D7015D">
        <w:rPr>
          <w:rFonts w:ascii="Times New Roman" w:eastAsiaTheme="minorEastAsia" w:hAnsi="Times New Roman" w:cs="Times New Roman"/>
          <w:sz w:val="20"/>
          <w:szCs w:val="24"/>
          <w:lang w:val="es-MX" w:eastAsia="es-ES"/>
        </w:rPr>
        <w:t>En p</w:t>
      </w:r>
      <w:r w:rsidR="00785996" w:rsidRPr="00D7015D">
        <w:rPr>
          <w:rFonts w:ascii="Times New Roman" w:eastAsiaTheme="minorEastAsia" w:hAnsi="Times New Roman" w:cs="Times New Roman"/>
          <w:sz w:val="20"/>
          <w:szCs w:val="24"/>
          <w:lang w:val="es-MX" w:eastAsia="es-ES"/>
        </w:rPr>
        <w:t>orcentaje</w:t>
      </w:r>
    </w:p>
    <w:p w:rsidR="007D38F3" w:rsidRPr="00D7015D" w:rsidRDefault="006417A5" w:rsidP="00BF0E86">
      <w:pPr>
        <w:spacing w:after="0" w:line="240" w:lineRule="auto"/>
        <w:jc w:val="both"/>
        <w:rPr>
          <w:rFonts w:ascii="Times New Roman" w:hAnsi="Times New Roman" w:cs="Times New Roman"/>
          <w:lang w:val="es-US"/>
        </w:rPr>
      </w:pPr>
      <w:r w:rsidRPr="00D7015D">
        <w:rPr>
          <w:rFonts w:ascii="Times New Roman" w:hAnsi="Times New Roman" w:cs="Times New Roman"/>
          <w:noProof/>
          <w:lang w:val="es-ES" w:eastAsia="es-ES"/>
        </w:rPr>
        <w:drawing>
          <wp:inline distT="0" distB="0" distL="0" distR="0" wp14:anchorId="33EB3CE2" wp14:editId="628B86F0">
            <wp:extent cx="2577465" cy="2399386"/>
            <wp:effectExtent l="0" t="0" r="0" b="127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1786" w:rsidRPr="00D7015D" w:rsidRDefault="007D38F3" w:rsidP="00BF0E86">
      <w:pPr>
        <w:spacing w:after="0" w:line="240" w:lineRule="auto"/>
        <w:jc w:val="both"/>
        <w:rPr>
          <w:rFonts w:ascii="Times New Roman" w:hAnsi="Times New Roman" w:cs="Times New Roman"/>
          <w:sz w:val="24"/>
          <w:lang w:val="es-MX"/>
        </w:rPr>
      </w:pPr>
      <w:r w:rsidRPr="00D7015D">
        <w:rPr>
          <w:rFonts w:ascii="Times New Roman" w:hAnsi="Times New Roman" w:cs="Times New Roman"/>
          <w:sz w:val="16"/>
          <w:lang w:val="es-MX"/>
        </w:rPr>
        <w:t>Fuente: Dirección de Análisis y Política Fisca</w:t>
      </w:r>
      <w:r w:rsidR="00A17ADB" w:rsidRPr="00D7015D">
        <w:rPr>
          <w:rFonts w:ascii="Times New Roman" w:hAnsi="Times New Roman" w:cs="Times New Roman"/>
          <w:sz w:val="16"/>
          <w:lang w:val="es-MX"/>
        </w:rPr>
        <w:t>l</w:t>
      </w:r>
    </w:p>
    <w:p w:rsidR="001A1786" w:rsidRPr="00D7015D" w:rsidRDefault="001A1786" w:rsidP="00BF0E86">
      <w:pPr>
        <w:spacing w:after="0" w:line="240" w:lineRule="auto"/>
        <w:jc w:val="both"/>
        <w:rPr>
          <w:rFonts w:ascii="Times New Roman" w:hAnsi="Times New Roman" w:cs="Times New Roman"/>
          <w:b/>
          <w:lang w:val="es-US"/>
        </w:rPr>
      </w:pPr>
    </w:p>
    <w:p w:rsidR="00785996" w:rsidRPr="00082678" w:rsidRDefault="00785996" w:rsidP="00BF0E86">
      <w:pPr>
        <w:spacing w:after="0" w:line="240" w:lineRule="auto"/>
        <w:jc w:val="both"/>
        <w:rPr>
          <w:rFonts w:ascii="Times New Roman" w:hAnsi="Times New Roman" w:cs="Times New Roman"/>
          <w:b/>
          <w:lang w:val="es-US"/>
        </w:rPr>
      </w:pPr>
      <w:r w:rsidRPr="00082678">
        <w:rPr>
          <w:rFonts w:ascii="Times New Roman" w:hAnsi="Times New Roman" w:cs="Times New Roman"/>
          <w:b/>
          <w:lang w:val="es-US"/>
        </w:rPr>
        <w:t>Resto de impuestos</w:t>
      </w:r>
    </w:p>
    <w:p w:rsidR="00785996" w:rsidRPr="00082678" w:rsidRDefault="00785996" w:rsidP="00BF0E86">
      <w:pPr>
        <w:spacing w:after="0" w:line="240" w:lineRule="auto"/>
        <w:jc w:val="both"/>
        <w:rPr>
          <w:rFonts w:ascii="Times New Roman" w:hAnsi="Times New Roman" w:cs="Times New Roman"/>
          <w:lang w:val="es-US"/>
        </w:rPr>
      </w:pPr>
    </w:p>
    <w:p w:rsidR="006417A5" w:rsidRPr="00082678" w:rsidRDefault="006417A5" w:rsidP="00BF0E86">
      <w:pPr>
        <w:spacing w:after="0" w:line="240" w:lineRule="auto"/>
        <w:jc w:val="both"/>
        <w:rPr>
          <w:rFonts w:ascii="Times New Roman" w:hAnsi="Times New Roman" w:cs="Times New Roman"/>
          <w:lang w:val="es-US"/>
        </w:rPr>
      </w:pPr>
      <w:r w:rsidRPr="00082678">
        <w:rPr>
          <w:rFonts w:ascii="Times New Roman" w:hAnsi="Times New Roman" w:cs="Times New Roman"/>
          <w:lang w:val="es-US"/>
        </w:rPr>
        <w:t xml:space="preserve">Los Impuestos que de manera mensual superaron la meta de presupuesto son el impuesto al patrimonio, el ISO, derivados del petróleo, circulación de vehículos, IPRIMA, bebidas, y el de cemento, impuestos como el </w:t>
      </w:r>
      <w:r w:rsidRPr="00082678">
        <w:rPr>
          <w:rFonts w:ascii="Times New Roman" w:hAnsi="Times New Roman" w:cs="Times New Roman"/>
          <w:lang w:val="es-US"/>
        </w:rPr>
        <w:lastRenderedPageBreak/>
        <w:t>de regalías e hidrocarburos compartibles y salidas del país aún no recuperan los niveles programados.</w:t>
      </w:r>
    </w:p>
    <w:p w:rsidR="006417A5" w:rsidRPr="00082678" w:rsidRDefault="006417A5" w:rsidP="00BF0E86">
      <w:pPr>
        <w:spacing w:after="0" w:line="240" w:lineRule="auto"/>
        <w:jc w:val="both"/>
        <w:rPr>
          <w:rFonts w:ascii="Times New Roman" w:hAnsi="Times New Roman" w:cs="Times New Roman"/>
          <w:lang w:val="es-US"/>
        </w:rPr>
      </w:pPr>
      <w:r w:rsidRPr="00082678">
        <w:rPr>
          <w:rFonts w:ascii="Times New Roman" w:hAnsi="Times New Roman" w:cs="Times New Roman"/>
          <w:lang w:val="es-US"/>
        </w:rPr>
        <w:t>De manera acumulada el ISO, de distribución de bebidas y el de cemento son los únicos que superan la meta de presupuesto programada.</w:t>
      </w:r>
    </w:p>
    <w:p w:rsidR="001A1786" w:rsidRPr="00082678" w:rsidRDefault="001A1786"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Pr="00082678" w:rsidRDefault="00442575" w:rsidP="00BF0E86">
      <w:pPr>
        <w:spacing w:after="0" w:line="240" w:lineRule="auto"/>
        <w:jc w:val="both"/>
        <w:rPr>
          <w:rFonts w:ascii="Times New Roman" w:hAnsi="Times New Roman" w:cs="Times New Roman"/>
          <w:lang w:val="es-US"/>
        </w:rPr>
      </w:pPr>
    </w:p>
    <w:p w:rsidR="00442575" w:rsidRDefault="00442575" w:rsidP="00BF0E86">
      <w:pPr>
        <w:spacing w:after="0" w:line="240" w:lineRule="auto"/>
        <w:jc w:val="both"/>
        <w:rPr>
          <w:rFonts w:ascii="Times New Roman" w:hAnsi="Times New Roman" w:cs="Times New Roman"/>
          <w:lang w:val="es-US"/>
        </w:rPr>
      </w:pPr>
    </w:p>
    <w:p w:rsidR="00D7015D" w:rsidRDefault="00D7015D" w:rsidP="00BF0E86">
      <w:pPr>
        <w:spacing w:after="0" w:line="240" w:lineRule="auto"/>
        <w:jc w:val="both"/>
        <w:rPr>
          <w:rFonts w:ascii="Times New Roman" w:hAnsi="Times New Roman" w:cs="Times New Roman"/>
          <w:lang w:val="es-US"/>
        </w:rPr>
      </w:pPr>
    </w:p>
    <w:p w:rsidR="00D7015D" w:rsidRPr="00D7015D" w:rsidRDefault="00D7015D" w:rsidP="00BF0E86">
      <w:pPr>
        <w:spacing w:after="0" w:line="240" w:lineRule="auto"/>
        <w:jc w:val="both"/>
        <w:rPr>
          <w:rFonts w:ascii="Times New Roman" w:hAnsi="Times New Roman" w:cs="Times New Roman"/>
          <w:sz w:val="8"/>
          <w:lang w:val="es-US"/>
        </w:rPr>
      </w:pPr>
    </w:p>
    <w:p w:rsidR="00D7015D" w:rsidRDefault="00D7015D" w:rsidP="00BF0E86">
      <w:pPr>
        <w:spacing w:after="0" w:line="240" w:lineRule="auto"/>
        <w:jc w:val="both"/>
        <w:rPr>
          <w:rFonts w:ascii="Times New Roman" w:hAnsi="Times New Roman" w:cs="Times New Roman"/>
          <w:lang w:val="es-US"/>
        </w:rPr>
      </w:pPr>
    </w:p>
    <w:p w:rsidR="00D7015D" w:rsidRPr="00082678" w:rsidRDefault="00D7015D" w:rsidP="00BF0E86">
      <w:pPr>
        <w:spacing w:after="0" w:line="240" w:lineRule="auto"/>
        <w:jc w:val="both"/>
        <w:rPr>
          <w:rFonts w:ascii="Times New Roman" w:hAnsi="Times New Roman" w:cs="Times New Roman"/>
          <w:lang w:val="es-US"/>
        </w:rPr>
      </w:pPr>
    </w:p>
    <w:p w:rsidR="007D38F3" w:rsidRPr="00082678" w:rsidRDefault="007D38F3" w:rsidP="00BF0E86">
      <w:pPr>
        <w:spacing w:after="0" w:line="240" w:lineRule="auto"/>
        <w:jc w:val="center"/>
        <w:rPr>
          <w:rFonts w:ascii="Times New Roman" w:hAnsi="Times New Roman" w:cs="Times New Roman"/>
          <w:b/>
          <w:lang w:val="es-US"/>
        </w:rPr>
      </w:pPr>
      <w:r w:rsidRPr="00082678">
        <w:rPr>
          <w:rFonts w:ascii="Times New Roman" w:hAnsi="Times New Roman" w:cs="Times New Roman"/>
          <w:b/>
          <w:lang w:val="es-US"/>
        </w:rPr>
        <w:lastRenderedPageBreak/>
        <w:t>Brechas de recaudación tributaria neta</w:t>
      </w:r>
    </w:p>
    <w:p w:rsidR="007D38F3" w:rsidRPr="00082678" w:rsidRDefault="007D38F3" w:rsidP="00BF0E86">
      <w:pPr>
        <w:spacing w:after="0" w:line="240" w:lineRule="auto"/>
        <w:jc w:val="center"/>
        <w:rPr>
          <w:rFonts w:ascii="Times New Roman" w:hAnsi="Times New Roman" w:cs="Times New Roman"/>
          <w:sz w:val="20"/>
          <w:lang w:val="es-US"/>
        </w:rPr>
      </w:pPr>
      <w:r w:rsidRPr="00082678">
        <w:rPr>
          <w:rFonts w:ascii="Times New Roman" w:hAnsi="Times New Roman" w:cs="Times New Roman"/>
          <w:sz w:val="20"/>
          <w:lang w:val="es-US"/>
        </w:rPr>
        <w:t xml:space="preserve">Millones de </w:t>
      </w:r>
      <w:r w:rsidR="00C82125" w:rsidRPr="00082678">
        <w:rPr>
          <w:rFonts w:ascii="Times New Roman" w:hAnsi="Times New Roman" w:cs="Times New Roman"/>
          <w:sz w:val="20"/>
          <w:lang w:val="es-US"/>
        </w:rPr>
        <w:t>quetzales</w:t>
      </w:r>
    </w:p>
    <w:p w:rsidR="007D38F3" w:rsidRPr="00082678" w:rsidRDefault="006417A5" w:rsidP="00BF0E86">
      <w:pPr>
        <w:spacing w:after="0" w:line="240" w:lineRule="auto"/>
        <w:jc w:val="center"/>
        <w:rPr>
          <w:rFonts w:ascii="Times New Roman" w:hAnsi="Times New Roman" w:cs="Times New Roman"/>
          <w:sz w:val="20"/>
          <w:lang w:val="es-US"/>
        </w:rPr>
      </w:pPr>
      <w:r w:rsidRPr="00082678">
        <w:rPr>
          <w:rFonts w:ascii="Times New Roman" w:hAnsi="Times New Roman" w:cs="Times New Roman"/>
          <w:noProof/>
          <w:lang w:val="es-ES" w:eastAsia="es-ES"/>
        </w:rPr>
        <w:drawing>
          <wp:inline distT="0" distB="0" distL="0" distR="0" wp14:anchorId="043B3BDC" wp14:editId="6F740677">
            <wp:extent cx="2252980" cy="2886075"/>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17A5" w:rsidRPr="00082678" w:rsidRDefault="006417A5" w:rsidP="00BF0E86">
      <w:pPr>
        <w:spacing w:after="0" w:line="240" w:lineRule="auto"/>
        <w:jc w:val="both"/>
        <w:rPr>
          <w:rFonts w:ascii="Times New Roman" w:hAnsi="Times New Roman" w:cs="Times New Roman"/>
          <w:sz w:val="18"/>
          <w:lang w:val="es-US"/>
        </w:rPr>
        <w:sectPr w:rsidR="006417A5" w:rsidRPr="00082678" w:rsidSect="007D38F3">
          <w:type w:val="continuous"/>
          <w:pgSz w:w="12240" w:h="15840"/>
          <w:pgMar w:top="1417" w:right="1701" w:bottom="1417" w:left="1701" w:header="708" w:footer="708" w:gutter="0"/>
          <w:cols w:num="2" w:space="708"/>
          <w:docGrid w:linePitch="360"/>
        </w:sectPr>
      </w:pPr>
      <w:r w:rsidRPr="00082678">
        <w:rPr>
          <w:rFonts w:ascii="Times New Roman" w:hAnsi="Times New Roman" w:cs="Times New Roman"/>
          <w:sz w:val="16"/>
          <w:lang w:val="es-US"/>
        </w:rPr>
        <w:t>Fuente: Direcci</w:t>
      </w:r>
      <w:r w:rsidR="00D7015D">
        <w:rPr>
          <w:rFonts w:ascii="Times New Roman" w:hAnsi="Times New Roman" w:cs="Times New Roman"/>
          <w:sz w:val="16"/>
          <w:lang w:val="es-US"/>
        </w:rPr>
        <w:t>ón de Análisis y Política Fiscal</w:t>
      </w:r>
    </w:p>
    <w:p w:rsidR="00BA7AF8" w:rsidRPr="0007418D" w:rsidRDefault="00BA7AF8" w:rsidP="00BF0E86">
      <w:pPr>
        <w:spacing w:after="0" w:line="240" w:lineRule="auto"/>
        <w:jc w:val="both"/>
        <w:rPr>
          <w:rFonts w:ascii="Times New Roman" w:hAnsi="Times New Roman" w:cs="Times New Roman"/>
          <w:color w:val="FF0000"/>
          <w:sz w:val="8"/>
          <w:lang w:val="es-US"/>
        </w:rPr>
        <w:sectPr w:rsidR="00BA7AF8" w:rsidRPr="0007418D" w:rsidSect="007C66BE">
          <w:type w:val="continuous"/>
          <w:pgSz w:w="12240" w:h="15840"/>
          <w:pgMar w:top="1417" w:right="1701" w:bottom="1417" w:left="1701" w:header="720" w:footer="720" w:gutter="0"/>
          <w:cols w:num="2" w:space="720"/>
          <w:docGrid w:linePitch="360"/>
        </w:sectPr>
      </w:pPr>
    </w:p>
    <w:p w:rsidR="008B50C1" w:rsidRPr="0007418D" w:rsidRDefault="008B50C1" w:rsidP="00BF0E86">
      <w:pPr>
        <w:pStyle w:val="Sinespaciado"/>
        <w:jc w:val="both"/>
        <w:rPr>
          <w:rFonts w:ascii="Times New Roman" w:hAnsi="Times New Roman" w:cs="Times New Roman"/>
          <w:color w:val="FF0000"/>
          <w:sz w:val="10"/>
          <w:szCs w:val="18"/>
          <w:lang w:val="es-US"/>
        </w:rPr>
        <w:sectPr w:rsidR="008B50C1" w:rsidRPr="0007418D" w:rsidSect="005A03A9">
          <w:headerReference w:type="default" r:id="rId18"/>
          <w:footerReference w:type="default" r:id="rId19"/>
          <w:type w:val="continuous"/>
          <w:pgSz w:w="12240" w:h="15840"/>
          <w:pgMar w:top="1417" w:right="1701" w:bottom="1417" w:left="1701" w:header="708" w:footer="708" w:gutter="0"/>
          <w:cols w:num="2" w:space="708"/>
          <w:docGrid w:linePitch="360"/>
        </w:sectPr>
      </w:pPr>
    </w:p>
    <w:p w:rsidR="00FA3B81" w:rsidRPr="00D236C7" w:rsidRDefault="0079441E"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D236C7" w:rsidSect="00FA3B81">
          <w:headerReference w:type="default" r:id="rId20"/>
          <w:footerReference w:type="default" r:id="rId21"/>
          <w:type w:val="continuous"/>
          <w:pgSz w:w="12240" w:h="15840" w:code="1"/>
          <w:pgMar w:top="1418" w:right="1418" w:bottom="1418" w:left="1418" w:header="709" w:footer="709" w:gutter="0"/>
          <w:cols w:space="708"/>
          <w:docGrid w:linePitch="360"/>
        </w:sectPr>
      </w:pPr>
      <w:r w:rsidRPr="00D236C7">
        <w:rPr>
          <w:rFonts w:ascii="Times New Roman" w:hAnsi="Times New Roman" w:cs="Times New Roman"/>
          <w:b/>
          <w:lang w:val="es-MX"/>
        </w:rPr>
        <w:lastRenderedPageBreak/>
        <w:t>E</w:t>
      </w:r>
      <w:r w:rsidR="00951307" w:rsidRPr="00D236C7">
        <w:rPr>
          <w:rFonts w:ascii="Times New Roman" w:hAnsi="Times New Roman" w:cs="Times New Roman"/>
          <w:b/>
          <w:lang w:val="es-MX"/>
        </w:rPr>
        <w:t xml:space="preserve">l </w:t>
      </w:r>
      <w:r w:rsidR="00F36FE5" w:rsidRPr="00D236C7">
        <w:rPr>
          <w:rFonts w:ascii="Times New Roman" w:hAnsi="Times New Roman" w:cs="Times New Roman"/>
          <w:b/>
          <w:lang w:val="es-MX"/>
        </w:rPr>
        <w:t xml:space="preserve">gasto público </w:t>
      </w:r>
      <w:r w:rsidR="00442575" w:rsidRPr="00D236C7">
        <w:rPr>
          <w:rFonts w:ascii="Times New Roman" w:hAnsi="Times New Roman" w:cs="Times New Roman"/>
          <w:b/>
          <w:lang w:val="es-MX"/>
        </w:rPr>
        <w:t>repunta</w:t>
      </w:r>
      <w:r w:rsidRPr="00D236C7">
        <w:rPr>
          <w:rFonts w:ascii="Times New Roman" w:hAnsi="Times New Roman" w:cs="Times New Roman"/>
          <w:b/>
          <w:lang w:val="es-MX"/>
        </w:rPr>
        <w:t xml:space="preserve"> en </w:t>
      </w:r>
      <w:r w:rsidR="00442575" w:rsidRPr="00D236C7">
        <w:rPr>
          <w:rFonts w:ascii="Times New Roman" w:hAnsi="Times New Roman" w:cs="Times New Roman"/>
          <w:b/>
          <w:lang w:val="es-MX"/>
        </w:rPr>
        <w:t>noviem</w:t>
      </w:r>
      <w:r w:rsidRPr="00D236C7">
        <w:rPr>
          <w:rFonts w:ascii="Times New Roman" w:hAnsi="Times New Roman" w:cs="Times New Roman"/>
          <w:b/>
          <w:lang w:val="es-MX"/>
        </w:rPr>
        <w:t>bre</w:t>
      </w:r>
    </w:p>
    <w:p w:rsidR="00FA3B81" w:rsidRPr="0007418D" w:rsidRDefault="00FA3B81" w:rsidP="00BF0E86">
      <w:pPr>
        <w:pStyle w:val="Sinespaciado"/>
        <w:rPr>
          <w:rFonts w:ascii="Times New Roman" w:hAnsi="Times New Roman" w:cs="Times New Roman"/>
          <w:b/>
          <w:color w:val="FF0000"/>
          <w:sz w:val="18"/>
          <w:lang w:val="es-MX"/>
        </w:rPr>
      </w:pPr>
    </w:p>
    <w:p w:rsidR="00FA3B81" w:rsidRPr="0007418D" w:rsidRDefault="00FA3B81" w:rsidP="00BF0E86">
      <w:pPr>
        <w:pStyle w:val="Sinespaciado"/>
        <w:jc w:val="center"/>
        <w:rPr>
          <w:rFonts w:ascii="Times New Roman" w:hAnsi="Times New Roman" w:cs="Times New Roman"/>
          <w:b/>
          <w:color w:val="FF0000"/>
          <w:lang w:val="es-MX"/>
        </w:rPr>
        <w:sectPr w:rsidR="00FA3B81" w:rsidRPr="0007418D" w:rsidSect="004E358C">
          <w:type w:val="continuous"/>
          <w:pgSz w:w="12240" w:h="15840"/>
          <w:pgMar w:top="1417" w:right="1701" w:bottom="1417" w:left="1701" w:header="708" w:footer="708" w:gutter="0"/>
          <w:cols w:space="708"/>
          <w:docGrid w:linePitch="360"/>
        </w:sect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al mes de noviembre se aceleró en 0.8% respecto al ritmo observado en octubre, siendo el crecimiento interanual más elevado reportado en 2020 y superando el nivel de 2019. </w:t>
      </w:r>
    </w:p>
    <w:p w:rsidR="00D236C7" w:rsidRDefault="00D236C7" w:rsidP="00BF0E86">
      <w:pPr>
        <w:pStyle w:val="Sinespaciado"/>
        <w:jc w:val="both"/>
        <w:rPr>
          <w:rFonts w:ascii="Times New Roman" w:hAnsi="Times New Roman" w:cs="Times New Roman"/>
          <w:lang w:val="es-MX"/>
        </w:rPr>
      </w:pPr>
    </w:p>
    <w:p w:rsidR="00D7015D"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El gasto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Q81</w:t>
      </w:r>
      <w:r w:rsidRPr="00EC7D03">
        <w:rPr>
          <w:rFonts w:ascii="Times New Roman" w:hAnsi="Times New Roman" w:cs="Times New Roman"/>
          <w:lang w:val="es-MX"/>
        </w:rPr>
        <w:t>,</w:t>
      </w:r>
      <w:r>
        <w:rPr>
          <w:rFonts w:ascii="Times New Roman" w:hAnsi="Times New Roman" w:cs="Times New Roman"/>
          <w:lang w:val="es-MX"/>
        </w:rPr>
        <w:t xml:space="preserve">027.2 millones, con un crecimiento interanual positivo de </w:t>
      </w:r>
      <w:r w:rsidRPr="00A32053">
        <w:rPr>
          <w:rFonts w:ascii="Times New Roman" w:hAnsi="Times New Roman" w:cs="Times New Roman"/>
          <w:lang w:val="es-MX"/>
        </w:rPr>
        <w:t>1</w:t>
      </w:r>
      <w:r>
        <w:rPr>
          <w:rFonts w:ascii="Times New Roman" w:hAnsi="Times New Roman" w:cs="Times New Roman"/>
          <w:lang w:val="es-MX"/>
        </w:rPr>
        <w:t>5</w:t>
      </w:r>
      <w:r w:rsidRPr="00A32053">
        <w:rPr>
          <w:rFonts w:ascii="Times New Roman" w:hAnsi="Times New Roman" w:cs="Times New Roman"/>
          <w:lang w:val="es-MX"/>
        </w:rPr>
        <w:t>.</w:t>
      </w:r>
      <w:r>
        <w:rPr>
          <w:rFonts w:ascii="Times New Roman" w:hAnsi="Times New Roman" w:cs="Times New Roman"/>
          <w:lang w:val="es-MX"/>
        </w:rPr>
        <w:t>5</w:t>
      </w:r>
      <w:r w:rsidRPr="00A32053">
        <w:rPr>
          <w:rFonts w:ascii="Times New Roman" w:hAnsi="Times New Roman" w:cs="Times New Roman"/>
          <w:lang w:val="es-MX"/>
        </w:rPr>
        <w:t>%,</w:t>
      </w:r>
      <w:r>
        <w:rPr>
          <w:rFonts w:ascii="Times New Roman" w:hAnsi="Times New Roman" w:cs="Times New Roman"/>
          <w:lang w:val="es-MX"/>
        </w:rPr>
        <w:t xml:space="preserve"> lo que es equivalente a Q10,857.3 millones. </w:t>
      </w:r>
      <w:r w:rsidR="00D7015D">
        <w:rPr>
          <w:rFonts w:ascii="Times New Roman" w:hAnsi="Times New Roman" w:cs="Times New Roman"/>
          <w:lang w:val="es-MX"/>
        </w:rPr>
        <w:t xml:space="preserve">  A nivel de rubro de cuenta económica, el mayor crecimiento interanual se reporta en las transferencias corrientes, las cuales son mayores en Q7,499.1 millones a las reportadas en 2019, lo que representa un crecimiento de 57.2%, explicado principalmente por las transferencias al sector privado, en donde se encuentran registradas las realizadas al Bono </w:t>
      </w:r>
      <w:r w:rsidR="00D7015D">
        <w:rPr>
          <w:rFonts w:ascii="Times New Roman" w:hAnsi="Times New Roman" w:cs="Times New Roman"/>
          <w:lang w:val="es-MX"/>
        </w:rPr>
        <w:lastRenderedPageBreak/>
        <w:t>Familia y al Fondo de Protección de Empleo. Por su parte, las transferencias al sector público se encuentran cayendo en 3.1%, equivalente a Q290.3 millones, esto a pesar que durante el año se han trasladado Q630 millones al INDE por concepto de subsidio a la energía eléctrica.</w:t>
      </w:r>
    </w:p>
    <w:p w:rsidR="00D7015D" w:rsidRDefault="00D7015D" w:rsidP="004C1AB9">
      <w:pPr>
        <w:pStyle w:val="Sinespaciado"/>
        <w:ind w:right="95"/>
        <w:jc w:val="both"/>
        <w:rPr>
          <w:rFonts w:ascii="Times New Roman" w:hAnsi="Times New Roman" w:cs="Times New Roman"/>
          <w:lang w:val="es-MX"/>
        </w:rPr>
      </w:pPr>
    </w:p>
    <w:p w:rsidR="00D7015D" w:rsidRPr="00D236C7" w:rsidRDefault="00D7015D" w:rsidP="00D7015D">
      <w:pPr>
        <w:pStyle w:val="Sinespaciado"/>
        <w:jc w:val="center"/>
        <w:rPr>
          <w:rFonts w:ascii="Times New Roman" w:hAnsi="Times New Roman" w:cs="Times New Roman"/>
          <w:b/>
          <w:lang w:val="es-MX"/>
        </w:rPr>
      </w:pPr>
      <w:r w:rsidRPr="00D236C7">
        <w:rPr>
          <w:rFonts w:ascii="Times New Roman" w:hAnsi="Times New Roman" w:cs="Times New Roman"/>
          <w:b/>
          <w:lang w:val="es-MX"/>
        </w:rPr>
        <w:t>Ritmo de Ejecución del Gasto</w:t>
      </w:r>
    </w:p>
    <w:p w:rsidR="00D7015D" w:rsidRPr="00D236C7" w:rsidRDefault="00D7015D" w:rsidP="00D7015D">
      <w:pPr>
        <w:pStyle w:val="Sinespaciado"/>
        <w:jc w:val="center"/>
        <w:rPr>
          <w:rFonts w:ascii="Times New Roman" w:hAnsi="Times New Roman" w:cs="Times New Roman"/>
          <w:sz w:val="18"/>
          <w:lang w:val="es-MX"/>
        </w:rPr>
      </w:pPr>
      <w:r>
        <w:rPr>
          <w:rFonts w:ascii="Times New Roman" w:hAnsi="Times New Roman" w:cs="Times New Roman"/>
          <w:noProof/>
          <w:sz w:val="18"/>
          <w:lang w:val="es-ES" w:eastAsia="es-ES"/>
        </w:rPr>
        <w:drawing>
          <wp:anchor distT="0" distB="0" distL="114300" distR="114300" simplePos="0" relativeHeight="251880448" behindDoc="0" locked="0" layoutInCell="1" allowOverlap="1" wp14:anchorId="3E0C11B6" wp14:editId="70104E3A">
            <wp:simplePos x="0" y="0"/>
            <wp:positionH relativeFrom="column">
              <wp:posOffset>-85725</wp:posOffset>
            </wp:positionH>
            <wp:positionV relativeFrom="paragraph">
              <wp:posOffset>158750</wp:posOffset>
            </wp:positionV>
            <wp:extent cx="2949575" cy="2333625"/>
            <wp:effectExtent l="0" t="0" r="3175" b="0"/>
            <wp:wrapSquare wrapText="bothSides"/>
            <wp:docPr id="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236C7">
        <w:rPr>
          <w:rFonts w:ascii="Times New Roman" w:hAnsi="Times New Roman" w:cs="Times New Roman"/>
          <w:sz w:val="20"/>
          <w:lang w:val="es-MX"/>
        </w:rPr>
        <w:t>Variación Interanual*</w:t>
      </w:r>
    </w:p>
    <w:p w:rsidR="00D7015D" w:rsidRPr="00D236C7" w:rsidRDefault="00D7015D" w:rsidP="00D7015D">
      <w:pPr>
        <w:pStyle w:val="Sinespaciado"/>
        <w:rPr>
          <w:rFonts w:ascii="Times New Roman" w:hAnsi="Times New Roman" w:cs="Times New Roman"/>
          <w:sz w:val="16"/>
          <w:lang w:val="es-MX"/>
        </w:rPr>
      </w:pPr>
      <w:r w:rsidRPr="00D236C7">
        <w:rPr>
          <w:rFonts w:ascii="Times New Roman" w:hAnsi="Times New Roman" w:cs="Times New Roman"/>
          <w:sz w:val="16"/>
          <w:lang w:val="es-MX"/>
        </w:rPr>
        <w:lastRenderedPageBreak/>
        <w:t>*No incluye amortizaciones de la deuda pública</w:t>
      </w:r>
    </w:p>
    <w:p w:rsidR="00D7015D" w:rsidRPr="00D236C7" w:rsidRDefault="00D7015D" w:rsidP="00D7015D">
      <w:pPr>
        <w:spacing w:after="0" w:line="240" w:lineRule="auto"/>
        <w:jc w:val="both"/>
        <w:rPr>
          <w:rFonts w:ascii="Times New Roman" w:hAnsi="Times New Roman" w:cs="Times New Roman"/>
          <w:sz w:val="16"/>
        </w:rPr>
      </w:pPr>
      <w:r w:rsidRPr="00D236C7">
        <w:rPr>
          <w:rFonts w:ascii="Times New Roman" w:hAnsi="Times New Roman" w:cs="Times New Roman"/>
          <w:sz w:val="16"/>
        </w:rPr>
        <w:t>Fuente: Dirección de Análisis y Política Fiscal</w:t>
      </w: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 xml:space="preserve">En lo que respecta a la inversión financiera, reporta una ejecución mayor en Q2,545.4 millones a la reportada en 2019. La alta ejecución en este rubro corresponde al traslado de los fondos otorgados al CHN para dar atención a los créditos en condiciones blandas en atención a la emergencia económica causada por el COVID-19. En años anteriores este mecanismo había sido utilizado en una menor cuantía y derivado de ello el crecimiento que reporta en este año es significativamente más elevado. </w:t>
      </w:r>
    </w:p>
    <w:p w:rsidR="00D236C7" w:rsidRDefault="00D236C7" w:rsidP="00BF0E86">
      <w:pPr>
        <w:pStyle w:val="Sinespaciado"/>
        <w:jc w:val="both"/>
        <w:rPr>
          <w:rFonts w:ascii="Times New Roman" w:hAnsi="Times New Roman" w:cs="Times New Roman"/>
          <w:lang w:val="es-MX"/>
        </w:rPr>
      </w:pPr>
    </w:p>
    <w:p w:rsidR="00D236C7" w:rsidRDefault="00D236C7" w:rsidP="004C1AB9">
      <w:pPr>
        <w:pStyle w:val="Sinespaciado"/>
        <w:ind w:right="95"/>
        <w:jc w:val="both"/>
        <w:rPr>
          <w:rFonts w:ascii="Times New Roman" w:hAnsi="Times New Roman" w:cs="Times New Roman"/>
          <w:lang w:val="es-MX"/>
        </w:rPr>
      </w:pPr>
      <w:r w:rsidRPr="00421446">
        <w:rPr>
          <w:rFonts w:ascii="Times New Roman" w:hAnsi="Times New Roman" w:cs="Times New Roman"/>
          <w:lang w:val="es-MX"/>
        </w:rPr>
        <w:t>Por su parte, las remuneraciones reportan</w:t>
      </w:r>
      <w:r>
        <w:rPr>
          <w:rFonts w:ascii="Times New Roman" w:hAnsi="Times New Roman" w:cs="Times New Roman"/>
          <w:lang w:val="es-MX"/>
        </w:rPr>
        <w:t xml:space="preserve"> un crecimiento interanual de</w:t>
      </w:r>
      <w:r w:rsidRPr="00421446">
        <w:rPr>
          <w:rFonts w:ascii="Times New Roman" w:hAnsi="Times New Roman" w:cs="Times New Roman"/>
          <w:lang w:val="es-MX"/>
        </w:rPr>
        <w:t xml:space="preserve"> Q1,</w:t>
      </w:r>
      <w:r>
        <w:rPr>
          <w:rFonts w:ascii="Times New Roman" w:hAnsi="Times New Roman" w:cs="Times New Roman"/>
          <w:lang w:val="es-MX"/>
        </w:rPr>
        <w:t>502.2</w:t>
      </w:r>
      <w:r w:rsidRPr="00421446">
        <w:rPr>
          <w:rFonts w:ascii="Times New Roman" w:hAnsi="Times New Roman" w:cs="Times New Roman"/>
          <w:lang w:val="es-MX"/>
        </w:rPr>
        <w:t xml:space="preserve"> millones</w:t>
      </w:r>
      <w:r>
        <w:rPr>
          <w:rFonts w:ascii="Times New Roman" w:hAnsi="Times New Roman" w:cs="Times New Roman"/>
          <w:lang w:val="es-MX"/>
        </w:rPr>
        <w:t xml:space="preserve">, a principio de año este rubro se encontraba creciendo a una tasa de dos dígitos (18.8%), </w:t>
      </w:r>
      <w:r w:rsidRPr="002C3206">
        <w:rPr>
          <w:rFonts w:ascii="Times New Roman" w:hAnsi="Times New Roman" w:cs="Times New Roman"/>
          <w:lang w:val="es-MX"/>
        </w:rPr>
        <w:t>relacionado al efecto de los incrementos salariales en Educación, Salud y Gobernación, que empezaron a ser efectivos a partir del segundo semestre de 2019, de esa cuenta a noviembre este crecimiento se ha moderado hasta ubicarse en 6.5%.</w:t>
      </w:r>
      <w:r>
        <w:rPr>
          <w:rFonts w:ascii="Times New Roman" w:hAnsi="Times New Roman" w:cs="Times New Roman"/>
          <w:lang w:val="es-MX"/>
        </w:rPr>
        <w:t xml:space="preserve"> Se observa que los renglones de gasto relacionados al personal por contrato y personal temporal han disminuido, siendo las caídas más significativas en el renglón 021 personal supernumerario (-Q183.7 millones) y 029 otras remuneraciones de personal temporal (-Q171.0 millones), el resto de los rubros relacionados se encuentran cayendo en Q61.8 millones, esto se debe a </w:t>
      </w:r>
      <w:r w:rsidRPr="00FE44A3">
        <w:rPr>
          <w:rFonts w:ascii="Times New Roman" w:hAnsi="Times New Roman" w:cs="Times New Roman"/>
          <w:lang w:val="es-MX"/>
        </w:rPr>
        <w:t>que algunas entidades han optado por no renovar contratos.</w:t>
      </w:r>
    </w:p>
    <w:p w:rsidR="00D236C7" w:rsidRDefault="00D236C7" w:rsidP="00BF0E86">
      <w:pPr>
        <w:pStyle w:val="Sinespaciado"/>
        <w:jc w:val="both"/>
        <w:rPr>
          <w:rFonts w:ascii="Times New Roman" w:hAnsi="Times New Roman" w:cs="Times New Roman"/>
          <w:lang w:val="es-MX"/>
        </w:rPr>
      </w:pPr>
    </w:p>
    <w:p w:rsidR="00D236C7" w:rsidRDefault="00D236C7" w:rsidP="00BF0E86">
      <w:pPr>
        <w:pStyle w:val="Sinespaciado"/>
        <w:jc w:val="both"/>
        <w:rPr>
          <w:rFonts w:ascii="Times New Roman" w:hAnsi="Times New Roman" w:cs="Times New Roman"/>
          <w:lang w:val="es-MX"/>
        </w:rPr>
      </w:pPr>
      <w:r>
        <w:rPr>
          <w:rFonts w:ascii="Times New Roman" w:hAnsi="Times New Roman" w:cs="Times New Roman"/>
          <w:lang w:val="es-MX"/>
        </w:rPr>
        <w:t xml:space="preserve">En cuanto a los bienes y servicios se reporta una mayor ejecución respecto al año previo, siendo el crecimiento de 8.8%, equivalente a Q642.9 millones, durante el mes se logró regularizar una parte importante del anticipo concedido por Desarrollo Social y Agricultura para el tema de dotación alimentaria en atención al COVID-19. Adicionalmente, en Economía se registró el </w:t>
      </w:r>
      <w:r w:rsidRPr="00FE44A3">
        <w:rPr>
          <w:rFonts w:ascii="Times New Roman" w:hAnsi="Times New Roman" w:cs="Times New Roman"/>
          <w:lang w:val="es-MX"/>
        </w:rPr>
        <w:t>pago p</w:t>
      </w:r>
      <w:r>
        <w:rPr>
          <w:rFonts w:ascii="Times New Roman" w:hAnsi="Times New Roman" w:cs="Times New Roman"/>
          <w:lang w:val="es-MX"/>
        </w:rPr>
        <w:t xml:space="preserve">or el arbitraje con Teco Energy y en Comunicaciones se </w:t>
      </w:r>
      <w:r>
        <w:rPr>
          <w:rFonts w:ascii="Times New Roman" w:hAnsi="Times New Roman" w:cs="Times New Roman"/>
          <w:lang w:val="es-MX"/>
        </w:rPr>
        <w:lastRenderedPageBreak/>
        <w:t xml:space="preserve">registraron avances en el desarrollo y mantenimiento de la infraestructura vial primaria, secundaria y terciaria. </w:t>
      </w:r>
    </w:p>
    <w:p w:rsidR="00D236C7" w:rsidRDefault="00D236C7" w:rsidP="00BF0E86">
      <w:pPr>
        <w:pStyle w:val="Sinespaciado"/>
        <w:jc w:val="both"/>
        <w:rPr>
          <w:rFonts w:ascii="Times New Roman" w:hAnsi="Times New Roman" w:cs="Times New Roman"/>
          <w:lang w:val="es-MX"/>
        </w:rPr>
      </w:pPr>
    </w:p>
    <w:p w:rsidR="00F16BD9" w:rsidRDefault="00D236C7" w:rsidP="00BF0E86">
      <w:pPr>
        <w:pStyle w:val="Sinespaciado"/>
        <w:jc w:val="both"/>
        <w:rPr>
          <w:rFonts w:ascii="Times New Roman" w:hAnsi="Times New Roman" w:cs="Times New Roman"/>
          <w:lang w:val="es-MX"/>
        </w:rPr>
      </w:pPr>
      <w:r>
        <w:rPr>
          <w:rFonts w:ascii="Times New Roman" w:hAnsi="Times New Roman" w:cs="Times New Roman"/>
          <w:lang w:val="es-MX"/>
        </w:rPr>
        <w:t xml:space="preserve">Así mismo, en el </w:t>
      </w:r>
      <w:r w:rsidRPr="007E4892">
        <w:rPr>
          <w:rFonts w:ascii="Times New Roman" w:hAnsi="Times New Roman" w:cs="Times New Roman"/>
          <w:lang w:val="es-MX"/>
        </w:rPr>
        <w:t xml:space="preserve">pago de intereses también </w:t>
      </w:r>
      <w:r>
        <w:rPr>
          <w:rFonts w:ascii="Times New Roman" w:hAnsi="Times New Roman" w:cs="Times New Roman"/>
          <w:lang w:val="es-MX"/>
        </w:rPr>
        <w:t xml:space="preserve">se </w:t>
      </w:r>
      <w:r w:rsidRPr="007E4892">
        <w:rPr>
          <w:rFonts w:ascii="Times New Roman" w:hAnsi="Times New Roman" w:cs="Times New Roman"/>
          <w:lang w:val="es-MX"/>
        </w:rPr>
        <w:t xml:space="preserve">reporta una mayor ejecución respecto al año previo, siendo el crecimiento de </w:t>
      </w:r>
      <w:r>
        <w:rPr>
          <w:rFonts w:ascii="Times New Roman" w:hAnsi="Times New Roman" w:cs="Times New Roman"/>
          <w:lang w:val="es-MX"/>
        </w:rPr>
        <w:t>4</w:t>
      </w:r>
      <w:r w:rsidRPr="007E4892">
        <w:rPr>
          <w:rFonts w:ascii="Times New Roman" w:hAnsi="Times New Roman" w:cs="Times New Roman"/>
          <w:lang w:val="es-MX"/>
        </w:rPr>
        <w:t>.</w:t>
      </w:r>
      <w:r>
        <w:rPr>
          <w:rFonts w:ascii="Times New Roman" w:hAnsi="Times New Roman" w:cs="Times New Roman"/>
          <w:lang w:val="es-MX"/>
        </w:rPr>
        <w:t>0</w:t>
      </w:r>
      <w:r w:rsidRPr="007E4892">
        <w:rPr>
          <w:rFonts w:ascii="Times New Roman" w:hAnsi="Times New Roman" w:cs="Times New Roman"/>
          <w:lang w:val="es-MX"/>
        </w:rPr>
        <w:t>%</w:t>
      </w:r>
      <w:r>
        <w:rPr>
          <w:rFonts w:ascii="Times New Roman" w:hAnsi="Times New Roman" w:cs="Times New Roman"/>
          <w:lang w:val="es-MX"/>
        </w:rPr>
        <w:t xml:space="preserve"> y las </w:t>
      </w:r>
      <w:r w:rsidRPr="007E4892">
        <w:rPr>
          <w:rFonts w:ascii="Times New Roman" w:hAnsi="Times New Roman" w:cs="Times New Roman"/>
          <w:lang w:val="es-MX"/>
        </w:rPr>
        <w:t>pre</w:t>
      </w:r>
      <w:r>
        <w:rPr>
          <w:rFonts w:ascii="Times New Roman" w:hAnsi="Times New Roman" w:cs="Times New Roman"/>
          <w:lang w:val="es-MX"/>
        </w:rPr>
        <w:t>staciones a la seguridad social</w:t>
      </w:r>
      <w:r w:rsidRPr="007E4892">
        <w:rPr>
          <w:rFonts w:ascii="Times New Roman" w:hAnsi="Times New Roman" w:cs="Times New Roman"/>
          <w:lang w:val="es-MX"/>
        </w:rPr>
        <w:t xml:space="preserve"> reportan un crecimiento leve de 0.</w:t>
      </w:r>
      <w:r>
        <w:rPr>
          <w:rFonts w:ascii="Times New Roman" w:hAnsi="Times New Roman" w:cs="Times New Roman"/>
          <w:lang w:val="es-MX"/>
        </w:rPr>
        <w:t>4</w:t>
      </w:r>
      <w:r w:rsidRPr="007E4892">
        <w:rPr>
          <w:rFonts w:ascii="Times New Roman" w:hAnsi="Times New Roman" w:cs="Times New Roman"/>
          <w:lang w:val="es-MX"/>
        </w:rPr>
        <w:t>%.</w:t>
      </w:r>
    </w:p>
    <w:p w:rsidR="00D236C7" w:rsidRDefault="00D236C7" w:rsidP="00BF0E86">
      <w:pPr>
        <w:pStyle w:val="Sinespaciado"/>
        <w:jc w:val="both"/>
        <w:rPr>
          <w:rFonts w:ascii="Times New Roman" w:hAnsi="Times New Roman" w:cs="Times New Roman"/>
          <w:lang w:val="es-MX"/>
        </w:rPr>
      </w:pPr>
    </w:p>
    <w:p w:rsidR="00D236C7" w:rsidRPr="00C068A2" w:rsidRDefault="00D236C7" w:rsidP="00BF0E86">
      <w:pPr>
        <w:pStyle w:val="Sinespaciado"/>
        <w:jc w:val="both"/>
        <w:rPr>
          <w:rFonts w:ascii="Times New Roman" w:hAnsi="Times New Roman" w:cs="Times New Roman"/>
          <w:lang w:val="es-MX"/>
        </w:rPr>
      </w:pPr>
      <w:r>
        <w:rPr>
          <w:rFonts w:ascii="Times New Roman" w:hAnsi="Times New Roman" w:cs="Times New Roman"/>
          <w:lang w:val="es-MX"/>
        </w:rPr>
        <w:t xml:space="preserve">En cuanto a los rubros que reportan caídas respecto a lo observado en 2019, las transferencias de capital caen 1.8%, equivalente a Q175.9 millones y la inversión real directa cae 40.4%, equivalente a Q1,509.2 millones, </w:t>
      </w:r>
      <w:r w:rsidRPr="00C068A2">
        <w:rPr>
          <w:rFonts w:ascii="Times New Roman" w:hAnsi="Times New Roman" w:cs="Times New Roman"/>
          <w:lang w:val="es-MX"/>
        </w:rPr>
        <w:t>en línea con el bajo dinamismo en la ejecución por parte del Ministerio de Comunicaciones, siendo una de las entidades que se encuentra</w:t>
      </w:r>
      <w:r>
        <w:rPr>
          <w:rFonts w:ascii="Times New Roman" w:hAnsi="Times New Roman" w:cs="Times New Roman"/>
          <w:lang w:val="es-MX"/>
        </w:rPr>
        <w:t xml:space="preserve"> rezagada</w:t>
      </w:r>
      <w:r w:rsidRPr="00C068A2">
        <w:rPr>
          <w:rFonts w:ascii="Times New Roman" w:hAnsi="Times New Roman" w:cs="Times New Roman"/>
          <w:lang w:val="es-MX"/>
        </w:rPr>
        <w:t xml:space="preserve"> </w:t>
      </w:r>
      <w:r>
        <w:rPr>
          <w:rFonts w:ascii="Times New Roman" w:hAnsi="Times New Roman" w:cs="Times New Roman"/>
          <w:lang w:val="es-MX"/>
        </w:rPr>
        <w:t>en nivel de ejecución, aunque es importante considerar que durante 2019 se dio una aceleración atípica en la inversión por ser año electoral.</w:t>
      </w:r>
    </w:p>
    <w:p w:rsidR="00D236C7" w:rsidRPr="0007418D" w:rsidRDefault="00D236C7" w:rsidP="00BF0E86">
      <w:pPr>
        <w:pStyle w:val="Sinespaciado"/>
        <w:jc w:val="both"/>
        <w:rPr>
          <w:rFonts w:ascii="Times New Roman" w:hAnsi="Times New Roman" w:cs="Times New Roman"/>
          <w:color w:val="FF0000"/>
          <w:lang w:val="es-MX"/>
        </w:rPr>
      </w:pPr>
    </w:p>
    <w:p w:rsidR="00BA7AF8" w:rsidRPr="00D236C7" w:rsidRDefault="00BA7AF8" w:rsidP="00BF0E86">
      <w:pPr>
        <w:pStyle w:val="Sinespaciado"/>
        <w:jc w:val="center"/>
        <w:rPr>
          <w:rFonts w:ascii="Times New Roman" w:hAnsi="Times New Roman" w:cs="Times New Roman"/>
          <w:sz w:val="20"/>
          <w:lang w:val="es-MX"/>
        </w:rPr>
      </w:pPr>
      <w:r w:rsidRPr="00D236C7">
        <w:rPr>
          <w:rFonts w:ascii="Times New Roman" w:hAnsi="Times New Roman" w:cs="Times New Roman"/>
          <w:b/>
          <w:lang w:val="es-MX"/>
        </w:rPr>
        <w:t>Ejecución por rubro de Cuenta Económica</w:t>
      </w:r>
      <w:r w:rsidRPr="00D236C7">
        <w:t xml:space="preserve"> </w:t>
      </w:r>
      <w:r w:rsidRPr="00D236C7">
        <w:rPr>
          <w:rFonts w:ascii="Times New Roman" w:hAnsi="Times New Roman" w:cs="Times New Roman"/>
          <w:sz w:val="20"/>
          <w:lang w:val="es-MX"/>
        </w:rPr>
        <w:t>2020 – 2019</w:t>
      </w:r>
    </w:p>
    <w:p w:rsidR="00F16BD9" w:rsidRPr="00D236C7" w:rsidRDefault="00D236C7" w:rsidP="00BF0E86">
      <w:pPr>
        <w:pStyle w:val="Sinespaciado"/>
        <w:jc w:val="center"/>
        <w:rPr>
          <w:rFonts w:ascii="Times New Roman" w:hAnsi="Times New Roman" w:cs="Times New Roman"/>
          <w:sz w:val="20"/>
          <w:lang w:val="es-MX"/>
        </w:rPr>
      </w:pPr>
      <w:r w:rsidRPr="00D236C7">
        <w:rPr>
          <w:rFonts w:ascii="Times New Roman" w:hAnsi="Times New Roman" w:cs="Times New Roman"/>
          <w:noProof/>
          <w:sz w:val="18"/>
          <w:lang w:val="es-ES" w:eastAsia="es-ES"/>
        </w:rPr>
        <w:drawing>
          <wp:anchor distT="0" distB="0" distL="114300" distR="114300" simplePos="0" relativeHeight="251882496" behindDoc="0" locked="0" layoutInCell="1" allowOverlap="1" wp14:anchorId="683785F2" wp14:editId="351A8E86">
            <wp:simplePos x="0" y="0"/>
            <wp:positionH relativeFrom="column">
              <wp:posOffset>-66675</wp:posOffset>
            </wp:positionH>
            <wp:positionV relativeFrom="paragraph">
              <wp:posOffset>206375</wp:posOffset>
            </wp:positionV>
            <wp:extent cx="2750820" cy="3009900"/>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A7AF8" w:rsidRPr="00D236C7">
        <w:rPr>
          <w:rFonts w:ascii="Times New Roman" w:hAnsi="Times New Roman" w:cs="Times New Roman"/>
          <w:sz w:val="20"/>
          <w:lang w:val="es-MX"/>
        </w:rPr>
        <w:t>Variación absoluta interanual</w:t>
      </w:r>
    </w:p>
    <w:p w:rsidR="00BA7AF8" w:rsidRPr="00D236C7" w:rsidRDefault="00BA7AF8" w:rsidP="00BF0E86">
      <w:pPr>
        <w:spacing w:after="0" w:line="240" w:lineRule="auto"/>
        <w:jc w:val="both"/>
        <w:rPr>
          <w:rFonts w:ascii="Times New Roman" w:hAnsi="Times New Roman" w:cs="Times New Roman"/>
          <w:sz w:val="16"/>
        </w:rPr>
      </w:pPr>
      <w:r w:rsidRPr="00D236C7">
        <w:rPr>
          <w:rFonts w:ascii="Times New Roman" w:hAnsi="Times New Roman" w:cs="Times New Roman"/>
          <w:sz w:val="16"/>
        </w:rPr>
        <w:t>Fuente: Dirección de Análisis y Política Fiscal</w:t>
      </w:r>
    </w:p>
    <w:p w:rsidR="00BA7AF8" w:rsidRDefault="00BA7AF8" w:rsidP="00BF0E86">
      <w:pPr>
        <w:pStyle w:val="Sinespaciado"/>
        <w:jc w:val="both"/>
        <w:rPr>
          <w:rFonts w:ascii="Times New Roman" w:hAnsi="Times New Roman" w:cs="Times New Roman"/>
          <w:color w:val="FF0000"/>
        </w:r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84</w:t>
      </w:r>
      <w:r w:rsidRPr="006220B2">
        <w:rPr>
          <w:rFonts w:ascii="Times New Roman" w:hAnsi="Times New Roman" w:cs="Times New Roman"/>
          <w:lang w:val="es-MX"/>
        </w:rPr>
        <w:t>,</w:t>
      </w:r>
      <w:r>
        <w:rPr>
          <w:rFonts w:ascii="Times New Roman" w:hAnsi="Times New Roman" w:cs="Times New Roman"/>
          <w:lang w:val="es-MX"/>
        </w:rPr>
        <w:t xml:space="preserve">035.4 </w:t>
      </w:r>
      <w:r w:rsidRPr="006220B2">
        <w:rPr>
          <w:rFonts w:ascii="Times New Roman" w:hAnsi="Times New Roman" w:cs="Times New Roman"/>
          <w:lang w:val="es-MX"/>
        </w:rPr>
        <w:t>millones</w:t>
      </w:r>
      <w:r>
        <w:rPr>
          <w:rFonts w:ascii="Times New Roman" w:hAnsi="Times New Roman" w:cs="Times New Roman"/>
          <w:lang w:val="es-MX"/>
        </w:rPr>
        <w:t>, con un grado de ejecución de 78.0% y una variación interanual de 15.0%.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80.7</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a excepción del año 2017 que reportaba una ejecución de 77.4%. </w:t>
      </w:r>
    </w:p>
    <w:p w:rsidR="00D236C7" w:rsidRDefault="00D236C7" w:rsidP="00BF0E86">
      <w:pPr>
        <w:pStyle w:val="Sinespaciado"/>
        <w:jc w:val="both"/>
        <w:rPr>
          <w:rFonts w:ascii="Times New Roman" w:hAnsi="Times New Roman" w:cs="Times New Roman"/>
          <w:lang w:val="es-MX"/>
        </w:r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 xml:space="preserve">El nivel de ejecución puede percibirse bajo dada la dinámica en la ejecución y al efecto que se da por las amplias modificaciones presupuestarias aprobadas, las cuales ascienden a Q20,045.7 millones. </w:t>
      </w:r>
    </w:p>
    <w:p w:rsidR="00D236C7" w:rsidRDefault="00D236C7" w:rsidP="00BF0E86">
      <w:pPr>
        <w:pStyle w:val="Sinespaciado"/>
        <w:jc w:val="both"/>
        <w:rPr>
          <w:rFonts w:ascii="Times New Roman" w:hAnsi="Times New Roman" w:cs="Times New Roman"/>
          <w:lang w:val="es-MX"/>
        </w:rPr>
      </w:pPr>
    </w:p>
    <w:p w:rsidR="00D236C7" w:rsidRPr="0007418D" w:rsidRDefault="00D236C7" w:rsidP="004C1AB9">
      <w:pPr>
        <w:pStyle w:val="Sinespaciado"/>
        <w:ind w:right="95"/>
        <w:jc w:val="both"/>
        <w:rPr>
          <w:rFonts w:ascii="Times New Roman" w:hAnsi="Times New Roman" w:cs="Times New Roman"/>
          <w:color w:val="FF0000"/>
        </w:rPr>
      </w:pPr>
      <w:r>
        <w:rPr>
          <w:rFonts w:ascii="Times New Roman" w:hAnsi="Times New Roman" w:cs="Times New Roman"/>
          <w:lang w:val="es-MX"/>
        </w:rPr>
        <w:t>Al sustraer las ampliaciones presupuestarias y la ejecución derivadas de la emergencia del COVID-19, el grado de ejecución disminuye en 0.6%, hasta ubicarse en 77.4%. Lo cual muestra que el gasto destinado a la atención del COVID-19 está siendo más dinámico que la ejecución del gasto público recurrente.</w:t>
      </w:r>
    </w:p>
    <w:p w:rsidR="00F57294" w:rsidRPr="0007418D" w:rsidRDefault="00F57294" w:rsidP="00BF0E86">
      <w:pPr>
        <w:pStyle w:val="Sinespaciado"/>
        <w:jc w:val="both"/>
        <w:rPr>
          <w:rFonts w:ascii="Times New Roman" w:hAnsi="Times New Roman" w:cs="Times New Roman"/>
          <w:color w:val="FF0000"/>
          <w:lang w:val="es-MX"/>
        </w:rPr>
      </w:pPr>
    </w:p>
    <w:p w:rsidR="00BA7AF8" w:rsidRPr="00D236C7" w:rsidRDefault="00BA7AF8" w:rsidP="00BF0E86">
      <w:pPr>
        <w:spacing w:after="0" w:line="240" w:lineRule="auto"/>
        <w:jc w:val="center"/>
        <w:rPr>
          <w:rFonts w:ascii="Times New Roman" w:hAnsi="Times New Roman" w:cs="Times New Roman"/>
          <w:b/>
          <w:lang w:val="es-MX"/>
        </w:rPr>
      </w:pPr>
      <w:r w:rsidRPr="00D236C7">
        <w:rPr>
          <w:rFonts w:ascii="Times New Roman" w:hAnsi="Times New Roman" w:cs="Times New Roman"/>
          <w:b/>
          <w:lang w:val="es-MX"/>
        </w:rPr>
        <w:t>Grado de Ejecución de los últimos 5 años</w:t>
      </w:r>
    </w:p>
    <w:p w:rsidR="00BA7AF8" w:rsidRPr="00D236C7" w:rsidRDefault="00F16BD9" w:rsidP="00BF0E86">
      <w:pPr>
        <w:pStyle w:val="Sinespaciado"/>
        <w:jc w:val="center"/>
        <w:rPr>
          <w:rFonts w:ascii="Times New Roman" w:hAnsi="Times New Roman" w:cs="Times New Roman"/>
          <w:sz w:val="20"/>
          <w:szCs w:val="18"/>
          <w:lang w:val="es-MX"/>
        </w:rPr>
      </w:pPr>
      <w:r w:rsidRPr="00D236C7">
        <w:rPr>
          <w:rFonts w:ascii="Times New Roman" w:hAnsi="Times New Roman" w:cs="Times New Roman"/>
          <w:sz w:val="20"/>
          <w:szCs w:val="18"/>
          <w:lang w:val="es-MX"/>
        </w:rPr>
        <w:t>Al 30</w:t>
      </w:r>
      <w:r w:rsidR="00BA7AF8" w:rsidRPr="00D236C7">
        <w:rPr>
          <w:rFonts w:ascii="Times New Roman" w:hAnsi="Times New Roman" w:cs="Times New Roman"/>
          <w:sz w:val="20"/>
          <w:szCs w:val="18"/>
          <w:lang w:val="es-MX"/>
        </w:rPr>
        <w:t xml:space="preserve"> de </w:t>
      </w:r>
      <w:r w:rsidRPr="00D236C7">
        <w:rPr>
          <w:rFonts w:ascii="Times New Roman" w:hAnsi="Times New Roman" w:cs="Times New Roman"/>
          <w:sz w:val="20"/>
          <w:szCs w:val="18"/>
          <w:lang w:val="es-MX"/>
        </w:rPr>
        <w:t>noviem</w:t>
      </w:r>
      <w:r w:rsidR="00BA7AF8" w:rsidRPr="00D236C7">
        <w:rPr>
          <w:rFonts w:ascii="Times New Roman" w:hAnsi="Times New Roman" w:cs="Times New Roman"/>
          <w:sz w:val="20"/>
          <w:szCs w:val="18"/>
          <w:lang w:val="es-MX"/>
        </w:rPr>
        <w:t>bre de cada año</w:t>
      </w:r>
    </w:p>
    <w:p w:rsidR="00BA7AF8" w:rsidRPr="00D236C7" w:rsidRDefault="00D236C7" w:rsidP="00BF0E86">
      <w:pPr>
        <w:pStyle w:val="Sinespaciado"/>
        <w:jc w:val="center"/>
        <w:rPr>
          <w:rFonts w:ascii="Times New Roman" w:hAnsi="Times New Roman" w:cs="Times New Roman"/>
          <w:sz w:val="20"/>
          <w:szCs w:val="18"/>
          <w:lang w:val="es-MX"/>
        </w:rPr>
      </w:pPr>
      <w:r w:rsidRPr="00D236C7">
        <w:rPr>
          <w:rFonts w:ascii="Times New Roman" w:hAnsi="Times New Roman" w:cs="Times New Roman"/>
          <w:noProof/>
          <w:sz w:val="18"/>
          <w:szCs w:val="18"/>
          <w:lang w:val="es-ES" w:eastAsia="es-ES"/>
        </w:rPr>
        <w:drawing>
          <wp:anchor distT="0" distB="0" distL="114300" distR="114300" simplePos="0" relativeHeight="251884544" behindDoc="0" locked="0" layoutInCell="1" allowOverlap="1" wp14:anchorId="2D1BCFAC" wp14:editId="1EFABD70">
            <wp:simplePos x="0" y="0"/>
            <wp:positionH relativeFrom="column">
              <wp:posOffset>-3810</wp:posOffset>
            </wp:positionH>
            <wp:positionV relativeFrom="paragraph">
              <wp:posOffset>151765</wp:posOffset>
            </wp:positionV>
            <wp:extent cx="2781300" cy="1985645"/>
            <wp:effectExtent l="0" t="0" r="0" b="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A7AF8" w:rsidRPr="00D236C7">
        <w:rPr>
          <w:rFonts w:ascii="Times New Roman" w:hAnsi="Times New Roman" w:cs="Times New Roman"/>
          <w:sz w:val="20"/>
          <w:szCs w:val="18"/>
          <w:lang w:val="es-MX"/>
        </w:rPr>
        <w:t>Cifras en porcentajes</w:t>
      </w:r>
    </w:p>
    <w:p w:rsidR="00BA7AF8" w:rsidRPr="00D236C7" w:rsidRDefault="00BA7AF8" w:rsidP="00BF0E86">
      <w:pPr>
        <w:spacing w:after="0" w:line="240" w:lineRule="auto"/>
        <w:jc w:val="both"/>
        <w:rPr>
          <w:rFonts w:ascii="Times New Roman" w:hAnsi="Times New Roman" w:cs="Times New Roman"/>
          <w:sz w:val="16"/>
        </w:rPr>
      </w:pPr>
      <w:r w:rsidRPr="00D236C7">
        <w:rPr>
          <w:rFonts w:ascii="Times New Roman" w:hAnsi="Times New Roman" w:cs="Times New Roman"/>
          <w:sz w:val="16"/>
        </w:rPr>
        <w:t>Fuente: Dirección de Análisis y Política Fiscal</w:t>
      </w:r>
    </w:p>
    <w:p w:rsidR="00FD3C18" w:rsidRPr="0007418D" w:rsidRDefault="00FD3C18" w:rsidP="00BF0E86">
      <w:pPr>
        <w:pStyle w:val="Sinespaciado"/>
        <w:jc w:val="both"/>
        <w:rPr>
          <w:rFonts w:ascii="Times New Roman" w:hAnsi="Times New Roman" w:cs="Times New Roman"/>
          <w:color w:val="FF0000"/>
        </w:rPr>
      </w:pPr>
    </w:p>
    <w:p w:rsidR="00D236C7" w:rsidRDefault="00D236C7" w:rsidP="00BF0E86">
      <w:pPr>
        <w:pStyle w:val="Sinespaciado"/>
        <w:jc w:val="both"/>
        <w:rPr>
          <w:rFonts w:ascii="Times New Roman" w:hAnsi="Times New Roman" w:cs="Times New Roman"/>
        </w:rPr>
      </w:pPr>
      <w:r>
        <w:rPr>
          <w:rFonts w:ascii="Times New Roman" w:hAnsi="Times New Roman" w:cs="Times New Roman"/>
        </w:rPr>
        <w:t xml:space="preserve">A nivel del gasto público por entidades, muestran el mayor nivel de ejecución </w:t>
      </w:r>
      <w:r>
        <w:rPr>
          <w:rFonts w:ascii="Times New Roman" w:hAnsi="Times New Roman" w:cs="Times New Roman"/>
        </w:rPr>
        <w:lastRenderedPageBreak/>
        <w:t xml:space="preserve">Desarrollo Social (91.6%), Educación (83.4%), Servicio de la Deuda Pública (82.9%), la PGN (81.2%), las Obligaciones del Estado a cargo del Tesoro (80.7%) y </w:t>
      </w:r>
      <w:r w:rsidRPr="00AE22AF">
        <w:rPr>
          <w:rFonts w:ascii="Times New Roman" w:hAnsi="Times New Roman" w:cs="Times New Roman"/>
        </w:rPr>
        <w:t xml:space="preserve">Presidencia </w:t>
      </w:r>
      <w:r>
        <w:rPr>
          <w:rFonts w:ascii="Times New Roman" w:hAnsi="Times New Roman" w:cs="Times New Roman"/>
        </w:rPr>
        <w:t xml:space="preserve">(78.6%), todas estas entidades se encuentran por arriba de la ejecución total. </w:t>
      </w:r>
    </w:p>
    <w:p w:rsidR="00D236C7" w:rsidRDefault="00D236C7" w:rsidP="00BF0E86">
      <w:pPr>
        <w:pStyle w:val="Sinespaciado"/>
        <w:jc w:val="both"/>
        <w:rPr>
          <w:rFonts w:ascii="Times New Roman" w:hAnsi="Times New Roman" w:cs="Times New Roman"/>
        </w:rPr>
      </w:pPr>
    </w:p>
    <w:p w:rsidR="00D236C7" w:rsidRDefault="00D236C7" w:rsidP="00BF0E86">
      <w:pPr>
        <w:pStyle w:val="Sinespaciado"/>
        <w:jc w:val="both"/>
        <w:rPr>
          <w:rFonts w:ascii="Times New Roman" w:hAnsi="Times New Roman" w:cs="Times New Roman"/>
        </w:rPr>
      </w:pPr>
      <w:r>
        <w:rPr>
          <w:rFonts w:ascii="Times New Roman" w:hAnsi="Times New Roman" w:cs="Times New Roman"/>
        </w:rPr>
        <w:t>Por su parte, el resto de las entidades se encuentran por debajo de la ejecución institucional total, resalta el caso de tres entidades, siendo Comunicaciones (54.8%), Agricultura (48</w:t>
      </w:r>
      <w:r w:rsidRPr="00241093">
        <w:rPr>
          <w:rFonts w:ascii="Times New Roman" w:hAnsi="Times New Roman" w:cs="Times New Roman"/>
        </w:rPr>
        <w:t>.</w:t>
      </w:r>
      <w:r>
        <w:rPr>
          <w:rFonts w:ascii="Times New Roman" w:hAnsi="Times New Roman" w:cs="Times New Roman"/>
        </w:rPr>
        <w:t>2</w:t>
      </w:r>
      <w:r w:rsidRPr="00241093">
        <w:rPr>
          <w:rFonts w:ascii="Times New Roman" w:hAnsi="Times New Roman" w:cs="Times New Roman"/>
        </w:rPr>
        <w:t>%)</w:t>
      </w:r>
      <w:r>
        <w:rPr>
          <w:rFonts w:ascii="Times New Roman" w:hAnsi="Times New Roman" w:cs="Times New Roman"/>
        </w:rPr>
        <w:t xml:space="preserve"> y Cultura y Deportes (47.3%).</w:t>
      </w:r>
    </w:p>
    <w:p w:rsidR="00D236C7" w:rsidRDefault="00D236C7" w:rsidP="00BF0E86">
      <w:pPr>
        <w:pStyle w:val="Sinespaciado"/>
        <w:jc w:val="both"/>
        <w:rPr>
          <w:rFonts w:ascii="Times New Roman" w:hAnsi="Times New Roman" w:cs="Times New Roman"/>
        </w:rPr>
      </w:pPr>
    </w:p>
    <w:p w:rsidR="00D236C7" w:rsidRDefault="00D236C7" w:rsidP="00BF0E86">
      <w:pPr>
        <w:pStyle w:val="Sinespaciado"/>
        <w:jc w:val="both"/>
        <w:rPr>
          <w:rFonts w:ascii="Times New Roman" w:hAnsi="Times New Roman" w:cs="Times New Roman"/>
        </w:rPr>
      </w:pPr>
      <w:r>
        <w:rPr>
          <w:rFonts w:ascii="Times New Roman" w:hAnsi="Times New Roman" w:cs="Times New Roman"/>
        </w:rPr>
        <w:t xml:space="preserve">En el caso de la baja ejecución del </w:t>
      </w:r>
      <w:r w:rsidRPr="00A2006E">
        <w:rPr>
          <w:rFonts w:ascii="Times New Roman" w:hAnsi="Times New Roman" w:cs="Times New Roman"/>
        </w:rPr>
        <w:t>Ministerio de Comunicaciones, Infraestructura</w:t>
      </w:r>
      <w:r>
        <w:rPr>
          <w:rFonts w:ascii="Times New Roman" w:hAnsi="Times New Roman" w:cs="Times New Roman"/>
        </w:rPr>
        <w:t xml:space="preserve"> y Vivienda</w:t>
      </w:r>
      <w:r w:rsidRPr="00A2006E">
        <w:rPr>
          <w:rFonts w:ascii="Times New Roman" w:hAnsi="Times New Roman" w:cs="Times New Roman"/>
        </w:rPr>
        <w:t xml:space="preserve"> </w:t>
      </w:r>
      <w:r w:rsidRPr="008C7058">
        <w:rPr>
          <w:rFonts w:ascii="Times New Roman" w:hAnsi="Times New Roman" w:cs="Times New Roman"/>
        </w:rPr>
        <w:t>se encuentra en línea con el comportamiento observado en la inversión real directa</w:t>
      </w:r>
      <w:r>
        <w:rPr>
          <w:rFonts w:ascii="Times New Roman" w:hAnsi="Times New Roman" w:cs="Times New Roman"/>
        </w:rPr>
        <w:t>. Este ministerio reporta una caída de 17.7%, equivalente a Q810.9 millones.</w:t>
      </w:r>
    </w:p>
    <w:p w:rsidR="00D236C7" w:rsidRDefault="00D236C7" w:rsidP="00BF0E86">
      <w:pPr>
        <w:pStyle w:val="Sinespaciado"/>
        <w:jc w:val="both"/>
        <w:rPr>
          <w:rFonts w:ascii="Times New Roman" w:hAnsi="Times New Roman" w:cs="Times New Roman"/>
        </w:rPr>
      </w:pPr>
    </w:p>
    <w:p w:rsidR="00D236C7" w:rsidRDefault="00D236C7" w:rsidP="004C1AB9">
      <w:pPr>
        <w:pStyle w:val="Sinespaciado"/>
        <w:ind w:right="95"/>
        <w:jc w:val="both"/>
        <w:rPr>
          <w:rFonts w:ascii="Times New Roman" w:hAnsi="Times New Roman" w:cs="Times New Roman"/>
        </w:rPr>
      </w:pPr>
      <w:r>
        <w:rPr>
          <w:rFonts w:ascii="Times New Roman" w:hAnsi="Times New Roman" w:cs="Times New Roman"/>
        </w:rPr>
        <w:t xml:space="preserve">Por su parte, en lo que respecto a la ejecución de Agricultura, Ganadería y Alimentación, durante noviembre se logró regularizar Q88.2 millones en el tema de dotación alimentaria, para totalizar una regularización de Q126.3 millones del anticipo dado al Programa Mundial de Alimentos (PMA) en atención al COVID-19, mientras que el programa de apoyo a agricultores con un presupuesto de Q50 millones aun no reporta ejecución; esto es relevante derivado que los </w:t>
      </w:r>
      <w:r w:rsidRPr="004E31DD">
        <w:rPr>
          <w:rFonts w:ascii="Times New Roman" w:hAnsi="Times New Roman" w:cs="Times New Roman"/>
        </w:rPr>
        <w:t>programas asociados al COVID-19, representan el 22.7%</w:t>
      </w:r>
      <w:r>
        <w:rPr>
          <w:rFonts w:ascii="Times New Roman" w:hAnsi="Times New Roman" w:cs="Times New Roman"/>
        </w:rPr>
        <w:t xml:space="preserve"> del presupuesto vigente de la entidad.</w:t>
      </w:r>
    </w:p>
    <w:p w:rsidR="00D236C7" w:rsidRDefault="00D236C7" w:rsidP="00BF0E86">
      <w:pPr>
        <w:pStyle w:val="Sinespaciado"/>
        <w:jc w:val="both"/>
        <w:rPr>
          <w:rFonts w:ascii="Times New Roman" w:hAnsi="Times New Roman" w:cs="Times New Roman"/>
        </w:rPr>
      </w:pPr>
    </w:p>
    <w:p w:rsidR="00D236C7" w:rsidRDefault="00D236C7" w:rsidP="004C1AB9">
      <w:pPr>
        <w:pStyle w:val="Sinespaciado"/>
        <w:ind w:right="95"/>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(755.4%) y Economía (604.3%), esto derivado de la ejecución de las actividades para la atención del COVID-19, aunque hay que tener presente que estos programas son de carácter temporal. </w:t>
      </w:r>
    </w:p>
    <w:p w:rsidR="00D236C7" w:rsidRDefault="00D236C7" w:rsidP="00BF0E86">
      <w:pPr>
        <w:pStyle w:val="Sinespaciado"/>
        <w:jc w:val="both"/>
        <w:rPr>
          <w:rFonts w:ascii="Times New Roman" w:hAnsi="Times New Roman" w:cs="Times New Roman"/>
        </w:rPr>
      </w:pPr>
    </w:p>
    <w:p w:rsidR="00D236C7" w:rsidRDefault="00D236C7" w:rsidP="004C1AB9">
      <w:pPr>
        <w:pStyle w:val="Sinespaciado"/>
        <w:ind w:right="95"/>
        <w:jc w:val="both"/>
        <w:rPr>
          <w:rFonts w:ascii="Times New Roman" w:hAnsi="Times New Roman" w:cs="Times New Roman"/>
          <w:color w:val="FF0000"/>
        </w:rPr>
      </w:pPr>
      <w:r>
        <w:rPr>
          <w:rFonts w:ascii="Times New Roman" w:hAnsi="Times New Roman" w:cs="Times New Roman"/>
        </w:rPr>
        <w:t xml:space="preserve">Once entidades reportan retrocesos respecto al año previo, entre las caídas más importantes, </w:t>
      </w:r>
      <w:r>
        <w:rPr>
          <w:rFonts w:ascii="Times New Roman" w:hAnsi="Times New Roman" w:cs="Times New Roman"/>
        </w:rPr>
        <w:lastRenderedPageBreak/>
        <w:t>se encuentra Cultura y Deportes (-28.3%), Ambiente y Recursos Naturales (-23.8%) y Agricultura (-19.1%),</w:t>
      </w:r>
    </w:p>
    <w:p w:rsidR="00D236C7" w:rsidRPr="0007418D" w:rsidRDefault="00D236C7" w:rsidP="00BF0E86">
      <w:pPr>
        <w:pStyle w:val="Sinespaciado"/>
        <w:jc w:val="both"/>
        <w:rPr>
          <w:rFonts w:ascii="Times New Roman" w:hAnsi="Times New Roman" w:cs="Times New Roman"/>
          <w:color w:val="FF0000"/>
        </w:rPr>
      </w:pPr>
    </w:p>
    <w:p w:rsidR="00BA7AF8" w:rsidRPr="00D236C7" w:rsidRDefault="00BA7AF8" w:rsidP="00BF0E86">
      <w:pPr>
        <w:spacing w:after="0" w:line="240" w:lineRule="auto"/>
        <w:jc w:val="center"/>
        <w:rPr>
          <w:rFonts w:ascii="Times New Roman" w:hAnsi="Times New Roman" w:cs="Times New Roman"/>
          <w:b/>
          <w:lang w:val="es-MX"/>
        </w:rPr>
      </w:pPr>
      <w:r w:rsidRPr="00D236C7">
        <w:rPr>
          <w:rFonts w:ascii="Times New Roman" w:hAnsi="Times New Roman" w:cs="Times New Roman"/>
          <w:b/>
          <w:lang w:val="es-MX"/>
        </w:rPr>
        <w:t>Grado de Ejecución por Entidad</w:t>
      </w:r>
    </w:p>
    <w:p w:rsidR="00BA7AF8" w:rsidRPr="00D236C7" w:rsidRDefault="00F16BD9" w:rsidP="00BF0E86">
      <w:pPr>
        <w:spacing w:after="0" w:line="240" w:lineRule="auto"/>
        <w:jc w:val="center"/>
        <w:rPr>
          <w:rFonts w:ascii="Times New Roman" w:hAnsi="Times New Roman" w:cs="Times New Roman"/>
          <w:sz w:val="18"/>
          <w:szCs w:val="18"/>
          <w:lang w:val="es-MX"/>
        </w:rPr>
      </w:pPr>
      <w:r w:rsidRPr="00D236C7">
        <w:rPr>
          <w:rFonts w:ascii="Times New Roman" w:hAnsi="Times New Roman" w:cs="Times New Roman"/>
          <w:sz w:val="18"/>
          <w:szCs w:val="18"/>
          <w:lang w:val="es-MX"/>
        </w:rPr>
        <w:t>Al 30</w:t>
      </w:r>
      <w:r w:rsidR="00BA7AF8" w:rsidRPr="00D236C7">
        <w:rPr>
          <w:rFonts w:ascii="Times New Roman" w:hAnsi="Times New Roman" w:cs="Times New Roman"/>
          <w:sz w:val="18"/>
          <w:szCs w:val="18"/>
          <w:lang w:val="es-MX"/>
        </w:rPr>
        <w:t xml:space="preserve"> de </w:t>
      </w:r>
      <w:r w:rsidRPr="00D236C7">
        <w:rPr>
          <w:rFonts w:ascii="Times New Roman" w:hAnsi="Times New Roman" w:cs="Times New Roman"/>
          <w:sz w:val="18"/>
          <w:szCs w:val="18"/>
          <w:lang w:val="es-MX"/>
        </w:rPr>
        <w:t>noviem</w:t>
      </w:r>
      <w:r w:rsidR="00BA7AF8" w:rsidRPr="00D236C7">
        <w:rPr>
          <w:rFonts w:ascii="Times New Roman" w:hAnsi="Times New Roman" w:cs="Times New Roman"/>
          <w:sz w:val="18"/>
          <w:szCs w:val="18"/>
          <w:lang w:val="es-MX"/>
        </w:rPr>
        <w:t>bre del 2020</w:t>
      </w:r>
    </w:p>
    <w:p w:rsidR="00F16BD9" w:rsidRPr="00D236C7" w:rsidRDefault="00D236C7" w:rsidP="00BF0E86">
      <w:pPr>
        <w:spacing w:after="0" w:line="240" w:lineRule="auto"/>
        <w:jc w:val="center"/>
        <w:rPr>
          <w:rFonts w:ascii="Times New Roman" w:hAnsi="Times New Roman" w:cs="Times New Roman"/>
          <w:sz w:val="18"/>
          <w:szCs w:val="18"/>
          <w:lang w:val="es-MX"/>
        </w:rPr>
      </w:pPr>
      <w:r w:rsidRPr="00D236C7">
        <w:rPr>
          <w:rFonts w:ascii="Times New Roman" w:hAnsi="Times New Roman" w:cs="Times New Roman"/>
          <w:noProof/>
          <w:sz w:val="18"/>
          <w:szCs w:val="18"/>
          <w:lang w:val="es-ES" w:eastAsia="es-ES"/>
        </w:rPr>
        <w:drawing>
          <wp:anchor distT="0" distB="0" distL="114300" distR="114300" simplePos="0" relativeHeight="251886592" behindDoc="0" locked="0" layoutInCell="1" allowOverlap="1" wp14:anchorId="12820D2A" wp14:editId="223FCE37">
            <wp:simplePos x="0" y="0"/>
            <wp:positionH relativeFrom="column">
              <wp:posOffset>-59690</wp:posOffset>
            </wp:positionH>
            <wp:positionV relativeFrom="paragraph">
              <wp:posOffset>158750</wp:posOffset>
            </wp:positionV>
            <wp:extent cx="2573020" cy="377444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8A3971" w:rsidRPr="00D236C7">
        <w:rPr>
          <w:rFonts w:ascii="Times New Roman" w:hAnsi="Times New Roman" w:cs="Times New Roman"/>
          <w:sz w:val="18"/>
          <w:szCs w:val="18"/>
          <w:lang w:val="es-MX"/>
        </w:rPr>
        <w:t>Millones de quetzales</w:t>
      </w:r>
    </w:p>
    <w:p w:rsidR="00BA7AF8" w:rsidRPr="00D236C7" w:rsidRDefault="00BA7AF8" w:rsidP="00BF0E86">
      <w:pPr>
        <w:spacing w:after="0" w:line="240" w:lineRule="auto"/>
        <w:jc w:val="both"/>
        <w:rPr>
          <w:rFonts w:ascii="Times New Roman" w:hAnsi="Times New Roman" w:cs="Times New Roman"/>
          <w:sz w:val="16"/>
        </w:rPr>
      </w:pPr>
      <w:r w:rsidRPr="00D236C7">
        <w:rPr>
          <w:rFonts w:ascii="Times New Roman" w:hAnsi="Times New Roman" w:cs="Times New Roman"/>
          <w:sz w:val="16"/>
        </w:rPr>
        <w:t>Fuente: Dirección de Análisis y Política Fiscal</w:t>
      </w:r>
    </w:p>
    <w:p w:rsidR="00CA4B04" w:rsidRPr="0007418D" w:rsidRDefault="00CA4B04" w:rsidP="00BF0E86">
      <w:pPr>
        <w:spacing w:after="0" w:line="240" w:lineRule="auto"/>
        <w:jc w:val="both"/>
        <w:rPr>
          <w:rFonts w:ascii="Times New Roman" w:hAnsi="Times New Roman" w:cs="Times New Roman"/>
          <w:color w:val="FF0000"/>
          <w:sz w:val="16"/>
        </w:r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lastRenderedPageBreak/>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78.3%, al incluir en el gasto social a los sectores que son parte de los compromisos asumidos por los Acuerdos de Paz, la ejecución disminuye levemente y se ubica en 77.6%. </w:t>
      </w:r>
    </w:p>
    <w:p w:rsidR="00D236C7" w:rsidRDefault="00D236C7" w:rsidP="00BF0E86">
      <w:pPr>
        <w:pStyle w:val="Sinespaciado"/>
        <w:jc w:val="both"/>
        <w:rPr>
          <w:rFonts w:ascii="Times New Roman" w:hAnsi="Times New Roman" w:cs="Times New Roman"/>
          <w:lang w:val="es-MX"/>
        </w:r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son los que muestran el mayor dinamismo dentro del gasto social con un nivel de ejecución de 86.0%. Seguido del sector </w:t>
      </w:r>
      <w:r w:rsidRPr="002B60D4">
        <w:rPr>
          <w:rFonts w:ascii="Times New Roman" w:hAnsi="Times New Roman" w:cs="Times New Roman"/>
          <w:lang w:val="es-MX"/>
        </w:rPr>
        <w:t xml:space="preserve">educación, ciencia y cultura con una ejecución de </w:t>
      </w:r>
      <w:r>
        <w:rPr>
          <w:rFonts w:ascii="Times New Roman" w:hAnsi="Times New Roman" w:cs="Times New Roman"/>
          <w:lang w:val="es-MX"/>
        </w:rPr>
        <w:t>81</w:t>
      </w:r>
      <w:r w:rsidRPr="002B60D4">
        <w:rPr>
          <w:rFonts w:ascii="Times New Roman" w:hAnsi="Times New Roman" w:cs="Times New Roman"/>
          <w:lang w:val="es-MX"/>
        </w:rPr>
        <w:t>.</w:t>
      </w:r>
      <w:r>
        <w:rPr>
          <w:rFonts w:ascii="Times New Roman" w:hAnsi="Times New Roman" w:cs="Times New Roman"/>
          <w:lang w:val="es-MX"/>
        </w:rPr>
        <w:t>8%</w:t>
      </w:r>
      <w:r w:rsidRPr="002B60D4">
        <w:rPr>
          <w:rFonts w:ascii="Times New Roman" w:hAnsi="Times New Roman" w:cs="Times New Roman"/>
          <w:lang w:val="es-MX"/>
        </w:rPr>
        <w:t>.</w:t>
      </w:r>
      <w:r>
        <w:rPr>
          <w:rFonts w:ascii="Times New Roman" w:hAnsi="Times New Roman" w:cs="Times New Roman"/>
          <w:lang w:val="es-MX"/>
        </w:rPr>
        <w:t xml:space="preserve"> </w:t>
      </w:r>
    </w:p>
    <w:p w:rsidR="00D236C7" w:rsidRDefault="00D236C7" w:rsidP="00BF0E86">
      <w:pPr>
        <w:pStyle w:val="Sinespaciado"/>
        <w:jc w:val="both"/>
        <w:rPr>
          <w:rFonts w:ascii="Times New Roman" w:hAnsi="Times New Roman" w:cs="Times New Roman"/>
          <w:lang w:val="es-MX"/>
        </w:rPr>
      </w:pPr>
    </w:p>
    <w:p w:rsidR="00D236C7" w:rsidRDefault="00D236C7" w:rsidP="004C1AB9">
      <w:pPr>
        <w:pStyle w:val="Sinespaciado"/>
        <w:ind w:right="95"/>
        <w:jc w:val="both"/>
        <w:rPr>
          <w:rFonts w:ascii="Times New Roman" w:hAnsi="Times New Roman" w:cs="Times New Roman"/>
          <w:lang w:val="es-MX"/>
        </w:rPr>
      </w:pPr>
      <w:r>
        <w:rPr>
          <w:rFonts w:ascii="Times New Roman" w:hAnsi="Times New Roman" w:cs="Times New Roman"/>
          <w:lang w:val="es-MX"/>
        </w:rPr>
        <w:t xml:space="preserve">El sector con la menor ejecución del gasto social es el de la vivienda, reportando únicamente un 49.2%. </w:t>
      </w:r>
    </w:p>
    <w:p w:rsidR="00BA7AF8" w:rsidRPr="0007418D" w:rsidRDefault="00BA7AF8" w:rsidP="00BF0E86">
      <w:pPr>
        <w:pStyle w:val="Sinespaciado"/>
        <w:jc w:val="both"/>
        <w:rPr>
          <w:rFonts w:ascii="Times New Roman" w:hAnsi="Times New Roman" w:cs="Times New Roman"/>
          <w:color w:val="FF0000"/>
          <w:lang w:val="es-MX"/>
        </w:rPr>
      </w:pPr>
    </w:p>
    <w:p w:rsidR="00BA7AF8" w:rsidRPr="00D236C7" w:rsidRDefault="00BA7AF8" w:rsidP="00BF0E86">
      <w:pPr>
        <w:pStyle w:val="Sinespaciado"/>
        <w:jc w:val="center"/>
        <w:rPr>
          <w:rFonts w:ascii="Times New Roman" w:hAnsi="Times New Roman" w:cs="Times New Roman"/>
          <w:b/>
          <w:lang w:val="es-MX"/>
        </w:rPr>
      </w:pPr>
      <w:r w:rsidRPr="00D236C7">
        <w:rPr>
          <w:rFonts w:ascii="Times New Roman" w:hAnsi="Times New Roman" w:cs="Times New Roman"/>
          <w:b/>
          <w:lang w:val="es-MX"/>
        </w:rPr>
        <w:t xml:space="preserve">Ejecución y crecimiento del Gasto Social </w:t>
      </w:r>
    </w:p>
    <w:p w:rsidR="00BA7AF8" w:rsidRPr="00D236C7" w:rsidRDefault="00CA4B04" w:rsidP="00BF0E86">
      <w:pPr>
        <w:pStyle w:val="Sinespaciado"/>
        <w:jc w:val="center"/>
        <w:rPr>
          <w:rFonts w:ascii="Times New Roman" w:hAnsi="Times New Roman" w:cs="Times New Roman"/>
          <w:sz w:val="18"/>
          <w:szCs w:val="18"/>
          <w:lang w:val="es-MX"/>
        </w:rPr>
      </w:pPr>
      <w:r w:rsidRPr="00D236C7">
        <w:rPr>
          <w:rFonts w:ascii="Times New Roman" w:hAnsi="Times New Roman" w:cs="Times New Roman"/>
          <w:sz w:val="18"/>
          <w:szCs w:val="18"/>
          <w:lang w:val="es-MX"/>
        </w:rPr>
        <w:t>Al 30</w:t>
      </w:r>
      <w:r w:rsidR="00BA7AF8" w:rsidRPr="00D236C7">
        <w:rPr>
          <w:rFonts w:ascii="Times New Roman" w:hAnsi="Times New Roman" w:cs="Times New Roman"/>
          <w:sz w:val="18"/>
          <w:szCs w:val="18"/>
          <w:lang w:val="es-MX"/>
        </w:rPr>
        <w:t xml:space="preserve"> de </w:t>
      </w:r>
      <w:r w:rsidRPr="00D236C7">
        <w:rPr>
          <w:rFonts w:ascii="Times New Roman" w:hAnsi="Times New Roman" w:cs="Times New Roman"/>
          <w:sz w:val="18"/>
          <w:szCs w:val="18"/>
          <w:lang w:val="es-MX"/>
        </w:rPr>
        <w:t>noviem</w:t>
      </w:r>
      <w:r w:rsidR="00BA7AF8" w:rsidRPr="00D236C7">
        <w:rPr>
          <w:rFonts w:ascii="Times New Roman" w:hAnsi="Times New Roman" w:cs="Times New Roman"/>
          <w:sz w:val="18"/>
          <w:szCs w:val="18"/>
          <w:lang w:val="es-MX"/>
        </w:rPr>
        <w:t>bre 2020</w:t>
      </w:r>
    </w:p>
    <w:p w:rsidR="00BA7AF8" w:rsidRPr="00D236C7" w:rsidRDefault="00D236C7" w:rsidP="00BF0E86">
      <w:pPr>
        <w:pStyle w:val="Sinespaciado"/>
        <w:jc w:val="center"/>
        <w:rPr>
          <w:rFonts w:ascii="Times New Roman" w:hAnsi="Times New Roman" w:cs="Times New Roman"/>
          <w:sz w:val="18"/>
          <w:szCs w:val="18"/>
          <w:lang w:val="es-MX"/>
        </w:rPr>
      </w:pPr>
      <w:r w:rsidRPr="00D236C7">
        <w:rPr>
          <w:noProof/>
          <w:lang w:val="es-ES" w:eastAsia="es-ES"/>
        </w:rPr>
        <w:drawing>
          <wp:anchor distT="0" distB="0" distL="114300" distR="114300" simplePos="0" relativeHeight="251888640" behindDoc="0" locked="0" layoutInCell="1" allowOverlap="1" wp14:anchorId="60365D12" wp14:editId="209D7334">
            <wp:simplePos x="0" y="0"/>
            <wp:positionH relativeFrom="column">
              <wp:posOffset>2540</wp:posOffset>
            </wp:positionH>
            <wp:positionV relativeFrom="paragraph">
              <wp:posOffset>185420</wp:posOffset>
            </wp:positionV>
            <wp:extent cx="2729230" cy="1398905"/>
            <wp:effectExtent l="0" t="0" r="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23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F8" w:rsidRPr="00D236C7">
        <w:rPr>
          <w:rFonts w:ascii="Times New Roman" w:hAnsi="Times New Roman" w:cs="Times New Roman"/>
          <w:sz w:val="18"/>
          <w:szCs w:val="18"/>
          <w:lang w:val="es-MX"/>
        </w:rPr>
        <w:t>Cifras en porcentajes y en millones de quetzales</w:t>
      </w:r>
    </w:p>
    <w:p w:rsidR="00BA782D" w:rsidRDefault="00BA7AF8" w:rsidP="00D7015D">
      <w:pPr>
        <w:pStyle w:val="Sinespaciado"/>
        <w:rPr>
          <w:rFonts w:ascii="Times New Roman" w:hAnsi="Times New Roman" w:cs="Times New Roman"/>
          <w:sz w:val="16"/>
        </w:rPr>
      </w:pPr>
      <w:r w:rsidRPr="00D236C7">
        <w:rPr>
          <w:rFonts w:ascii="Times New Roman" w:hAnsi="Times New Roman" w:cs="Times New Roman"/>
          <w:sz w:val="16"/>
        </w:rPr>
        <w:t>Fuente: Dirección de Análisis y Política Fiscal</w:t>
      </w:r>
    </w:p>
    <w:p w:rsidR="00D7015D" w:rsidRPr="00D7015D" w:rsidRDefault="00D7015D" w:rsidP="00D7015D">
      <w:pPr>
        <w:pStyle w:val="Sinespaciado"/>
        <w:rPr>
          <w:rFonts w:ascii="Times New Roman" w:hAnsi="Times New Roman" w:cs="Times New Roman"/>
        </w:rPr>
      </w:pPr>
    </w:p>
    <w:p w:rsidR="00D7015D" w:rsidRPr="00D7015D" w:rsidRDefault="00D7015D" w:rsidP="00BF0E86">
      <w:pPr>
        <w:pStyle w:val="Sinespaciado"/>
        <w:jc w:val="both"/>
        <w:rPr>
          <w:rFonts w:ascii="Times New Roman" w:hAnsi="Times New Roman" w:cs="Times New Roman"/>
          <w:color w:val="FF0000"/>
          <w:sz w:val="20"/>
        </w:rPr>
        <w:sectPr w:rsidR="00D7015D" w:rsidRPr="00D7015D" w:rsidSect="00040C99">
          <w:headerReference w:type="default" r:id="rId27"/>
          <w:footerReference w:type="default" r:id="rId28"/>
          <w:type w:val="continuous"/>
          <w:pgSz w:w="12240" w:h="15840" w:code="1"/>
          <w:pgMar w:top="1418" w:right="1418" w:bottom="1418" w:left="1701" w:header="709" w:footer="709" w:gutter="0"/>
          <w:cols w:num="2" w:space="708"/>
          <w:docGrid w:linePitch="360"/>
        </w:sectPr>
      </w:pPr>
    </w:p>
    <w:p w:rsidR="00BA782D" w:rsidRPr="0007418D" w:rsidRDefault="00BA782D" w:rsidP="00BF0E86">
      <w:pPr>
        <w:pStyle w:val="Sinespaciado"/>
        <w:jc w:val="both"/>
        <w:rPr>
          <w:rFonts w:ascii="Times New Roman" w:hAnsi="Times New Roman" w:cs="Times New Roman"/>
          <w:color w:val="FF0000"/>
          <w:sz w:val="2"/>
          <w:lang w:val="es-MX"/>
        </w:rPr>
      </w:pPr>
    </w:p>
    <w:p w:rsidR="00216605" w:rsidRPr="00D236C7" w:rsidRDefault="00CF7EE0"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D236C7" w:rsidSect="00FA3B81">
          <w:type w:val="continuous"/>
          <w:pgSz w:w="12240" w:h="15840" w:code="1"/>
          <w:pgMar w:top="1418" w:right="1418" w:bottom="1418" w:left="1418" w:header="709" w:footer="709" w:gutter="0"/>
          <w:cols w:space="708"/>
          <w:docGrid w:linePitch="360"/>
        </w:sectPr>
      </w:pPr>
      <w:r w:rsidRPr="00D236C7">
        <w:rPr>
          <w:rFonts w:ascii="Times New Roman" w:hAnsi="Times New Roman" w:cs="Times New Roman"/>
          <w:b/>
          <w:lang w:val="es-MX"/>
        </w:rPr>
        <w:t>C</w:t>
      </w:r>
      <w:r w:rsidR="00F94C84" w:rsidRPr="00D236C7">
        <w:rPr>
          <w:rFonts w:ascii="Times New Roman" w:hAnsi="Times New Roman" w:cs="Times New Roman"/>
          <w:b/>
          <w:lang w:val="es-MX"/>
        </w:rPr>
        <w:t xml:space="preserve">olocación de Bonos </w:t>
      </w:r>
      <w:r w:rsidR="00897A38" w:rsidRPr="00D236C7">
        <w:rPr>
          <w:rFonts w:ascii="Times New Roman" w:hAnsi="Times New Roman" w:cs="Times New Roman"/>
          <w:b/>
          <w:lang w:val="es-MX"/>
        </w:rPr>
        <w:t>en el mercado interno</w:t>
      </w:r>
    </w:p>
    <w:p w:rsidR="00216605" w:rsidRPr="0007418D" w:rsidRDefault="00216605" w:rsidP="00BF0E86">
      <w:pPr>
        <w:pStyle w:val="Sinespaciado"/>
        <w:rPr>
          <w:rFonts w:ascii="Times New Roman" w:hAnsi="Times New Roman" w:cs="Times New Roman"/>
          <w:b/>
          <w:color w:val="FF0000"/>
          <w:sz w:val="24"/>
          <w:lang w:val="es-MX"/>
        </w:rPr>
      </w:pPr>
    </w:p>
    <w:p w:rsidR="00216605" w:rsidRPr="0007418D" w:rsidRDefault="00216605" w:rsidP="00BF0E86">
      <w:pPr>
        <w:pStyle w:val="Sinespaciado"/>
        <w:rPr>
          <w:rFonts w:ascii="Times New Roman" w:hAnsi="Times New Roman" w:cs="Times New Roman"/>
          <w:b/>
          <w:color w:val="FF0000"/>
          <w:lang w:val="es-MX"/>
        </w:rPr>
        <w:sectPr w:rsidR="00216605" w:rsidRPr="0007418D" w:rsidSect="004E358C">
          <w:type w:val="continuous"/>
          <w:pgSz w:w="12240" w:h="15840"/>
          <w:pgMar w:top="1417" w:right="1701" w:bottom="1417" w:left="1701" w:header="708" w:footer="708" w:gutter="0"/>
          <w:cols w:space="708"/>
          <w:docGrid w:linePitch="360"/>
        </w:sectPr>
      </w:pPr>
    </w:p>
    <w:p w:rsidR="00D236C7" w:rsidRDefault="00D236C7" w:rsidP="00D7015D">
      <w:pPr>
        <w:pStyle w:val="Sinespaciado"/>
        <w:ind w:right="95"/>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noviembre 2020 se obtuvo un flujo positivo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Q9,994.3 millones, derivado de la colocación del Eurobono por US$1,200.0 millones y los desembolsos de préstamos que alcanzan los Q3,747.9 millones, superando las amortizaciones de Q3,008.1 millones. </w:t>
      </w:r>
    </w:p>
    <w:p w:rsidR="00D236C7" w:rsidRDefault="00D236C7" w:rsidP="00D7015D">
      <w:pPr>
        <w:pStyle w:val="Sinespaciado"/>
        <w:jc w:val="both"/>
        <w:rPr>
          <w:rFonts w:ascii="Times New Roman" w:hAnsi="Times New Roman" w:cs="Times New Roman"/>
        </w:rPr>
      </w:pPr>
    </w:p>
    <w:p w:rsidR="00D236C7" w:rsidRDefault="00D236C7" w:rsidP="00D7015D">
      <w:pPr>
        <w:pStyle w:val="Sinespaciado"/>
        <w:ind w:right="95"/>
        <w:jc w:val="both"/>
        <w:rPr>
          <w:rFonts w:ascii="Times New Roman" w:hAnsi="Times New Roman" w:cs="Times New Roman"/>
        </w:rPr>
      </w:pPr>
      <w:r>
        <w:rPr>
          <w:rFonts w:ascii="Times New Roman" w:hAnsi="Times New Roman" w:cs="Times New Roman"/>
        </w:rPr>
        <w:lastRenderedPageBreak/>
        <w:t xml:space="preserve">En lo que respecta a </w:t>
      </w:r>
      <w:r w:rsidRPr="00851F17">
        <w:rPr>
          <w:rFonts w:ascii="Times New Roman" w:hAnsi="Times New Roman" w:cs="Times New Roman"/>
        </w:rPr>
        <w:t>las colocaciones de Bonos del Tesoro</w:t>
      </w:r>
      <w:r>
        <w:rPr>
          <w:rFonts w:ascii="Times New Roman" w:hAnsi="Times New Roman" w:cs="Times New Roman"/>
        </w:rPr>
        <w:t xml:space="preserve"> aprobadas en el decreto 25-2018, queda un saldo de Q58.7 millones correspondiente al cupo destinado para pequeños inversionistas. </w:t>
      </w:r>
    </w:p>
    <w:p w:rsidR="00D236C7" w:rsidRDefault="00D236C7" w:rsidP="00D7015D">
      <w:pPr>
        <w:pStyle w:val="Sinespaciado"/>
        <w:jc w:val="both"/>
        <w:rPr>
          <w:rFonts w:ascii="Times New Roman" w:hAnsi="Times New Roman" w:cs="Times New Roman"/>
        </w:rPr>
      </w:pPr>
    </w:p>
    <w:p w:rsidR="00D7015D" w:rsidRDefault="00D236C7" w:rsidP="00D7015D">
      <w:pPr>
        <w:pStyle w:val="Sinespaciado"/>
        <w:ind w:right="95"/>
        <w:jc w:val="both"/>
        <w:rPr>
          <w:rFonts w:ascii="Times New Roman" w:hAnsi="Times New Roman" w:cs="Times New Roman"/>
        </w:rPr>
      </w:pPr>
      <w:r>
        <w:rPr>
          <w:rFonts w:ascii="Times New Roman" w:hAnsi="Times New Roman" w:cs="Times New Roman"/>
        </w:rPr>
        <w:t xml:space="preserve">De las colocaciones aprobadas mediante el decreto 20-2020, estas han sido colocadas en su totalidad y del decreto 13-2020 correspondiente a las colocaciones negociadas </w:t>
      </w:r>
    </w:p>
    <w:p w:rsidR="00D236C7" w:rsidRDefault="00D236C7" w:rsidP="00D7015D">
      <w:pPr>
        <w:pStyle w:val="Sinespaciado"/>
        <w:ind w:right="95"/>
        <w:jc w:val="both"/>
        <w:rPr>
          <w:rFonts w:ascii="Times New Roman" w:hAnsi="Times New Roman" w:cs="Times New Roman"/>
        </w:rPr>
      </w:pPr>
      <w:r>
        <w:rPr>
          <w:rFonts w:ascii="Times New Roman" w:hAnsi="Times New Roman" w:cs="Times New Roman"/>
        </w:rPr>
        <w:lastRenderedPageBreak/>
        <w:t xml:space="preserve">con el Banco de Guatemala por Q11,000 millones, durante noviembre se colocaron Q400 millones, quedando un saldo pendiente de Q600 millones, de esta disponibilidad se espera que aun sea colocada una parte. </w:t>
      </w:r>
    </w:p>
    <w:p w:rsidR="00D236C7" w:rsidRDefault="00D236C7" w:rsidP="00BF0E86">
      <w:pPr>
        <w:pStyle w:val="Sinespaciado"/>
        <w:jc w:val="both"/>
        <w:rPr>
          <w:rFonts w:ascii="Times New Roman" w:hAnsi="Times New Roman" w:cs="Times New Roman"/>
        </w:rPr>
      </w:pPr>
    </w:p>
    <w:p w:rsidR="00CA4B04" w:rsidRDefault="00D236C7" w:rsidP="004C1AB9">
      <w:pPr>
        <w:pStyle w:val="Sinespaciado"/>
        <w:ind w:right="95"/>
        <w:jc w:val="both"/>
        <w:rPr>
          <w:rFonts w:ascii="Times New Roman" w:hAnsi="Times New Roman" w:cs="Times New Roman"/>
          <w:color w:val="FF0000"/>
        </w:rPr>
      </w:pPr>
      <w:r>
        <w:rPr>
          <w:rFonts w:ascii="Times New Roman" w:hAnsi="Times New Roman" w:cs="Times New Roman"/>
        </w:rPr>
        <w:t xml:space="preserve">El total </w:t>
      </w:r>
      <w:r w:rsidRPr="00851F17">
        <w:rPr>
          <w:rFonts w:ascii="Times New Roman" w:hAnsi="Times New Roman" w:cs="Times New Roman"/>
        </w:rPr>
        <w:t>adjudicado</w:t>
      </w:r>
      <w:r>
        <w:rPr>
          <w:rFonts w:ascii="Times New Roman" w:hAnsi="Times New Roman" w:cs="Times New Roman"/>
        </w:rPr>
        <w:t xml:space="preserve"> a la fecha asciende a</w:t>
      </w:r>
      <w:r w:rsidRPr="00851F17">
        <w:rPr>
          <w:rFonts w:ascii="Times New Roman" w:hAnsi="Times New Roman" w:cs="Times New Roman"/>
        </w:rPr>
        <w:t xml:space="preserve"> </w:t>
      </w:r>
      <w:r w:rsidRPr="00534CE4">
        <w:rPr>
          <w:rFonts w:ascii="Times New Roman" w:hAnsi="Times New Roman" w:cs="Times New Roman"/>
        </w:rPr>
        <w:t>Q3</w:t>
      </w:r>
      <w:r>
        <w:rPr>
          <w:rFonts w:ascii="Times New Roman" w:hAnsi="Times New Roman" w:cs="Times New Roman"/>
        </w:rPr>
        <w:t>5</w:t>
      </w:r>
      <w:r w:rsidRPr="00534CE4">
        <w:rPr>
          <w:rFonts w:ascii="Times New Roman" w:hAnsi="Times New Roman" w:cs="Times New Roman"/>
        </w:rPr>
        <w:t>,</w:t>
      </w:r>
      <w:r>
        <w:rPr>
          <w:rFonts w:ascii="Times New Roman" w:hAnsi="Times New Roman" w:cs="Times New Roman"/>
        </w:rPr>
        <w:t>046</w:t>
      </w:r>
      <w:r w:rsidRPr="00534CE4">
        <w:rPr>
          <w:rFonts w:ascii="Times New Roman" w:hAnsi="Times New Roman" w:cs="Times New Roman"/>
        </w:rPr>
        <w:t>.</w:t>
      </w:r>
      <w:r>
        <w:rPr>
          <w:rFonts w:ascii="Times New Roman" w:hAnsi="Times New Roman" w:cs="Times New Roman"/>
        </w:rPr>
        <w:t>3</w:t>
      </w:r>
      <w:r w:rsidRPr="00534CE4">
        <w:rPr>
          <w:rFonts w:ascii="Times New Roman" w:hAnsi="Times New Roman" w:cs="Times New Roman"/>
        </w:rPr>
        <w:t xml:space="preserve"> millones </w:t>
      </w:r>
      <w:r>
        <w:rPr>
          <w:rFonts w:ascii="Times New Roman" w:hAnsi="Times New Roman" w:cs="Times New Roman"/>
        </w:rPr>
        <w:t>de los cuales Q29,389.3 millones corresponden a nuevo endeudamiento y Q5,657.0 millones al roll over.  En total q</w:t>
      </w:r>
      <w:r w:rsidRPr="00534CE4">
        <w:rPr>
          <w:rFonts w:ascii="Times New Roman" w:hAnsi="Times New Roman" w:cs="Times New Roman"/>
        </w:rPr>
        <w:t>ueda una disponibilidad pendiente de colocar de Q6</w:t>
      </w:r>
      <w:r>
        <w:rPr>
          <w:rFonts w:ascii="Times New Roman" w:hAnsi="Times New Roman" w:cs="Times New Roman"/>
        </w:rPr>
        <w:t>58</w:t>
      </w:r>
      <w:r w:rsidRPr="00534CE4">
        <w:rPr>
          <w:rFonts w:ascii="Times New Roman" w:hAnsi="Times New Roman" w:cs="Times New Roman"/>
        </w:rPr>
        <w:t>.</w:t>
      </w:r>
      <w:r>
        <w:rPr>
          <w:rFonts w:ascii="Times New Roman" w:hAnsi="Times New Roman" w:cs="Times New Roman"/>
        </w:rPr>
        <w:t>7</w:t>
      </w:r>
      <w:r w:rsidRPr="00534CE4">
        <w:rPr>
          <w:rFonts w:ascii="Times New Roman" w:hAnsi="Times New Roman" w:cs="Times New Roman"/>
        </w:rPr>
        <w:t xml:space="preserve"> millones.</w:t>
      </w:r>
    </w:p>
    <w:p w:rsidR="00D236C7" w:rsidRPr="0007418D" w:rsidRDefault="00D236C7" w:rsidP="00BF0E86">
      <w:pPr>
        <w:pStyle w:val="Sinespaciado"/>
        <w:jc w:val="both"/>
        <w:rPr>
          <w:rFonts w:ascii="Times New Roman" w:hAnsi="Times New Roman" w:cs="Times New Roman"/>
          <w:color w:val="FF0000"/>
        </w:rPr>
      </w:pPr>
    </w:p>
    <w:p w:rsidR="00F94C84" w:rsidRPr="00D236C7" w:rsidRDefault="00F94C84" w:rsidP="00BF0E86">
      <w:pPr>
        <w:spacing w:after="0" w:line="240" w:lineRule="auto"/>
        <w:jc w:val="center"/>
        <w:rPr>
          <w:rFonts w:ascii="Times New Roman" w:hAnsi="Times New Roman" w:cs="Times New Roman"/>
          <w:b/>
        </w:rPr>
      </w:pPr>
      <w:r w:rsidRPr="00D236C7">
        <w:rPr>
          <w:rFonts w:ascii="Times New Roman" w:hAnsi="Times New Roman" w:cs="Times New Roman"/>
          <w:b/>
        </w:rPr>
        <w:t>Colocación de Bonos del Tesoro</w:t>
      </w:r>
    </w:p>
    <w:p w:rsidR="00F94C84" w:rsidRPr="00D236C7" w:rsidRDefault="00F94C84" w:rsidP="00BF0E86">
      <w:pPr>
        <w:pStyle w:val="Sinespaciado"/>
        <w:jc w:val="center"/>
        <w:rPr>
          <w:rFonts w:ascii="Times New Roman" w:hAnsi="Times New Roman" w:cs="Times New Roman"/>
          <w:sz w:val="18"/>
        </w:rPr>
      </w:pPr>
      <w:r w:rsidRPr="00D236C7">
        <w:rPr>
          <w:rFonts w:ascii="Times New Roman" w:hAnsi="Times New Roman" w:cs="Times New Roman"/>
          <w:sz w:val="18"/>
        </w:rPr>
        <w:t xml:space="preserve">A </w:t>
      </w:r>
      <w:r w:rsidR="00CA4B04" w:rsidRPr="00D236C7">
        <w:rPr>
          <w:rFonts w:ascii="Times New Roman" w:hAnsi="Times New Roman" w:cs="Times New Roman"/>
          <w:sz w:val="18"/>
        </w:rPr>
        <w:t>noviem</w:t>
      </w:r>
      <w:r w:rsidR="00BA7AF8" w:rsidRPr="00D236C7">
        <w:rPr>
          <w:rFonts w:ascii="Times New Roman" w:hAnsi="Times New Roman" w:cs="Times New Roman"/>
          <w:sz w:val="18"/>
        </w:rPr>
        <w:t>bre</w:t>
      </w:r>
      <w:r w:rsidRPr="00D236C7">
        <w:rPr>
          <w:rFonts w:ascii="Times New Roman" w:hAnsi="Times New Roman" w:cs="Times New Roman"/>
          <w:sz w:val="18"/>
        </w:rPr>
        <w:t xml:space="preserve"> 2020</w:t>
      </w:r>
    </w:p>
    <w:p w:rsidR="00CA4B04" w:rsidRPr="00D236C7" w:rsidRDefault="00CA4B04" w:rsidP="00BF0E86">
      <w:pPr>
        <w:pStyle w:val="Sinespaciado"/>
        <w:jc w:val="center"/>
        <w:rPr>
          <w:rFonts w:ascii="Times New Roman" w:hAnsi="Times New Roman" w:cs="Times New Roman"/>
          <w:sz w:val="18"/>
        </w:rPr>
      </w:pPr>
      <w:r w:rsidRPr="00D236C7">
        <w:rPr>
          <w:rFonts w:ascii="Times New Roman" w:hAnsi="Times New Roman" w:cs="Times New Roman"/>
          <w:sz w:val="18"/>
        </w:rPr>
        <w:t>Millones de quetzales y porcentajes</w:t>
      </w:r>
    </w:p>
    <w:p w:rsidR="004D58D2" w:rsidRPr="00D236C7" w:rsidRDefault="00D236C7" w:rsidP="00BF0E86">
      <w:pPr>
        <w:pStyle w:val="Sinespaciado"/>
        <w:jc w:val="center"/>
        <w:rPr>
          <w:rFonts w:ascii="Times New Roman" w:hAnsi="Times New Roman" w:cs="Times New Roman"/>
          <w:sz w:val="18"/>
        </w:rPr>
      </w:pPr>
      <w:r w:rsidRPr="00D236C7">
        <w:rPr>
          <w:noProof/>
          <w:lang w:val="es-ES" w:eastAsia="es-ES"/>
        </w:rPr>
        <w:drawing>
          <wp:inline distT="0" distB="0" distL="0" distR="0" wp14:anchorId="62100527" wp14:editId="1BA2A5DA">
            <wp:extent cx="2670810" cy="1821976"/>
            <wp:effectExtent l="0" t="0" r="0" b="6985"/>
            <wp:docPr id="28"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4C84" w:rsidRPr="00D236C7" w:rsidRDefault="00F94C84" w:rsidP="00BF0E86">
      <w:pPr>
        <w:pStyle w:val="Sinespaciado"/>
        <w:rPr>
          <w:rFonts w:ascii="Times New Roman" w:hAnsi="Times New Roman" w:cs="Times New Roman"/>
          <w:sz w:val="18"/>
          <w:szCs w:val="18"/>
          <w:lang w:val="es-MX"/>
        </w:rPr>
      </w:pPr>
      <w:r w:rsidRPr="00D236C7">
        <w:rPr>
          <w:rFonts w:ascii="Times New Roman" w:hAnsi="Times New Roman" w:cs="Times New Roman"/>
          <w:sz w:val="16"/>
        </w:rPr>
        <w:t>Fuente: Dirección de Análisis y Política Fiscal</w:t>
      </w:r>
    </w:p>
    <w:p w:rsidR="00D7015D" w:rsidRDefault="00D7015D" w:rsidP="004C1AB9">
      <w:pPr>
        <w:spacing w:after="0" w:line="240" w:lineRule="auto"/>
        <w:ind w:right="95"/>
        <w:jc w:val="both"/>
        <w:rPr>
          <w:rFonts w:ascii="Times New Roman" w:hAnsi="Times New Roman" w:cs="Times New Roman"/>
          <w:color w:val="FF0000"/>
          <w:sz w:val="12"/>
          <w:lang w:val="es-MX"/>
        </w:rPr>
      </w:pPr>
    </w:p>
    <w:p w:rsidR="00D236C7" w:rsidRDefault="00D236C7" w:rsidP="004C1AB9">
      <w:pPr>
        <w:spacing w:after="0" w:line="240" w:lineRule="auto"/>
        <w:ind w:right="95"/>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Es importante resaltar e</w:t>
      </w:r>
      <w:r w:rsidRPr="004014A9">
        <w:rPr>
          <w:rFonts w:ascii="Times New Roman" w:hAnsi="Times New Roman" w:cs="Times New Roman"/>
          <w:color w:val="000000" w:themeColor="text1"/>
          <w:lang w:val="es-MX"/>
        </w:rPr>
        <w:t xml:space="preserve">l pago realizado </w:t>
      </w:r>
      <w:r>
        <w:rPr>
          <w:rFonts w:ascii="Times New Roman" w:hAnsi="Times New Roman" w:cs="Times New Roman"/>
          <w:color w:val="000000" w:themeColor="text1"/>
          <w:lang w:val="es-MX"/>
        </w:rPr>
        <w:t>a Teco Energy por el caso de arbitraje,</w:t>
      </w:r>
      <w:r w:rsidRPr="004014A9">
        <w:rPr>
          <w:rFonts w:ascii="Times New Roman" w:hAnsi="Times New Roman" w:cs="Times New Roman"/>
          <w:color w:val="000000" w:themeColor="text1"/>
          <w:lang w:val="es-MX"/>
        </w:rPr>
        <w:t xml:space="preserve"> dado que permitió descongelar los re</w:t>
      </w:r>
      <w:r>
        <w:rPr>
          <w:rFonts w:ascii="Times New Roman" w:hAnsi="Times New Roman" w:cs="Times New Roman"/>
          <w:color w:val="000000" w:themeColor="text1"/>
          <w:lang w:val="es-MX"/>
        </w:rPr>
        <w:t xml:space="preserve">cursos en el Banco de New York </w:t>
      </w:r>
      <w:proofErr w:type="spellStart"/>
      <w:r w:rsidRPr="004014A9">
        <w:rPr>
          <w:rFonts w:ascii="Times New Roman" w:hAnsi="Times New Roman" w:cs="Times New Roman"/>
          <w:color w:val="000000" w:themeColor="text1"/>
          <w:lang w:val="es-MX"/>
        </w:rPr>
        <w:t>Mellon</w:t>
      </w:r>
      <w:proofErr w:type="spellEnd"/>
      <w:r w:rsidRPr="004014A9">
        <w:rPr>
          <w:rFonts w:ascii="Times New Roman" w:hAnsi="Times New Roman" w:cs="Times New Roman"/>
          <w:color w:val="000000" w:themeColor="text1"/>
          <w:lang w:val="es-MX"/>
        </w:rPr>
        <w:t xml:space="preserve"> y realizar el p</w:t>
      </w:r>
      <w:r>
        <w:rPr>
          <w:rFonts w:ascii="Times New Roman" w:hAnsi="Times New Roman" w:cs="Times New Roman"/>
          <w:color w:val="000000" w:themeColor="text1"/>
          <w:lang w:val="es-MX"/>
        </w:rPr>
        <w:t xml:space="preserve">ago de cupón a los tenedores del </w:t>
      </w:r>
      <w:r w:rsidRPr="004014A9">
        <w:rPr>
          <w:rFonts w:ascii="Times New Roman" w:hAnsi="Times New Roman" w:cs="Times New Roman"/>
          <w:color w:val="000000" w:themeColor="text1"/>
          <w:lang w:val="es-MX"/>
        </w:rPr>
        <w:t>eurobono</w:t>
      </w:r>
      <w:r>
        <w:rPr>
          <w:rFonts w:ascii="Times New Roman" w:hAnsi="Times New Roman" w:cs="Times New Roman"/>
          <w:color w:val="000000" w:themeColor="text1"/>
          <w:lang w:val="es-MX"/>
        </w:rPr>
        <w:t xml:space="preserve"> 2026</w:t>
      </w:r>
      <w:r w:rsidRPr="004014A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evitando</w:t>
      </w:r>
      <w:r w:rsidRPr="004014A9">
        <w:rPr>
          <w:rFonts w:ascii="Times New Roman" w:hAnsi="Times New Roman" w:cs="Times New Roman"/>
          <w:color w:val="000000" w:themeColor="text1"/>
          <w:lang w:val="es-MX"/>
        </w:rPr>
        <w:t xml:space="preserve"> caer en un default, </w:t>
      </w:r>
      <w:r>
        <w:rPr>
          <w:rFonts w:ascii="Times New Roman" w:hAnsi="Times New Roman" w:cs="Times New Roman"/>
          <w:color w:val="000000" w:themeColor="text1"/>
          <w:lang w:val="es-MX"/>
        </w:rPr>
        <w:t>l</w:t>
      </w:r>
      <w:r w:rsidRPr="004014A9">
        <w:rPr>
          <w:rFonts w:ascii="Times New Roman" w:hAnsi="Times New Roman" w:cs="Times New Roman"/>
          <w:color w:val="000000" w:themeColor="text1"/>
          <w:lang w:val="es-MX"/>
        </w:rPr>
        <w:t>o</w:t>
      </w:r>
      <w:r>
        <w:rPr>
          <w:rFonts w:ascii="Times New Roman" w:hAnsi="Times New Roman" w:cs="Times New Roman"/>
          <w:color w:val="000000" w:themeColor="text1"/>
          <w:lang w:val="es-MX"/>
        </w:rPr>
        <w:t xml:space="preserve"> cual</w:t>
      </w:r>
      <w:r w:rsidRPr="004014A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impidió</w:t>
      </w:r>
      <w:r w:rsidRPr="004014A9">
        <w:rPr>
          <w:rFonts w:ascii="Times New Roman" w:hAnsi="Times New Roman" w:cs="Times New Roman"/>
          <w:color w:val="000000" w:themeColor="text1"/>
          <w:lang w:val="es-MX"/>
        </w:rPr>
        <w:t xml:space="preserve"> que Guatemala afectará su relación con inversionistas y organismos financieros internacionales.</w:t>
      </w:r>
      <w:r>
        <w:rPr>
          <w:rFonts w:ascii="Times New Roman" w:hAnsi="Times New Roman" w:cs="Times New Roman"/>
          <w:color w:val="000000" w:themeColor="text1"/>
          <w:lang w:val="es-MX"/>
        </w:rPr>
        <w:t xml:space="preserve"> </w:t>
      </w:r>
    </w:p>
    <w:p w:rsidR="00D236C7" w:rsidRDefault="00D236C7" w:rsidP="00BF0E86">
      <w:pPr>
        <w:spacing w:after="0" w:line="240" w:lineRule="auto"/>
        <w:jc w:val="both"/>
        <w:rPr>
          <w:rFonts w:ascii="Times New Roman" w:hAnsi="Times New Roman" w:cs="Times New Roman"/>
          <w:color w:val="000000" w:themeColor="text1"/>
          <w:lang w:val="es-MX"/>
        </w:rPr>
      </w:pPr>
    </w:p>
    <w:p w:rsidR="00D236C7" w:rsidRPr="004014A9" w:rsidRDefault="00D236C7" w:rsidP="004C1AB9">
      <w:pPr>
        <w:spacing w:after="0" w:line="240" w:lineRule="auto"/>
        <w:ind w:right="95"/>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Adicionalmente, mientras se solventaba la situación generada por este arbitraje, se mantuvo estrecha comunicación con calificadoras de riesgo, situación que permitió que Standard and Poor’s le devolviera</w:t>
      </w:r>
      <w:r w:rsidRPr="004014A9">
        <w:rPr>
          <w:rFonts w:ascii="Times New Roman" w:hAnsi="Times New Roman" w:cs="Times New Roman"/>
          <w:color w:val="000000" w:themeColor="text1"/>
          <w:lang w:val="es-MX"/>
        </w:rPr>
        <w:t xml:space="preserve"> a Guat</w:t>
      </w:r>
      <w:r>
        <w:rPr>
          <w:rFonts w:ascii="Times New Roman" w:hAnsi="Times New Roman" w:cs="Times New Roman"/>
          <w:color w:val="000000" w:themeColor="text1"/>
          <w:lang w:val="es-MX"/>
        </w:rPr>
        <w:t xml:space="preserve">emala la perspectiva estable y Fitch Ratings confirmo la calificación de Guatemala con perspectiva estable en moneda extranjera a largo plazo. </w:t>
      </w:r>
    </w:p>
    <w:p w:rsidR="00CA4B04" w:rsidRPr="0007418D" w:rsidRDefault="00CA4B04" w:rsidP="00BF0E86">
      <w:pPr>
        <w:pStyle w:val="Sinespaciado"/>
        <w:jc w:val="both"/>
        <w:rPr>
          <w:rFonts w:ascii="Times New Roman" w:hAnsi="Times New Roman" w:cs="Times New Roman"/>
          <w:color w:val="FF0000"/>
        </w:rPr>
        <w:sectPr w:rsidR="00CA4B04" w:rsidRPr="0007418D" w:rsidSect="00040C99">
          <w:headerReference w:type="default" r:id="rId30"/>
          <w:footerReference w:type="default" r:id="rId31"/>
          <w:type w:val="continuous"/>
          <w:pgSz w:w="12240" w:h="15840" w:code="1"/>
          <w:pgMar w:top="1418" w:right="1418" w:bottom="1418" w:left="1701" w:header="709" w:footer="709" w:gutter="0"/>
          <w:cols w:num="2" w:space="708"/>
          <w:docGrid w:linePitch="360"/>
        </w:sectPr>
      </w:pPr>
      <w:r w:rsidRPr="0007418D">
        <w:rPr>
          <w:rFonts w:ascii="Times New Roman" w:hAnsi="Times New Roman" w:cs="Times New Roman"/>
          <w:color w:val="FF0000"/>
        </w:rPr>
        <w:t xml:space="preserve"> </w:t>
      </w:r>
    </w:p>
    <w:p w:rsidR="00B96036" w:rsidRPr="00D236C7" w:rsidRDefault="00B96036" w:rsidP="00BF0E86">
      <w:pPr>
        <w:spacing w:after="0"/>
        <w:rPr>
          <w:rFonts w:ascii="Times New Roman" w:hAnsi="Times New Roman" w:cs="Times New Roman"/>
          <w:sz w:val="18"/>
          <w:lang w:val="es-MX"/>
        </w:rPr>
      </w:pPr>
    </w:p>
    <w:p w:rsidR="00F75F1E" w:rsidRPr="00D236C7" w:rsidRDefault="00182C5B"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D236C7" w:rsidSect="00FA3B81">
          <w:type w:val="continuous"/>
          <w:pgSz w:w="12240" w:h="15840" w:code="1"/>
          <w:pgMar w:top="1418" w:right="1418" w:bottom="1418" w:left="1418" w:header="709" w:footer="709" w:gutter="0"/>
          <w:cols w:space="708"/>
          <w:docGrid w:linePitch="360"/>
        </w:sectPr>
      </w:pPr>
      <w:r w:rsidRPr="00D236C7">
        <w:rPr>
          <w:rFonts w:ascii="Times New Roman" w:hAnsi="Times New Roman" w:cs="Times New Roman"/>
          <w:b/>
        </w:rPr>
        <w:t xml:space="preserve">Tablero de seguimiento de Programas Sociales y </w:t>
      </w:r>
      <w:r w:rsidR="00F1031E" w:rsidRPr="00D236C7">
        <w:rPr>
          <w:rFonts w:ascii="Times New Roman" w:hAnsi="Times New Roman" w:cs="Times New Roman"/>
          <w:b/>
        </w:rPr>
        <w:t>E</w:t>
      </w:r>
      <w:r w:rsidR="000E0E1E" w:rsidRPr="00D236C7">
        <w:rPr>
          <w:rFonts w:ascii="Times New Roman" w:hAnsi="Times New Roman" w:cs="Times New Roman"/>
          <w:b/>
        </w:rPr>
        <w:t>conómicos</w:t>
      </w:r>
      <w:r w:rsidR="004D58D2" w:rsidRPr="00D236C7">
        <w:rPr>
          <w:rFonts w:ascii="Times New Roman" w:hAnsi="Times New Roman" w:cs="Times New Roman"/>
          <w:b/>
        </w:rPr>
        <w:t xml:space="preserve"> del COVID</w:t>
      </w:r>
      <w:r w:rsidR="00F1031E" w:rsidRPr="00D236C7">
        <w:rPr>
          <w:rFonts w:ascii="Times New Roman" w:hAnsi="Times New Roman" w:cs="Times New Roman"/>
          <w:b/>
        </w:rPr>
        <w:t>-19</w:t>
      </w:r>
    </w:p>
    <w:p w:rsidR="00F75F1E" w:rsidRPr="00D236C7" w:rsidRDefault="00F75F1E" w:rsidP="00BF0E86">
      <w:pPr>
        <w:pStyle w:val="Sinespaciado"/>
        <w:rPr>
          <w:rFonts w:ascii="Times New Roman" w:hAnsi="Times New Roman" w:cs="Times New Roman"/>
          <w:b/>
          <w:sz w:val="20"/>
          <w:lang w:val="es-MX"/>
        </w:rPr>
      </w:pPr>
    </w:p>
    <w:p w:rsidR="00F75F1E" w:rsidRPr="00D236C7" w:rsidRDefault="00F75F1E" w:rsidP="00BF0E86">
      <w:pPr>
        <w:pStyle w:val="Sinespaciado"/>
        <w:rPr>
          <w:rFonts w:ascii="Times New Roman" w:hAnsi="Times New Roman" w:cs="Times New Roman"/>
          <w:b/>
          <w:sz w:val="18"/>
          <w:lang w:val="es-MX"/>
        </w:rPr>
        <w:sectPr w:rsidR="00F75F1E" w:rsidRPr="00D236C7" w:rsidSect="004E358C">
          <w:type w:val="continuous"/>
          <w:pgSz w:w="12240" w:h="15840"/>
          <w:pgMar w:top="1417" w:right="1701" w:bottom="1417" w:left="1701" w:header="708" w:footer="708" w:gutter="0"/>
          <w:cols w:space="708"/>
          <w:docGrid w:linePitch="360"/>
        </w:sectPr>
      </w:pPr>
    </w:p>
    <w:p w:rsidR="00811ED5" w:rsidRPr="00D236C7" w:rsidRDefault="00811ED5" w:rsidP="00BF0E86">
      <w:pPr>
        <w:spacing w:after="0" w:line="240" w:lineRule="auto"/>
        <w:jc w:val="both"/>
        <w:rPr>
          <w:rFonts w:ascii="Times New Roman" w:hAnsi="Times New Roman" w:cs="Times New Roman"/>
        </w:rPr>
      </w:pPr>
      <w:r w:rsidRPr="00D236C7">
        <w:rPr>
          <w:rFonts w:ascii="Times New Roman" w:hAnsi="Times New Roman" w:cs="Times New Roman"/>
        </w:rPr>
        <w:lastRenderedPageBreak/>
        <w:t xml:space="preserve">A través del Tablero de Seguimiento de Programas Sociales y Económicos del COVID-19 se le da seguimiento a la ejecución de los programas sociales y económicos para la atención del COVID-19. </w:t>
      </w:r>
    </w:p>
    <w:p w:rsidR="00811ED5" w:rsidRPr="00D236C7" w:rsidRDefault="00811ED5" w:rsidP="00BF0E86">
      <w:pPr>
        <w:spacing w:after="0" w:line="240" w:lineRule="auto"/>
        <w:jc w:val="both"/>
        <w:rPr>
          <w:rFonts w:ascii="Times New Roman" w:hAnsi="Times New Roman" w:cs="Times New Roman"/>
        </w:rPr>
      </w:pPr>
    </w:p>
    <w:p w:rsidR="00811ED5" w:rsidRPr="00D236C7" w:rsidRDefault="00811ED5" w:rsidP="00BF0E86">
      <w:pPr>
        <w:spacing w:after="0" w:line="240" w:lineRule="auto"/>
        <w:jc w:val="both"/>
        <w:rPr>
          <w:rFonts w:ascii="Times New Roman" w:hAnsi="Times New Roman" w:cs="Times New Roman"/>
        </w:rPr>
      </w:pPr>
      <w:r w:rsidRPr="00D236C7">
        <w:rPr>
          <w:rFonts w:ascii="Times New Roman" w:hAnsi="Times New Roman" w:cs="Times New Roman"/>
        </w:rPr>
        <w:t xml:space="preserve">Durante noviembre se tuvo un avance de Q829.2 millones respecto a lo observado en octubre. Los gastos más importantes del mes fueron Q509.2 millones en el Bono Familia, la regularización del anticipo correspondiente a la dotación alimentaria (bolsa de alimentos) por Q195.5 millones, Q108.9 millones en remodelación e infraestructura de salud y </w:t>
      </w:r>
      <w:r w:rsidRPr="00D236C7">
        <w:rPr>
          <w:rFonts w:ascii="Times New Roman" w:hAnsi="Times New Roman" w:cs="Times New Roman"/>
        </w:rPr>
        <w:lastRenderedPageBreak/>
        <w:t xml:space="preserve">Q48.7 millones correspondiente a la transferencia que se realizó para proyectos de reactivación económica a cargo de los CODEDES. </w:t>
      </w:r>
    </w:p>
    <w:p w:rsidR="00811ED5" w:rsidRPr="00D236C7" w:rsidRDefault="00811ED5" w:rsidP="00BF0E86">
      <w:pPr>
        <w:spacing w:after="0" w:line="240" w:lineRule="auto"/>
        <w:jc w:val="both"/>
        <w:rPr>
          <w:rFonts w:ascii="Times New Roman" w:hAnsi="Times New Roman" w:cs="Times New Roman"/>
        </w:rPr>
      </w:pPr>
    </w:p>
    <w:p w:rsidR="00811ED5" w:rsidRPr="00D236C7" w:rsidRDefault="00811ED5" w:rsidP="00BF0E86">
      <w:pPr>
        <w:spacing w:after="0" w:line="240" w:lineRule="auto"/>
        <w:jc w:val="both"/>
        <w:rPr>
          <w:rFonts w:ascii="Times New Roman" w:hAnsi="Times New Roman" w:cs="Times New Roman"/>
        </w:rPr>
      </w:pPr>
      <w:r w:rsidRPr="00D236C7">
        <w:rPr>
          <w:rFonts w:ascii="Times New Roman" w:hAnsi="Times New Roman" w:cs="Times New Roman"/>
        </w:rPr>
        <w:t>El presupuesto de los programas sociales y económicos en atención al COVID-19 asciende a Q14,610.0 millones para entidades de la Administración Central y las Obligaciones del Estado a Cargo del Tesoro. A noviembre se reporta una ejecución acumulada de Q11,981.4 millones, con un nivel de ejecución del 82.0%.</w:t>
      </w:r>
    </w:p>
    <w:p w:rsidR="00811ED5" w:rsidRPr="00D236C7" w:rsidRDefault="00811ED5" w:rsidP="00BF0E86">
      <w:pPr>
        <w:spacing w:after="0" w:line="240" w:lineRule="auto"/>
        <w:jc w:val="both"/>
        <w:rPr>
          <w:rFonts w:ascii="Times New Roman" w:hAnsi="Times New Roman" w:cs="Times New Roman"/>
        </w:rPr>
      </w:pPr>
    </w:p>
    <w:p w:rsidR="004D58D2" w:rsidRPr="00D236C7" w:rsidRDefault="004D58D2" w:rsidP="00BF0E86">
      <w:pPr>
        <w:spacing w:after="0" w:line="240" w:lineRule="auto"/>
        <w:jc w:val="center"/>
        <w:rPr>
          <w:rFonts w:ascii="Times New Roman" w:hAnsi="Times New Roman" w:cs="Times New Roman"/>
          <w:b/>
        </w:rPr>
      </w:pPr>
      <w:r w:rsidRPr="00D236C7">
        <w:rPr>
          <w:rFonts w:ascii="Times New Roman" w:hAnsi="Times New Roman" w:cs="Times New Roman"/>
          <w:b/>
        </w:rPr>
        <w:lastRenderedPageBreak/>
        <w:t>Ejecución acumulada de los programas sociales y económicos en atención al COVID-19</w:t>
      </w:r>
    </w:p>
    <w:p w:rsidR="00182C5B" w:rsidRPr="00D236C7" w:rsidRDefault="00811ED5" w:rsidP="00BF0E86">
      <w:pPr>
        <w:spacing w:after="0" w:line="240" w:lineRule="auto"/>
        <w:jc w:val="center"/>
        <w:rPr>
          <w:rFonts w:ascii="Times New Roman" w:hAnsi="Times New Roman" w:cs="Times New Roman"/>
          <w:sz w:val="18"/>
        </w:rPr>
      </w:pPr>
      <w:r w:rsidRPr="00D236C7">
        <w:rPr>
          <w:rFonts w:ascii="Times New Roman" w:hAnsi="Times New Roman" w:cs="Times New Roman"/>
          <w:noProof/>
          <w:lang w:val="es-ES" w:eastAsia="es-ES"/>
        </w:rPr>
        <w:drawing>
          <wp:anchor distT="0" distB="0" distL="114300" distR="114300" simplePos="0" relativeHeight="251874304" behindDoc="0" locked="0" layoutInCell="1" allowOverlap="1" wp14:anchorId="61CA7CC3" wp14:editId="30213802">
            <wp:simplePos x="0" y="0"/>
            <wp:positionH relativeFrom="column">
              <wp:posOffset>3810</wp:posOffset>
            </wp:positionH>
            <wp:positionV relativeFrom="paragraph">
              <wp:posOffset>187025</wp:posOffset>
            </wp:positionV>
            <wp:extent cx="2613660" cy="2311400"/>
            <wp:effectExtent l="0" t="0" r="0" b="0"/>
            <wp:wrapSquare wrapText="bothSides"/>
            <wp:docPr id="1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D58D2" w:rsidRPr="00D236C7">
        <w:rPr>
          <w:rFonts w:ascii="Times New Roman" w:hAnsi="Times New Roman" w:cs="Times New Roman"/>
          <w:sz w:val="18"/>
        </w:rPr>
        <w:t>Millones de quetzales y porcentajes</w:t>
      </w:r>
      <w:r w:rsidR="004D58D2" w:rsidRPr="00D236C7">
        <w:rPr>
          <w:rFonts w:ascii="Times New Roman" w:hAnsi="Times New Roman" w:cs="Times New Roman"/>
          <w:noProof/>
          <w:lang w:eastAsia="es-GT"/>
        </w:rPr>
        <w:t xml:space="preserve"> </w:t>
      </w:r>
    </w:p>
    <w:p w:rsidR="004D58D2" w:rsidRPr="00D236C7" w:rsidRDefault="004D58D2" w:rsidP="00BF0E86">
      <w:pPr>
        <w:spacing w:after="0" w:line="240" w:lineRule="auto"/>
        <w:rPr>
          <w:rFonts w:ascii="Times New Roman" w:hAnsi="Times New Roman" w:cs="Times New Roman"/>
          <w:noProof/>
          <w:sz w:val="16"/>
        </w:rPr>
      </w:pPr>
      <w:r w:rsidRPr="00D236C7">
        <w:rPr>
          <w:rFonts w:ascii="Times New Roman" w:hAnsi="Times New Roman" w:cs="Times New Roman"/>
          <w:noProof/>
          <w:sz w:val="16"/>
        </w:rPr>
        <w:t xml:space="preserve">Fuente: SIGES y SICOIN </w:t>
      </w:r>
    </w:p>
    <w:p w:rsidR="00182C5B" w:rsidRPr="00D236C7" w:rsidRDefault="00182C5B" w:rsidP="00BF0E86">
      <w:pPr>
        <w:spacing w:after="0" w:line="240" w:lineRule="auto"/>
        <w:jc w:val="both"/>
        <w:rPr>
          <w:rFonts w:ascii="Times New Roman" w:hAnsi="Times New Roman" w:cs="Times New Roman"/>
        </w:rPr>
      </w:pPr>
    </w:p>
    <w:p w:rsidR="00811ED5" w:rsidRPr="00D236C7" w:rsidRDefault="00811ED5" w:rsidP="004C1AB9">
      <w:pPr>
        <w:spacing w:after="0" w:line="240" w:lineRule="auto"/>
        <w:ind w:left="142" w:right="-188"/>
        <w:jc w:val="both"/>
        <w:rPr>
          <w:rFonts w:ascii="Times New Roman" w:hAnsi="Times New Roman" w:cs="Times New Roman"/>
        </w:rPr>
      </w:pPr>
      <w:r w:rsidRPr="00D236C7">
        <w:rPr>
          <w:rFonts w:ascii="Times New Roman" w:hAnsi="Times New Roman" w:cs="Times New Roman"/>
        </w:rPr>
        <w:t>Al evaluar la ejecución por decretos y programas, resalta del Decreto 12-2020 “Ley de Emergencia COVID-19”, que únicamente el Fondo de Protección de Capitales ha sido ejecutado en su totalidad. Esto corresponde al traslado de recursos hacia el CHN por Q250 millones para el otorgamiento de préstamos en condiciones blandas, al 31 de octubre el CHN había atendido 461 solicitudes de créditos que totalizan Q239.4 millones.</w:t>
      </w:r>
    </w:p>
    <w:p w:rsidR="00811ED5" w:rsidRPr="00D236C7" w:rsidRDefault="00811ED5" w:rsidP="00BF0E86">
      <w:pPr>
        <w:spacing w:after="0" w:line="240" w:lineRule="auto"/>
        <w:jc w:val="both"/>
        <w:rPr>
          <w:rFonts w:ascii="Times New Roman" w:hAnsi="Times New Roman" w:cs="Times New Roman"/>
        </w:rPr>
      </w:pPr>
    </w:p>
    <w:p w:rsidR="00282FDB" w:rsidRDefault="00811ED5" w:rsidP="00282FDB">
      <w:pPr>
        <w:spacing w:after="0" w:line="240" w:lineRule="auto"/>
        <w:ind w:left="142" w:right="-188"/>
        <w:jc w:val="both"/>
        <w:rPr>
          <w:rFonts w:ascii="Times New Roman" w:hAnsi="Times New Roman" w:cs="Times New Roman"/>
        </w:rPr>
      </w:pPr>
      <w:r w:rsidRPr="00D236C7">
        <w:rPr>
          <w:rFonts w:ascii="Times New Roman" w:hAnsi="Times New Roman" w:cs="Times New Roman"/>
        </w:rPr>
        <w:t>Le sigue el programa de remodelación e infraestructura de hospitales y centros de salud a cargo del Ministerio de Salud Pública con una ejecución de 66.7% y el Programa de Adulto Mayor a cargo del Ministerio de Trabajo con una ejecución de 37.8%.</w:t>
      </w:r>
    </w:p>
    <w:p w:rsidR="00282FDB" w:rsidRDefault="00282FDB" w:rsidP="00282FDB">
      <w:pPr>
        <w:spacing w:after="0" w:line="240" w:lineRule="auto"/>
        <w:ind w:left="142" w:right="-188"/>
        <w:jc w:val="both"/>
        <w:rPr>
          <w:rFonts w:ascii="Times New Roman" w:hAnsi="Times New Roman" w:cs="Times New Roman"/>
        </w:rPr>
      </w:pPr>
    </w:p>
    <w:p w:rsidR="00282FDB" w:rsidRDefault="00811ED5" w:rsidP="00282FDB">
      <w:pPr>
        <w:spacing w:after="0" w:line="240" w:lineRule="auto"/>
        <w:ind w:left="142" w:right="-188"/>
        <w:jc w:val="both"/>
        <w:rPr>
          <w:rFonts w:ascii="Times New Roman" w:hAnsi="Times New Roman" w:cs="Times New Roman"/>
        </w:rPr>
      </w:pPr>
      <w:r w:rsidRPr="00D236C7">
        <w:rPr>
          <w:rFonts w:ascii="Times New Roman" w:hAnsi="Times New Roman" w:cs="Times New Roman"/>
        </w:rPr>
        <w:t xml:space="preserve">Respecto a la Dotación Alimentaria a cargo del Ministerio de Desarrollo Social y Ministerio de Agricultura se ha logrado regularizar Q234.2 millones del anticipo otorgado al Programa Mundial de Alimentos (PMA), lo cual ubica la ejecución de este programa en 33.5%. Mientras que dos </w:t>
      </w:r>
      <w:r w:rsidRPr="00D236C7">
        <w:rPr>
          <w:rFonts w:ascii="Times New Roman" w:hAnsi="Times New Roman" w:cs="Times New Roman"/>
        </w:rPr>
        <w:lastRenderedPageBreak/>
        <w:t xml:space="preserve">programas de este decreto reportan una ejecución nula, siendo el caso del Programa de Agricultura Campesina y el Fondo para las Micro, Pequeñas y Medianas empresas. </w:t>
      </w:r>
    </w:p>
    <w:p w:rsidR="00282FDB" w:rsidRDefault="00282FDB" w:rsidP="00282FDB">
      <w:pPr>
        <w:spacing w:after="0" w:line="240" w:lineRule="auto"/>
        <w:ind w:left="142" w:right="-188"/>
        <w:jc w:val="both"/>
        <w:rPr>
          <w:rFonts w:ascii="Times New Roman" w:hAnsi="Times New Roman" w:cs="Times New Roman"/>
        </w:rPr>
      </w:pPr>
    </w:p>
    <w:p w:rsidR="00282FDB" w:rsidRDefault="00811ED5" w:rsidP="00282FDB">
      <w:pPr>
        <w:spacing w:after="0" w:line="240" w:lineRule="auto"/>
        <w:ind w:left="142" w:right="-188"/>
        <w:jc w:val="both"/>
        <w:rPr>
          <w:rFonts w:ascii="Times New Roman" w:hAnsi="Times New Roman" w:cs="Times New Roman"/>
        </w:rPr>
      </w:pPr>
      <w:r w:rsidRPr="00D236C7">
        <w:rPr>
          <w:rFonts w:ascii="Times New Roman" w:hAnsi="Times New Roman" w:cs="Times New Roman"/>
        </w:rPr>
        <w:t xml:space="preserve">Respecto al Decreto 13-2020 “Ley de Rescate Económico para Familias” se han ejecutado Q10,229.0 millones, siendo el decreto que concentra los programas más importantes en cuanto a la atención del COVID-19. El subsidio a la energía eléctrica por Q270 millones cuenta con una ejecución de 100%, mientras que el Bono Familia ha sido ejecutado prácticamente en su totalidad (99.7%). </w:t>
      </w:r>
    </w:p>
    <w:p w:rsidR="00282FDB" w:rsidRDefault="00282FDB" w:rsidP="00282FDB">
      <w:pPr>
        <w:spacing w:after="0" w:line="240" w:lineRule="auto"/>
        <w:ind w:left="142" w:right="-188"/>
        <w:jc w:val="both"/>
        <w:rPr>
          <w:rFonts w:ascii="Times New Roman" w:hAnsi="Times New Roman" w:cs="Times New Roman"/>
        </w:rPr>
      </w:pPr>
    </w:p>
    <w:p w:rsidR="00282FDB" w:rsidRDefault="00811ED5" w:rsidP="00282FDB">
      <w:pPr>
        <w:spacing w:after="0" w:line="240" w:lineRule="auto"/>
        <w:ind w:left="142" w:right="-188"/>
        <w:jc w:val="both"/>
        <w:rPr>
          <w:rFonts w:ascii="Times New Roman" w:hAnsi="Times New Roman" w:cs="Times New Roman"/>
        </w:rPr>
      </w:pPr>
      <w:r w:rsidRPr="00D236C7">
        <w:rPr>
          <w:rFonts w:ascii="Times New Roman" w:hAnsi="Times New Roman" w:cs="Times New Roman"/>
        </w:rPr>
        <w:t xml:space="preserve">El resto de los programas reportan un alto nivel de ejecución, el Fondo de Protección de Empleo con 83.8%, el cual incluye una ejecución de Q150 millones correspondiente al bono de carácter único para los pensionados y jubilados del Estado, y el Fondo de Crédito Capital de Trabajo con una ejecución de 84.2%, aunque es importante mencionar que el resto de los recursos destinados para este fondo (Q430 millones) no serán requeridos, de acuerdo al Reglamento del Fondo las instituciones financieras tenían hasta el 20 de noviembre para solicitar los recursos y estos no fueron requeridos. </w:t>
      </w:r>
    </w:p>
    <w:p w:rsidR="00282FDB" w:rsidRDefault="00282FDB" w:rsidP="00282FDB">
      <w:pPr>
        <w:spacing w:after="0" w:line="240" w:lineRule="auto"/>
        <w:ind w:left="142" w:right="-188"/>
        <w:jc w:val="both"/>
        <w:rPr>
          <w:rFonts w:ascii="Times New Roman" w:hAnsi="Times New Roman" w:cs="Times New Roman"/>
        </w:rPr>
      </w:pPr>
    </w:p>
    <w:p w:rsidR="00AC1E31" w:rsidRDefault="00811ED5" w:rsidP="00282FDB">
      <w:pPr>
        <w:spacing w:after="0" w:line="240" w:lineRule="auto"/>
        <w:ind w:left="142" w:right="-188"/>
        <w:jc w:val="both"/>
        <w:rPr>
          <w:rFonts w:ascii="Times New Roman" w:hAnsi="Times New Roman" w:cs="Times New Roman"/>
        </w:rPr>
      </w:pPr>
      <w:r w:rsidRPr="00D236C7">
        <w:rPr>
          <w:rFonts w:ascii="Times New Roman" w:hAnsi="Times New Roman" w:cs="Times New Roman"/>
        </w:rPr>
        <w:t xml:space="preserve">Al cierre de octubre por el Fondo de Crédito de Capital de Trabajo se han atendido 13,702 solicitudes. Con el fin de coadyuvar al esfuerzo por simplificar trámites y agilizar la autorización y desembolso de créditos se autorizó al CHN a calificar, evaluar y autorizar el traslado parcial de recursos a Instituciones Financieras y a Cooperativas de Ahorro y Crédito, de esa cuenta los recursos de este fondo son manejados por el CHN e Instituciones Financieras y Cooperativas de Ahorro. Del traslado hecho por el gobierno hacia el CHN por Q2,300 millones, el CHN ha transferido Q1,699.5 millones a </w:t>
      </w:r>
      <w:r w:rsidRPr="00D236C7">
        <w:rPr>
          <w:rFonts w:ascii="Times New Roman" w:hAnsi="Times New Roman" w:cs="Times New Roman"/>
        </w:rPr>
        <w:lastRenderedPageBreak/>
        <w:t>Instituciones Financieras y a Cooperativas de Ahorro y Crédito.</w:t>
      </w:r>
    </w:p>
    <w:p w:rsidR="00AC1E31" w:rsidRDefault="00AC1E31" w:rsidP="00AC1E31">
      <w:pPr>
        <w:spacing w:after="0" w:line="240" w:lineRule="auto"/>
        <w:ind w:right="-46"/>
        <w:jc w:val="both"/>
        <w:rPr>
          <w:rFonts w:ascii="Times New Roman" w:hAnsi="Times New Roman" w:cs="Times New Roman"/>
        </w:rPr>
      </w:pPr>
    </w:p>
    <w:p w:rsidR="00D236C7" w:rsidRPr="00D236C7" w:rsidRDefault="00D236C7" w:rsidP="00AC1E31">
      <w:pPr>
        <w:spacing w:after="0" w:line="240" w:lineRule="auto"/>
        <w:ind w:right="-46"/>
        <w:jc w:val="both"/>
        <w:rPr>
          <w:rFonts w:ascii="Times New Roman" w:hAnsi="Times New Roman" w:cs="Times New Roman"/>
        </w:rPr>
      </w:pPr>
      <w:r w:rsidRPr="00D236C7">
        <w:rPr>
          <w:rFonts w:ascii="Times New Roman" w:hAnsi="Times New Roman" w:cs="Times New Roman"/>
        </w:rPr>
        <w:t>Por último, del Decreto 20-2020 Ampliación Presupuestaria, únicamente el subsidio a la energía eléctrica por Q360 millones ha sido ejecutado en su totalidad. En lo que respecta a la actividad de adquisición de ventiladores, pruebas COVID-19 y Equipo, Trajes y Materiales de Protección Personal (EPP) reporta una ejecución de 51.0%, mientras que los proyectos de reactivación económica a cargo de los CODEDES han recibido transferencias por Q166.7 millones; por su parte, el programa de infraestructura de salud tiene una ejecución nula, el cual es financiado por préstamos con el Banco Centroamericano de Integración Económica (BCIE) y el Banco Interamericano de Desarrollo (BID), cada uno por Q15 millones.</w:t>
      </w:r>
    </w:p>
    <w:p w:rsidR="00D236C7" w:rsidRDefault="00D236C7" w:rsidP="00BF0E86">
      <w:pPr>
        <w:spacing w:after="0" w:line="240" w:lineRule="auto"/>
        <w:jc w:val="both"/>
        <w:rPr>
          <w:rFonts w:ascii="Times New Roman" w:hAnsi="Times New Roman" w:cs="Times New Roman"/>
        </w:rPr>
      </w:pPr>
    </w:p>
    <w:p w:rsidR="00282FDB" w:rsidRDefault="00282FDB" w:rsidP="00BF0E86">
      <w:pPr>
        <w:spacing w:after="0" w:line="240" w:lineRule="auto"/>
        <w:jc w:val="both"/>
        <w:rPr>
          <w:rFonts w:ascii="Times New Roman" w:hAnsi="Times New Roman" w:cs="Times New Roman"/>
        </w:rPr>
      </w:pPr>
    </w:p>
    <w:p w:rsidR="00282FDB" w:rsidRPr="00D236C7" w:rsidRDefault="00282FDB" w:rsidP="00BF0E86">
      <w:pPr>
        <w:spacing w:after="0" w:line="240" w:lineRule="auto"/>
        <w:jc w:val="both"/>
        <w:rPr>
          <w:rFonts w:ascii="Times New Roman" w:hAnsi="Times New Roman" w:cs="Times New Roman"/>
        </w:rPr>
      </w:pPr>
    </w:p>
    <w:p w:rsidR="00FD3C18" w:rsidRPr="00D236C7" w:rsidRDefault="00FD3C18" w:rsidP="00BF0E86">
      <w:pPr>
        <w:spacing w:after="0" w:line="240" w:lineRule="auto"/>
        <w:jc w:val="both"/>
        <w:rPr>
          <w:rFonts w:ascii="Times New Roman" w:hAnsi="Times New Roman" w:cs="Times New Roman"/>
        </w:rPr>
      </w:pPr>
    </w:p>
    <w:p w:rsidR="00182C5B" w:rsidRPr="00D236C7" w:rsidRDefault="00182C5B" w:rsidP="00BF0E86">
      <w:pPr>
        <w:spacing w:after="0" w:line="240" w:lineRule="auto"/>
        <w:jc w:val="center"/>
        <w:rPr>
          <w:rFonts w:ascii="Times New Roman" w:hAnsi="Times New Roman" w:cs="Times New Roman"/>
          <w:b/>
        </w:rPr>
      </w:pPr>
      <w:r w:rsidRPr="00D236C7">
        <w:rPr>
          <w:rFonts w:ascii="Times New Roman" w:hAnsi="Times New Roman" w:cs="Times New Roman"/>
          <w:b/>
        </w:rPr>
        <w:t>Ejecución por decreto de los programas sociales y económicos en atención al COVID-19</w:t>
      </w:r>
    </w:p>
    <w:p w:rsidR="00182C5B" w:rsidRPr="00D236C7" w:rsidRDefault="00811ED5" w:rsidP="00BF0E86">
      <w:pPr>
        <w:spacing w:after="0" w:line="240" w:lineRule="auto"/>
        <w:jc w:val="center"/>
        <w:rPr>
          <w:rFonts w:ascii="Times New Roman" w:hAnsi="Times New Roman" w:cs="Times New Roman"/>
          <w:sz w:val="18"/>
        </w:rPr>
      </w:pPr>
      <w:r w:rsidRPr="00D236C7">
        <w:rPr>
          <w:rFonts w:ascii="Times New Roman" w:hAnsi="Times New Roman" w:cs="Times New Roman"/>
          <w:sz w:val="18"/>
        </w:rPr>
        <w:t>A noviem</w:t>
      </w:r>
      <w:r w:rsidR="00182C5B" w:rsidRPr="00D236C7">
        <w:rPr>
          <w:rFonts w:ascii="Times New Roman" w:hAnsi="Times New Roman" w:cs="Times New Roman"/>
          <w:sz w:val="18"/>
        </w:rPr>
        <w:t>bre 2020</w:t>
      </w:r>
    </w:p>
    <w:p w:rsidR="00182C5B" w:rsidRPr="00D236C7" w:rsidRDefault="00182C5B" w:rsidP="002C278E">
      <w:pPr>
        <w:spacing w:after="0" w:line="240" w:lineRule="auto"/>
        <w:jc w:val="center"/>
        <w:rPr>
          <w:rFonts w:ascii="Times New Roman" w:hAnsi="Times New Roman" w:cs="Times New Roman"/>
          <w:sz w:val="18"/>
        </w:rPr>
      </w:pPr>
      <w:r w:rsidRPr="00D236C7">
        <w:rPr>
          <w:rFonts w:ascii="Times New Roman" w:hAnsi="Times New Roman" w:cs="Times New Roman"/>
          <w:sz w:val="18"/>
        </w:rPr>
        <w:t>Millones de quetzales y porcentajes</w:t>
      </w:r>
      <w:r w:rsidR="00811ED5" w:rsidRPr="00D236C7">
        <w:rPr>
          <w:rFonts w:ascii="Times New Roman" w:hAnsi="Times New Roman" w:cs="Times New Roman"/>
          <w:noProof/>
          <w:sz w:val="18"/>
          <w:lang w:val="es-ES" w:eastAsia="es-ES"/>
        </w:rPr>
        <w:drawing>
          <wp:anchor distT="0" distB="0" distL="114300" distR="114300" simplePos="0" relativeHeight="251876352" behindDoc="0" locked="0" layoutInCell="1" allowOverlap="1" wp14:anchorId="4C0EFB15" wp14:editId="75C33369">
            <wp:simplePos x="0" y="0"/>
            <wp:positionH relativeFrom="column">
              <wp:posOffset>-1905</wp:posOffset>
            </wp:positionH>
            <wp:positionV relativeFrom="paragraph">
              <wp:posOffset>135255</wp:posOffset>
            </wp:positionV>
            <wp:extent cx="2613660" cy="2743200"/>
            <wp:effectExtent l="0" t="0" r="0" b="0"/>
            <wp:wrapSquare wrapText="bothSides"/>
            <wp:docPr id="12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D236C7" w:rsidRPr="00282FDB" w:rsidRDefault="00182C5B" w:rsidP="00282FDB">
      <w:pPr>
        <w:spacing w:after="0" w:line="240" w:lineRule="auto"/>
        <w:rPr>
          <w:rFonts w:ascii="Times New Roman" w:hAnsi="Times New Roman" w:cs="Times New Roman"/>
          <w:noProof/>
          <w:color w:val="FF0000"/>
          <w:sz w:val="16"/>
        </w:rPr>
      </w:pPr>
      <w:r w:rsidRPr="00D236C7">
        <w:rPr>
          <w:rFonts w:ascii="Times New Roman" w:hAnsi="Times New Roman" w:cs="Times New Roman"/>
          <w:noProof/>
          <w:sz w:val="16"/>
        </w:rPr>
        <w:t xml:space="preserve">Fuente: SIGES y SICOIN </w:t>
      </w:r>
    </w:p>
    <w:p w:rsidR="00D236C7" w:rsidRPr="0007418D" w:rsidRDefault="00D236C7" w:rsidP="00BF0E86">
      <w:pPr>
        <w:spacing w:after="0"/>
        <w:rPr>
          <w:rFonts w:ascii="Times New Roman" w:hAnsi="Times New Roman" w:cs="Times New Roman"/>
          <w:color w:val="FF0000"/>
          <w:sz w:val="24"/>
          <w:lang w:val="es-MX"/>
        </w:rPr>
        <w:sectPr w:rsidR="00D236C7" w:rsidRPr="0007418D" w:rsidSect="004E358C">
          <w:type w:val="continuous"/>
          <w:pgSz w:w="12240" w:h="15840"/>
          <w:pgMar w:top="1417" w:right="1701" w:bottom="1417" w:left="1701" w:header="708" w:footer="708" w:gutter="0"/>
          <w:cols w:num="2" w:space="708"/>
          <w:docGrid w:linePitch="360"/>
        </w:sectPr>
      </w:pPr>
    </w:p>
    <w:p w:rsidR="00494D1D" w:rsidRPr="0012512D" w:rsidRDefault="0042387A" w:rsidP="00BF0E86">
      <w:pPr>
        <w:pBdr>
          <w:top w:val="single" w:sz="4" w:space="0" w:color="auto"/>
          <w:left w:val="single" w:sz="4" w:space="4" w:color="auto"/>
          <w:bottom w:val="single" w:sz="4" w:space="1" w:color="auto"/>
          <w:right w:val="single" w:sz="4" w:space="4" w:color="auto"/>
        </w:pBdr>
        <w:shd w:val="clear" w:color="auto" w:fill="B8CCE4" w:themeFill="accent1" w:themeFillTint="66"/>
        <w:spacing w:before="240" w:after="0" w:line="240" w:lineRule="auto"/>
        <w:jc w:val="center"/>
        <w:rPr>
          <w:rFonts w:ascii="Times New Roman" w:hAnsi="Times New Roman" w:cs="Times New Roman"/>
          <w:b/>
          <w:lang w:val="es-MX"/>
        </w:rPr>
        <w:sectPr w:rsidR="00494D1D" w:rsidRPr="0012512D" w:rsidSect="00FA3B81">
          <w:headerReference w:type="default" r:id="rId34"/>
          <w:footerReference w:type="default" r:id="rId35"/>
          <w:type w:val="continuous"/>
          <w:pgSz w:w="12240" w:h="15840" w:code="1"/>
          <w:pgMar w:top="1418" w:right="1418" w:bottom="1418" w:left="1418" w:header="709" w:footer="709" w:gutter="0"/>
          <w:cols w:space="708"/>
          <w:docGrid w:linePitch="360"/>
        </w:sectPr>
      </w:pPr>
      <w:r w:rsidRPr="0012512D">
        <w:rPr>
          <w:rFonts w:ascii="Times New Roman" w:hAnsi="Times New Roman" w:cs="Times New Roman"/>
          <w:b/>
          <w:lang w:val="es-MX"/>
        </w:rPr>
        <w:lastRenderedPageBreak/>
        <w:t>Ambientes macroeconómicos (externo e interno)</w:t>
      </w:r>
    </w:p>
    <w:p w:rsidR="00494D1D" w:rsidRPr="0007418D" w:rsidRDefault="00494D1D" w:rsidP="00BF0E86">
      <w:pPr>
        <w:pStyle w:val="Sinespaciado"/>
        <w:rPr>
          <w:rFonts w:ascii="Times New Roman" w:hAnsi="Times New Roman" w:cs="Times New Roman"/>
          <w:b/>
          <w:color w:val="FF0000"/>
          <w:sz w:val="18"/>
          <w:lang w:val="es-MX"/>
        </w:rPr>
      </w:pPr>
    </w:p>
    <w:p w:rsidR="00494D1D" w:rsidRPr="0007418D" w:rsidRDefault="00494D1D" w:rsidP="00BF0E86">
      <w:pPr>
        <w:pStyle w:val="Sinespaciado"/>
        <w:rPr>
          <w:rFonts w:ascii="Times New Roman" w:hAnsi="Times New Roman" w:cs="Times New Roman"/>
          <w:b/>
          <w:color w:val="FF0000"/>
          <w:sz w:val="28"/>
          <w:lang w:val="es-MX"/>
        </w:rPr>
        <w:sectPr w:rsidR="00494D1D" w:rsidRPr="0007418D" w:rsidSect="004E358C">
          <w:type w:val="continuous"/>
          <w:pgSz w:w="12240" w:h="15840"/>
          <w:pgMar w:top="1417" w:right="1701" w:bottom="1417" w:left="1701" w:header="708" w:footer="708" w:gutter="0"/>
          <w:cols w:space="708"/>
          <w:docGrid w:linePitch="360"/>
        </w:sectPr>
      </w:pPr>
    </w:p>
    <w:p w:rsidR="00AC1E31" w:rsidRDefault="0022010B" w:rsidP="00AC1E31">
      <w:pPr>
        <w:pStyle w:val="Textodeglobo"/>
        <w:jc w:val="both"/>
        <w:rPr>
          <w:rFonts w:ascii="Times New Roman" w:hAnsi="Times New Roman" w:cs="Times New Roman"/>
          <w:sz w:val="22"/>
          <w:szCs w:val="22"/>
        </w:rPr>
      </w:pPr>
      <w:r w:rsidRPr="0012512D">
        <w:rPr>
          <w:rFonts w:ascii="Times New Roman" w:hAnsi="Times New Roman" w:cs="Times New Roman"/>
          <w:sz w:val="22"/>
          <w:szCs w:val="22"/>
        </w:rPr>
        <w:lastRenderedPageBreak/>
        <w:t>Entre lo más relevante ac</w:t>
      </w:r>
      <w:r w:rsidR="007F774D" w:rsidRPr="0012512D">
        <w:rPr>
          <w:rFonts w:ascii="Times New Roman" w:hAnsi="Times New Roman" w:cs="Times New Roman"/>
          <w:sz w:val="22"/>
          <w:szCs w:val="22"/>
        </w:rPr>
        <w:t xml:space="preserve">ontecido en </w:t>
      </w:r>
      <w:r w:rsidR="00AB069D" w:rsidRPr="0012512D">
        <w:rPr>
          <w:rFonts w:ascii="Times New Roman" w:hAnsi="Times New Roman" w:cs="Times New Roman"/>
          <w:sz w:val="22"/>
          <w:szCs w:val="22"/>
        </w:rPr>
        <w:t>noviem</w:t>
      </w:r>
      <w:r w:rsidR="00EB2E9A" w:rsidRPr="0012512D">
        <w:rPr>
          <w:rFonts w:ascii="Times New Roman" w:hAnsi="Times New Roman" w:cs="Times New Roman"/>
          <w:sz w:val="22"/>
          <w:szCs w:val="22"/>
        </w:rPr>
        <w:t>bre</w:t>
      </w:r>
      <w:r w:rsidR="003A634A" w:rsidRPr="0012512D">
        <w:rPr>
          <w:rFonts w:ascii="Times New Roman" w:hAnsi="Times New Roman" w:cs="Times New Roman"/>
          <w:sz w:val="22"/>
          <w:szCs w:val="22"/>
        </w:rPr>
        <w:t>, el presidente de la Reserva Federal, Jerome Powell, afirmó que el ritmo de mejora de la economía se ha moderado en los últimos meses y las perspectivas a futuro continúan siendo “extraordinariamente inciertas”, principalmente por el aumento de casos nuevos de COVID-19 tanto en Estados Unidos como en el resto del mundo. La Fed mantuvo intacta su política monetaria, con tasas de interés entre 0 y 0.25%.</w:t>
      </w:r>
    </w:p>
    <w:p w:rsidR="00AC1E31" w:rsidRDefault="00AC1E31" w:rsidP="00AC1E31">
      <w:pPr>
        <w:pStyle w:val="Textodeglobo"/>
        <w:jc w:val="both"/>
        <w:rPr>
          <w:rFonts w:ascii="Times New Roman" w:hAnsi="Times New Roman" w:cs="Times New Roman"/>
          <w:sz w:val="22"/>
          <w:szCs w:val="22"/>
        </w:rPr>
      </w:pPr>
    </w:p>
    <w:p w:rsidR="00AC1E31" w:rsidRDefault="003A634A" w:rsidP="00AC1E31">
      <w:pPr>
        <w:pStyle w:val="Textodeglobo"/>
        <w:jc w:val="both"/>
        <w:rPr>
          <w:rFonts w:ascii="Times New Roman" w:hAnsi="Times New Roman" w:cs="Times New Roman"/>
          <w:sz w:val="22"/>
          <w:szCs w:val="22"/>
        </w:rPr>
      </w:pPr>
      <w:r w:rsidRPr="0012512D">
        <w:rPr>
          <w:rFonts w:ascii="Times New Roman" w:hAnsi="Times New Roman" w:cs="Times New Roman"/>
          <w:sz w:val="22"/>
          <w:szCs w:val="22"/>
        </w:rPr>
        <w:t xml:space="preserve">El FMI dio a conocer un informe elaborado para el G20, en el que </w:t>
      </w:r>
      <w:r w:rsidR="00850C28" w:rsidRPr="0012512D">
        <w:rPr>
          <w:rFonts w:ascii="Times New Roman" w:hAnsi="Times New Roman" w:cs="Times New Roman"/>
          <w:sz w:val="22"/>
          <w:szCs w:val="22"/>
        </w:rPr>
        <w:t xml:space="preserve">destacó la naturaleza dispar de la recuperación global y advirtió que la crisis posiblemente dejará estragos profundos y una mayor desigualdad.  El FMI mejoró sus previsiones sobre la contracción mundial a 4.4% para este año, con la </w:t>
      </w:r>
      <w:r w:rsidR="00850C28" w:rsidRPr="0012512D">
        <w:rPr>
          <w:rFonts w:ascii="Times New Roman" w:hAnsi="Times New Roman" w:cs="Times New Roman"/>
          <w:sz w:val="22"/>
          <w:szCs w:val="22"/>
        </w:rPr>
        <w:lastRenderedPageBreak/>
        <w:t xml:space="preserve">expectativa de que la actividad global se expanda 5.2% en el 2021, aunque dijo que el panorama en muchos mercados emergentes había empeorado. </w:t>
      </w:r>
    </w:p>
    <w:p w:rsidR="00AC1E31" w:rsidRDefault="00AC1E31" w:rsidP="00AC1E31">
      <w:pPr>
        <w:pStyle w:val="Textodeglobo"/>
        <w:jc w:val="both"/>
        <w:rPr>
          <w:rFonts w:ascii="Times New Roman" w:hAnsi="Times New Roman" w:cs="Times New Roman"/>
          <w:sz w:val="22"/>
          <w:szCs w:val="22"/>
        </w:rPr>
      </w:pPr>
    </w:p>
    <w:p w:rsidR="00B95BEF" w:rsidRPr="0012512D" w:rsidRDefault="007F712E" w:rsidP="00AC1E31">
      <w:pPr>
        <w:pStyle w:val="Textodeglobo"/>
        <w:jc w:val="both"/>
        <w:rPr>
          <w:rFonts w:ascii="Times New Roman" w:hAnsi="Times New Roman" w:cs="Times New Roman"/>
          <w:sz w:val="22"/>
          <w:szCs w:val="22"/>
        </w:rPr>
      </w:pPr>
      <w:r w:rsidRPr="0012512D">
        <w:rPr>
          <w:rFonts w:ascii="Times New Roman" w:hAnsi="Times New Roman" w:cs="Times New Roman"/>
          <w:sz w:val="22"/>
          <w:szCs w:val="22"/>
        </w:rPr>
        <w:t xml:space="preserve">La </w:t>
      </w:r>
      <w:r w:rsidR="004E4D62" w:rsidRPr="0012512D">
        <w:rPr>
          <w:rFonts w:ascii="Times New Roman" w:hAnsi="Times New Roman" w:cs="Times New Roman"/>
          <w:sz w:val="22"/>
          <w:szCs w:val="22"/>
        </w:rPr>
        <w:t>confianza económica de la zona euro disminuyó, el Indicador de Confianza Económica (ESI, por sus siglas en inglés) se situó en 87.6 puntos, frente a los 9.11 puntos de octubre, lo que evidencia los efectos de la segunda ola por Covid-19 que golpea el continente, según datos publicados por la Comisión Europea.  En el conjunto de la Unión Europea (UE), el indicador cayó en el onceavo mes del año hasta los 86.6 puntos desde los 90.2 puntos de octubre.</w:t>
      </w:r>
      <w:r w:rsidR="00BE18FB" w:rsidRPr="0012512D">
        <w:rPr>
          <w:rFonts w:ascii="Times New Roman" w:hAnsi="Times New Roman" w:cs="Times New Roman"/>
          <w:sz w:val="22"/>
          <w:szCs w:val="22"/>
        </w:rPr>
        <w:t xml:space="preserve"> En ambos casos, la confianza del comercio minorista, los servicios y de los consumidores se desplomó en noviembre, mientras que en la industria y </w:t>
      </w:r>
      <w:r w:rsidR="00BE18FB" w:rsidRPr="0012512D">
        <w:rPr>
          <w:rFonts w:ascii="Times New Roman" w:hAnsi="Times New Roman" w:cs="Times New Roman"/>
          <w:sz w:val="22"/>
          <w:szCs w:val="22"/>
        </w:rPr>
        <w:lastRenderedPageBreak/>
        <w:t xml:space="preserve">la construcción los descensos fueron más moderados. </w:t>
      </w:r>
    </w:p>
    <w:p w:rsidR="007F712E" w:rsidRPr="0012512D" w:rsidRDefault="007F712E" w:rsidP="00BF0E86">
      <w:pPr>
        <w:pStyle w:val="Textodeglobo"/>
        <w:jc w:val="both"/>
        <w:rPr>
          <w:rFonts w:ascii="Times New Roman" w:hAnsi="Times New Roman" w:cs="Times New Roman"/>
          <w:sz w:val="22"/>
          <w:szCs w:val="22"/>
        </w:rPr>
      </w:pPr>
    </w:p>
    <w:p w:rsidR="007F712E" w:rsidRPr="0012512D" w:rsidRDefault="00BE18FB" w:rsidP="00BF0E86">
      <w:pPr>
        <w:pStyle w:val="Textodeglobo"/>
        <w:jc w:val="both"/>
        <w:rPr>
          <w:rFonts w:ascii="Times New Roman" w:hAnsi="Times New Roman" w:cs="Times New Roman"/>
          <w:sz w:val="22"/>
          <w:szCs w:val="22"/>
        </w:rPr>
      </w:pPr>
      <w:r w:rsidRPr="0012512D">
        <w:rPr>
          <w:rFonts w:ascii="Times New Roman" w:hAnsi="Times New Roman" w:cs="Times New Roman"/>
          <w:sz w:val="22"/>
          <w:szCs w:val="22"/>
        </w:rPr>
        <w:t xml:space="preserve">En Japón, después trimestres de contracción, el PIB se incrementó 5% entre julio y septiembre en comparación </w:t>
      </w:r>
      <w:r w:rsidR="00EA1E62" w:rsidRPr="0012512D">
        <w:rPr>
          <w:rFonts w:ascii="Times New Roman" w:hAnsi="Times New Roman" w:cs="Times New Roman"/>
          <w:sz w:val="22"/>
          <w:szCs w:val="22"/>
        </w:rPr>
        <w:t>al trimestre anterior.</w:t>
      </w:r>
      <w:r w:rsidRPr="0012512D">
        <w:rPr>
          <w:rFonts w:ascii="Times New Roman" w:hAnsi="Times New Roman" w:cs="Times New Roman"/>
          <w:sz w:val="22"/>
          <w:szCs w:val="22"/>
        </w:rPr>
        <w:t xml:space="preserve"> La contracción empezó en el cuarto trimestre de </w:t>
      </w:r>
      <w:r w:rsidR="00EA1E62" w:rsidRPr="0012512D">
        <w:rPr>
          <w:rFonts w:ascii="Times New Roman" w:hAnsi="Times New Roman" w:cs="Times New Roman"/>
          <w:sz w:val="22"/>
          <w:szCs w:val="22"/>
        </w:rPr>
        <w:t>2019 (-1.</w:t>
      </w:r>
      <w:r w:rsidRPr="0012512D">
        <w:rPr>
          <w:rFonts w:ascii="Times New Roman" w:hAnsi="Times New Roman" w:cs="Times New Roman"/>
          <w:sz w:val="22"/>
          <w:szCs w:val="22"/>
        </w:rPr>
        <w:t xml:space="preserve">8%) a raíz de una subida del IVA japonés, </w:t>
      </w:r>
      <w:r w:rsidR="00EA1E62" w:rsidRPr="0012512D">
        <w:rPr>
          <w:rFonts w:ascii="Times New Roman" w:hAnsi="Times New Roman" w:cs="Times New Roman"/>
          <w:sz w:val="22"/>
          <w:szCs w:val="22"/>
        </w:rPr>
        <w:t>y prosiguió con una caída del 0.</w:t>
      </w:r>
      <w:r w:rsidRPr="0012512D">
        <w:rPr>
          <w:rFonts w:ascii="Times New Roman" w:hAnsi="Times New Roman" w:cs="Times New Roman"/>
          <w:sz w:val="22"/>
          <w:szCs w:val="22"/>
        </w:rPr>
        <w:t xml:space="preserve">6% en el primer trimestre, marcando la entrada en recesión del país, definida por dos contracciones de la riqueza nacional durante al menos dos trimestres seguidos, por primera vez desde 2015. </w:t>
      </w:r>
      <w:r w:rsidR="00EA1E62" w:rsidRPr="0012512D">
        <w:rPr>
          <w:rFonts w:ascii="Times New Roman" w:hAnsi="Times New Roman" w:cs="Times New Roman"/>
          <w:sz w:val="22"/>
          <w:szCs w:val="22"/>
        </w:rPr>
        <w:t>La</w:t>
      </w:r>
      <w:r w:rsidRPr="0012512D">
        <w:rPr>
          <w:rFonts w:ascii="Times New Roman" w:hAnsi="Times New Roman" w:cs="Times New Roman"/>
          <w:sz w:val="22"/>
          <w:szCs w:val="22"/>
        </w:rPr>
        <w:t xml:space="preserve"> m</w:t>
      </w:r>
      <w:r w:rsidR="00EA1E62" w:rsidRPr="0012512D">
        <w:rPr>
          <w:rFonts w:ascii="Times New Roman" w:hAnsi="Times New Roman" w:cs="Times New Roman"/>
          <w:sz w:val="22"/>
          <w:szCs w:val="22"/>
        </w:rPr>
        <w:t>ejora de la demanda interna (+4.</w:t>
      </w:r>
      <w:r w:rsidRPr="0012512D">
        <w:rPr>
          <w:rFonts w:ascii="Times New Roman" w:hAnsi="Times New Roman" w:cs="Times New Roman"/>
          <w:sz w:val="22"/>
          <w:szCs w:val="22"/>
        </w:rPr>
        <w:t>7%), que se había hundido en el segundo trimestre por el estado de urgencia decretado por las autoridades para frenar la pandemia de Covid-19, y las exportaciones (+7%), contribuyeron al crecimiento del tercer trimestre.</w:t>
      </w:r>
    </w:p>
    <w:p w:rsidR="00270373" w:rsidRPr="0012512D" w:rsidRDefault="00270373" w:rsidP="00BF0E86">
      <w:pPr>
        <w:spacing w:after="0" w:line="240" w:lineRule="auto"/>
        <w:jc w:val="both"/>
        <w:rPr>
          <w:rFonts w:ascii="Times New Roman" w:hAnsi="Times New Roman" w:cs="Times New Roman"/>
          <w:lang w:val="es-MX"/>
        </w:rPr>
      </w:pPr>
    </w:p>
    <w:p w:rsidR="005A7C33" w:rsidRPr="0012512D" w:rsidRDefault="005A7C33" w:rsidP="00BF0E86">
      <w:pPr>
        <w:spacing w:after="0" w:line="240" w:lineRule="auto"/>
        <w:jc w:val="both"/>
        <w:rPr>
          <w:rFonts w:ascii="Times New Roman" w:hAnsi="Times New Roman" w:cs="Times New Roman"/>
          <w:lang w:val="es-MX"/>
        </w:rPr>
      </w:pPr>
      <w:r w:rsidRPr="0012512D">
        <w:rPr>
          <w:rFonts w:ascii="Times New Roman" w:hAnsi="Times New Roman" w:cs="Times New Roman"/>
          <w:lang w:val="es-MX"/>
        </w:rPr>
        <w:t xml:space="preserve">Para Latinoamérica, el Banco Mundial (BM) prevé </w:t>
      </w:r>
      <w:r w:rsidR="00E16E08" w:rsidRPr="0012512D">
        <w:rPr>
          <w:rFonts w:ascii="Times New Roman" w:hAnsi="Times New Roman" w:cs="Times New Roman"/>
          <w:lang w:val="es-MX"/>
        </w:rPr>
        <w:t xml:space="preserve">que </w:t>
      </w:r>
      <w:r w:rsidRPr="0012512D">
        <w:rPr>
          <w:rFonts w:ascii="Times New Roman" w:hAnsi="Times New Roman" w:cs="Times New Roman"/>
          <w:lang w:val="es-MX"/>
        </w:rPr>
        <w:t xml:space="preserve">su economía </w:t>
      </w:r>
      <w:r w:rsidR="00E16E08" w:rsidRPr="0012512D">
        <w:rPr>
          <w:rFonts w:ascii="Times New Roman" w:hAnsi="Times New Roman" w:cs="Times New Roman"/>
          <w:lang w:val="es-MX"/>
        </w:rPr>
        <w:t>experimente una contracción de</w:t>
      </w:r>
      <w:r w:rsidRPr="0012512D">
        <w:rPr>
          <w:rFonts w:ascii="Times New Roman" w:hAnsi="Times New Roman" w:cs="Times New Roman"/>
          <w:lang w:val="es-MX"/>
        </w:rPr>
        <w:t xml:space="preserve"> 7.</w:t>
      </w:r>
      <w:r w:rsidR="00E16E08" w:rsidRPr="0012512D">
        <w:rPr>
          <w:rFonts w:ascii="Times New Roman" w:hAnsi="Times New Roman" w:cs="Times New Roman"/>
          <w:lang w:val="es-MX"/>
        </w:rPr>
        <w:t>9</w:t>
      </w:r>
      <w:r w:rsidRPr="0012512D">
        <w:rPr>
          <w:rFonts w:ascii="Times New Roman" w:hAnsi="Times New Roman" w:cs="Times New Roman"/>
          <w:lang w:val="es-MX"/>
        </w:rPr>
        <w:t>% este año</w:t>
      </w:r>
      <w:r w:rsidR="00E16E08" w:rsidRPr="0012512D">
        <w:rPr>
          <w:rFonts w:ascii="Times New Roman" w:hAnsi="Times New Roman" w:cs="Times New Roman"/>
          <w:lang w:val="es-MX"/>
        </w:rPr>
        <w:t>, atribuido al</w:t>
      </w:r>
      <w:r w:rsidRPr="0012512D">
        <w:rPr>
          <w:rFonts w:ascii="Times New Roman" w:hAnsi="Times New Roman" w:cs="Times New Roman"/>
          <w:lang w:val="es-MX"/>
        </w:rPr>
        <w:t xml:space="preserve"> impacto de la pandemia del coronavirus, especialmente por la caída de la demanda externa y el colapso del turismo, mientras que para 2021 espera un rebote del 4%.  En sus previsiones, el BM espera que las tres economías más grandes de la región, México, Brasil y Argentina, registren también descensos significativos en sus economías este año, del 10%, 5.4% y 12.3%, respectivamente.  </w:t>
      </w:r>
    </w:p>
    <w:p w:rsidR="005A7C33" w:rsidRPr="0012512D" w:rsidRDefault="005A7C33" w:rsidP="00BF0E86">
      <w:pPr>
        <w:spacing w:after="0" w:line="240" w:lineRule="auto"/>
        <w:jc w:val="both"/>
        <w:rPr>
          <w:rFonts w:ascii="Times New Roman" w:hAnsi="Times New Roman" w:cs="Times New Roman"/>
          <w:lang w:val="es-MX"/>
        </w:rPr>
      </w:pPr>
    </w:p>
    <w:p w:rsidR="00EA1E62" w:rsidRPr="0012512D" w:rsidRDefault="00EA1E62" w:rsidP="00BF0E86">
      <w:pPr>
        <w:spacing w:after="0" w:line="240" w:lineRule="auto"/>
        <w:jc w:val="both"/>
        <w:rPr>
          <w:rFonts w:ascii="Times New Roman" w:hAnsi="Times New Roman" w:cs="Times New Roman"/>
          <w:lang w:val="es-MX"/>
        </w:rPr>
      </w:pPr>
      <w:r w:rsidRPr="0012512D">
        <w:rPr>
          <w:rFonts w:ascii="Times New Roman" w:hAnsi="Times New Roman" w:cs="Times New Roman"/>
          <w:lang w:val="es-MX"/>
        </w:rPr>
        <w:t>La Comisión Económica para América Latina y el Caribe (</w:t>
      </w:r>
      <w:proofErr w:type="spellStart"/>
      <w:r w:rsidRPr="0012512D">
        <w:rPr>
          <w:rFonts w:ascii="Times New Roman" w:hAnsi="Times New Roman" w:cs="Times New Roman"/>
          <w:lang w:val="es-MX"/>
        </w:rPr>
        <w:t>Cepal</w:t>
      </w:r>
      <w:proofErr w:type="spellEnd"/>
      <w:r w:rsidRPr="0012512D">
        <w:rPr>
          <w:rFonts w:ascii="Times New Roman" w:hAnsi="Times New Roman" w:cs="Times New Roman"/>
          <w:lang w:val="es-MX"/>
        </w:rPr>
        <w:t xml:space="preserve">) prevé una caída de la economía de los países del Sistema de la Integración Centroamericana (SICA) del 6% al cierre del 2020 a raíz de la crisis causada </w:t>
      </w:r>
      <w:r w:rsidRPr="0012512D">
        <w:rPr>
          <w:rFonts w:ascii="Times New Roman" w:hAnsi="Times New Roman" w:cs="Times New Roman"/>
          <w:lang w:val="es-MX"/>
        </w:rPr>
        <w:lastRenderedPageBreak/>
        <w:t xml:space="preserve">por la pandemia de la covid-19. Así mismo, espera un crecimiento promedio del 3.4% para el 2021 y agregó que el retroceso implica un crecimiento de la tasa de desempleo de unos cinco puntos porcentuales en la región.  </w:t>
      </w:r>
    </w:p>
    <w:p w:rsidR="00697686" w:rsidRPr="0012512D" w:rsidRDefault="00697686" w:rsidP="00BF0E86">
      <w:pPr>
        <w:pStyle w:val="Sinespaciado"/>
        <w:jc w:val="both"/>
        <w:rPr>
          <w:rFonts w:ascii="Times New Roman" w:hAnsi="Times New Roman" w:cs="Times New Roman"/>
          <w:sz w:val="16"/>
        </w:rPr>
      </w:pPr>
    </w:p>
    <w:p w:rsidR="0012512D" w:rsidRDefault="00304547" w:rsidP="00BF0E86">
      <w:pPr>
        <w:pStyle w:val="Sinespaciado"/>
        <w:jc w:val="both"/>
        <w:rPr>
          <w:rFonts w:ascii="Times New Roman" w:hAnsi="Times New Roman" w:cs="Times New Roman"/>
          <w:lang w:val="es-MX"/>
        </w:rPr>
      </w:pPr>
      <w:r w:rsidRPr="0012512D">
        <w:rPr>
          <w:rFonts w:ascii="Times New Roman" w:hAnsi="Times New Roman" w:cs="Times New Roman"/>
          <w:lang w:val="es-MX"/>
        </w:rPr>
        <w:t>En el ámbito interno, la percepción sobre la situación económica actual y el am</w:t>
      </w:r>
      <w:r w:rsidR="00D05B0C" w:rsidRPr="0012512D">
        <w:rPr>
          <w:rFonts w:ascii="Times New Roman" w:hAnsi="Times New Roman" w:cs="Times New Roman"/>
          <w:lang w:val="es-MX"/>
        </w:rPr>
        <w:t>biente para los negocios disminuyó</w:t>
      </w:r>
      <w:r w:rsidRPr="0012512D">
        <w:rPr>
          <w:rFonts w:ascii="Times New Roman" w:hAnsi="Times New Roman" w:cs="Times New Roman"/>
          <w:lang w:val="es-MX"/>
        </w:rPr>
        <w:t xml:space="preserve">, el nivel del Índice de Confianza de la Actividad Económica se situó en </w:t>
      </w:r>
      <w:r w:rsidR="00AB2765" w:rsidRPr="0012512D">
        <w:rPr>
          <w:rFonts w:ascii="Times New Roman" w:hAnsi="Times New Roman" w:cs="Times New Roman"/>
          <w:lang w:val="es-MX"/>
        </w:rPr>
        <w:t>49.03</w:t>
      </w:r>
      <w:r w:rsidR="00E22259" w:rsidRPr="0012512D">
        <w:rPr>
          <w:rFonts w:ascii="Times New Roman" w:hAnsi="Times New Roman" w:cs="Times New Roman"/>
          <w:lang w:val="es-MX"/>
        </w:rPr>
        <w:t xml:space="preserve"> puntos,</w:t>
      </w:r>
      <w:r w:rsidR="00EB2E9A" w:rsidRPr="0012512D">
        <w:rPr>
          <w:rFonts w:ascii="Times New Roman" w:hAnsi="Times New Roman" w:cs="Times New Roman"/>
          <w:lang w:val="es-MX"/>
        </w:rPr>
        <w:t xml:space="preserve"> </w:t>
      </w:r>
      <w:r w:rsidR="00AB2765" w:rsidRPr="0012512D">
        <w:rPr>
          <w:rFonts w:ascii="Times New Roman" w:hAnsi="Times New Roman" w:cs="Times New Roman"/>
          <w:lang w:val="es-MX"/>
        </w:rPr>
        <w:t>inferior en 6</w:t>
      </w:r>
      <w:r w:rsidR="00D05B0C" w:rsidRPr="0012512D">
        <w:rPr>
          <w:rFonts w:ascii="Times New Roman" w:hAnsi="Times New Roman" w:cs="Times New Roman"/>
          <w:lang w:val="es-MX"/>
        </w:rPr>
        <w:t>.14</w:t>
      </w:r>
      <w:r w:rsidRPr="0012512D">
        <w:rPr>
          <w:rFonts w:ascii="Times New Roman" w:hAnsi="Times New Roman" w:cs="Times New Roman"/>
          <w:lang w:val="es-MX"/>
        </w:rPr>
        <w:t xml:space="preserve">% con respecto al registrado el mes anterior y </w:t>
      </w:r>
      <w:r w:rsidR="00AB2765" w:rsidRPr="0012512D">
        <w:rPr>
          <w:rFonts w:ascii="Times New Roman" w:hAnsi="Times New Roman" w:cs="Times New Roman"/>
          <w:lang w:val="es-MX"/>
        </w:rPr>
        <w:t>también disminuyó en 15</w:t>
      </w:r>
      <w:r w:rsidR="00EB2E9A" w:rsidRPr="0012512D">
        <w:rPr>
          <w:rFonts w:ascii="Times New Roman" w:hAnsi="Times New Roman" w:cs="Times New Roman"/>
          <w:lang w:val="es-MX"/>
        </w:rPr>
        <w:t>.</w:t>
      </w:r>
      <w:r w:rsidR="00AB2765" w:rsidRPr="0012512D">
        <w:rPr>
          <w:rFonts w:ascii="Times New Roman" w:hAnsi="Times New Roman" w:cs="Times New Roman"/>
          <w:lang w:val="es-MX"/>
        </w:rPr>
        <w:t>70</w:t>
      </w:r>
      <w:r w:rsidRPr="0012512D">
        <w:rPr>
          <w:rFonts w:ascii="Times New Roman" w:hAnsi="Times New Roman" w:cs="Times New Roman"/>
          <w:lang w:val="es-MX"/>
        </w:rPr>
        <w:t xml:space="preserve">% respecto al registrado en </w:t>
      </w:r>
      <w:r w:rsidR="00AB2765" w:rsidRPr="0012512D">
        <w:rPr>
          <w:rFonts w:ascii="Times New Roman" w:hAnsi="Times New Roman" w:cs="Times New Roman"/>
          <w:lang w:val="es-MX"/>
        </w:rPr>
        <w:t>noviem</w:t>
      </w:r>
      <w:r w:rsidR="00EB2E9A" w:rsidRPr="0012512D">
        <w:rPr>
          <w:rFonts w:ascii="Times New Roman" w:hAnsi="Times New Roman" w:cs="Times New Roman"/>
          <w:lang w:val="es-MX"/>
        </w:rPr>
        <w:t>bre</w:t>
      </w:r>
      <w:r w:rsidRPr="0012512D">
        <w:rPr>
          <w:rFonts w:ascii="Times New Roman" w:hAnsi="Times New Roman" w:cs="Times New Roman"/>
          <w:lang w:val="es-MX"/>
        </w:rPr>
        <w:t xml:space="preserve"> 2019.   </w:t>
      </w:r>
      <w:r w:rsidR="00AB2765" w:rsidRPr="0012512D">
        <w:rPr>
          <w:rFonts w:ascii="Times New Roman" w:hAnsi="Times New Roman" w:cs="Times New Roman"/>
          <w:lang w:val="es-MX"/>
        </w:rPr>
        <w:t>El pronóstico para el ritmo inflacionario en noviembre es de 4.91%, 4.75% para diciembre y 4.60% para enero 2021; para un horizonte de 12 y 24 meses se pronostica un ritmo inflacionario de 4.49% y 4.27% respectivamente.</w:t>
      </w:r>
      <w:r w:rsidR="00BE18FB" w:rsidRPr="0012512D">
        <w:rPr>
          <w:rFonts w:ascii="Times New Roman" w:hAnsi="Times New Roman" w:cs="Times New Roman"/>
          <w:lang w:val="es-MX"/>
        </w:rPr>
        <w:t xml:space="preserve"> </w:t>
      </w:r>
      <w:r w:rsidR="0012512D">
        <w:rPr>
          <w:rFonts w:ascii="Times New Roman" w:hAnsi="Times New Roman" w:cs="Times New Roman"/>
          <w:lang w:val="es-MX"/>
        </w:rPr>
        <w:t xml:space="preserve"> </w:t>
      </w:r>
    </w:p>
    <w:p w:rsidR="0012512D" w:rsidRDefault="0012512D" w:rsidP="00BF0E86">
      <w:pPr>
        <w:pStyle w:val="Sinespaciado"/>
        <w:jc w:val="both"/>
        <w:rPr>
          <w:rFonts w:ascii="Times New Roman" w:hAnsi="Times New Roman" w:cs="Times New Roman"/>
          <w:lang w:val="es-MX"/>
        </w:rPr>
      </w:pPr>
    </w:p>
    <w:p w:rsidR="00304547" w:rsidRPr="0012512D" w:rsidRDefault="0012512D" w:rsidP="00BF0E86">
      <w:pPr>
        <w:pStyle w:val="Sinespaciado"/>
        <w:jc w:val="both"/>
        <w:rPr>
          <w:rFonts w:ascii="Times New Roman" w:hAnsi="Times New Roman" w:cs="Times New Roman"/>
          <w:lang w:val="es-MX"/>
        </w:rPr>
      </w:pPr>
      <w:r w:rsidRPr="0012512D">
        <w:rPr>
          <w:rFonts w:ascii="Times New Roman" w:hAnsi="Times New Roman" w:cs="Times New Roman"/>
          <w:lang w:val="es-MX"/>
        </w:rPr>
        <w:t>El Banco de Gu</w:t>
      </w:r>
      <w:r>
        <w:rPr>
          <w:rFonts w:ascii="Times New Roman" w:hAnsi="Times New Roman" w:cs="Times New Roman"/>
          <w:lang w:val="es-MX"/>
        </w:rPr>
        <w:t xml:space="preserve">atemala indicó que la actividad </w:t>
      </w:r>
      <w:r w:rsidRPr="0012512D">
        <w:rPr>
          <w:rFonts w:ascii="Times New Roman" w:hAnsi="Times New Roman" w:cs="Times New Roman"/>
          <w:lang w:val="es-MX"/>
        </w:rPr>
        <w:t xml:space="preserve">económica </w:t>
      </w:r>
      <w:r>
        <w:rPr>
          <w:rFonts w:ascii="Times New Roman" w:hAnsi="Times New Roman" w:cs="Times New Roman"/>
          <w:lang w:val="es-MX"/>
        </w:rPr>
        <w:t xml:space="preserve">durante octubre de 2020 registró una </w:t>
      </w:r>
      <w:r w:rsidRPr="0012512D">
        <w:rPr>
          <w:rFonts w:ascii="Times New Roman" w:hAnsi="Times New Roman" w:cs="Times New Roman"/>
          <w:lang w:val="es-MX"/>
        </w:rPr>
        <w:t>tasa d</w:t>
      </w:r>
      <w:r w:rsidR="009C3B88">
        <w:rPr>
          <w:rFonts w:ascii="Times New Roman" w:hAnsi="Times New Roman" w:cs="Times New Roman"/>
          <w:lang w:val="es-MX"/>
        </w:rPr>
        <w:t>e variación de 1</w:t>
      </w:r>
      <w:r>
        <w:rPr>
          <w:rFonts w:ascii="Times New Roman" w:hAnsi="Times New Roman" w:cs="Times New Roman"/>
          <w:lang w:val="es-MX"/>
        </w:rPr>
        <w:t xml:space="preserve">.3% respecto a </w:t>
      </w:r>
      <w:r w:rsidR="009C3B88">
        <w:rPr>
          <w:rFonts w:ascii="Times New Roman" w:hAnsi="Times New Roman" w:cs="Times New Roman"/>
          <w:lang w:val="es-MX"/>
        </w:rPr>
        <w:t>octu</w:t>
      </w:r>
      <w:r>
        <w:rPr>
          <w:rFonts w:ascii="Times New Roman" w:hAnsi="Times New Roman" w:cs="Times New Roman"/>
          <w:lang w:val="es-MX"/>
        </w:rPr>
        <w:t xml:space="preserve">bre </w:t>
      </w:r>
      <w:r w:rsidRPr="0012512D">
        <w:rPr>
          <w:rFonts w:ascii="Times New Roman" w:hAnsi="Times New Roman" w:cs="Times New Roman"/>
          <w:lang w:val="es-MX"/>
        </w:rPr>
        <w:t>2</w:t>
      </w:r>
      <w:r w:rsidR="009C3B88">
        <w:rPr>
          <w:rFonts w:ascii="Times New Roman" w:hAnsi="Times New Roman" w:cs="Times New Roman"/>
          <w:lang w:val="es-MX"/>
        </w:rPr>
        <w:t>019 cuando se ubicó en 3.9</w:t>
      </w:r>
      <w:r>
        <w:rPr>
          <w:rFonts w:ascii="Times New Roman" w:hAnsi="Times New Roman" w:cs="Times New Roman"/>
          <w:lang w:val="es-MX"/>
        </w:rPr>
        <w:t xml:space="preserve">%, de acuerdo a la </w:t>
      </w:r>
      <w:r w:rsidRPr="0012512D">
        <w:rPr>
          <w:rFonts w:ascii="Times New Roman" w:hAnsi="Times New Roman" w:cs="Times New Roman"/>
          <w:lang w:val="es-MX"/>
        </w:rPr>
        <w:t>e</w:t>
      </w:r>
      <w:r>
        <w:rPr>
          <w:rFonts w:ascii="Times New Roman" w:hAnsi="Times New Roman" w:cs="Times New Roman"/>
          <w:lang w:val="es-MX"/>
        </w:rPr>
        <w:t xml:space="preserve">stimación del IMAE publicada en </w:t>
      </w:r>
      <w:r w:rsidR="009C3B88">
        <w:rPr>
          <w:rFonts w:ascii="Times New Roman" w:hAnsi="Times New Roman" w:cs="Times New Roman"/>
          <w:lang w:val="es-MX"/>
        </w:rPr>
        <w:t>noviem</w:t>
      </w:r>
      <w:r>
        <w:rPr>
          <w:rFonts w:ascii="Times New Roman" w:hAnsi="Times New Roman" w:cs="Times New Roman"/>
          <w:lang w:val="es-MX"/>
        </w:rPr>
        <w:t xml:space="preserve">bre. </w:t>
      </w:r>
      <w:r w:rsidR="009C3B88" w:rsidRPr="009C3B88">
        <w:rPr>
          <w:rFonts w:ascii="Times New Roman" w:hAnsi="Times New Roman" w:cs="Times New Roman"/>
          <w:lang w:val="es-MX"/>
        </w:rPr>
        <w:t>Est</w:t>
      </w:r>
      <w:r w:rsidR="009C3B88">
        <w:rPr>
          <w:rFonts w:ascii="Times New Roman" w:hAnsi="Times New Roman" w:cs="Times New Roman"/>
          <w:lang w:val="es-MX"/>
        </w:rPr>
        <w:t xml:space="preserve">e comportamiento se explicó por el </w:t>
      </w:r>
      <w:r w:rsidR="009C3B88" w:rsidRPr="009C3B88">
        <w:rPr>
          <w:rFonts w:ascii="Times New Roman" w:hAnsi="Times New Roman" w:cs="Times New Roman"/>
          <w:lang w:val="es-MX"/>
        </w:rPr>
        <w:t>crecimiento regi</w:t>
      </w:r>
      <w:r w:rsidR="009C3B88">
        <w:rPr>
          <w:rFonts w:ascii="Times New Roman" w:hAnsi="Times New Roman" w:cs="Times New Roman"/>
          <w:lang w:val="es-MX"/>
        </w:rPr>
        <w:t xml:space="preserve">strado, principalmente, por las </w:t>
      </w:r>
      <w:r w:rsidR="009C3B88" w:rsidRPr="009C3B88">
        <w:rPr>
          <w:rFonts w:ascii="Times New Roman" w:hAnsi="Times New Roman" w:cs="Times New Roman"/>
          <w:lang w:val="es-MX"/>
        </w:rPr>
        <w:t>Actividades de: Ind</w:t>
      </w:r>
      <w:r w:rsidR="009C3B88">
        <w:rPr>
          <w:rFonts w:ascii="Times New Roman" w:hAnsi="Times New Roman" w:cs="Times New Roman"/>
          <w:lang w:val="es-MX"/>
        </w:rPr>
        <w:t xml:space="preserve">ustrias manufactureras; </w:t>
      </w:r>
      <w:r w:rsidR="009C3B88" w:rsidRPr="009C3B88">
        <w:rPr>
          <w:rFonts w:ascii="Times New Roman" w:hAnsi="Times New Roman" w:cs="Times New Roman"/>
          <w:lang w:val="es-MX"/>
        </w:rPr>
        <w:t>Enseña</w:t>
      </w:r>
      <w:r w:rsidR="009C3B88">
        <w:rPr>
          <w:rFonts w:ascii="Times New Roman" w:hAnsi="Times New Roman" w:cs="Times New Roman"/>
          <w:lang w:val="es-MX"/>
        </w:rPr>
        <w:t xml:space="preserve">nza; Actividades inmobiliarias; </w:t>
      </w:r>
      <w:r w:rsidR="009C3B88" w:rsidRPr="009C3B88">
        <w:rPr>
          <w:rFonts w:ascii="Times New Roman" w:hAnsi="Times New Roman" w:cs="Times New Roman"/>
          <w:lang w:val="es-MX"/>
        </w:rPr>
        <w:t>Agricultura, g</w:t>
      </w:r>
      <w:r w:rsidR="009C3B88">
        <w:rPr>
          <w:rFonts w:ascii="Times New Roman" w:hAnsi="Times New Roman" w:cs="Times New Roman"/>
          <w:lang w:val="es-MX"/>
        </w:rPr>
        <w:t xml:space="preserve">anadería, silvicultura y pesca; </w:t>
      </w:r>
      <w:r w:rsidR="009C3B88" w:rsidRPr="009C3B88">
        <w:rPr>
          <w:rFonts w:ascii="Times New Roman" w:hAnsi="Times New Roman" w:cs="Times New Roman"/>
          <w:lang w:val="es-MX"/>
        </w:rPr>
        <w:t>Suministro de el</w:t>
      </w:r>
      <w:r w:rsidR="009C3B88">
        <w:rPr>
          <w:rFonts w:ascii="Times New Roman" w:hAnsi="Times New Roman" w:cs="Times New Roman"/>
          <w:lang w:val="es-MX"/>
        </w:rPr>
        <w:t xml:space="preserve">ectricidad, agua y servicios de </w:t>
      </w:r>
      <w:r w:rsidR="009C3B88" w:rsidRPr="009C3B88">
        <w:rPr>
          <w:rFonts w:ascii="Times New Roman" w:hAnsi="Times New Roman" w:cs="Times New Roman"/>
          <w:lang w:val="es-MX"/>
        </w:rPr>
        <w:t>saneamient</w:t>
      </w:r>
      <w:r w:rsidR="009C3B88">
        <w:rPr>
          <w:rFonts w:ascii="Times New Roman" w:hAnsi="Times New Roman" w:cs="Times New Roman"/>
          <w:lang w:val="es-MX"/>
        </w:rPr>
        <w:t xml:space="preserve">o; Actividades financieras y de </w:t>
      </w:r>
      <w:r w:rsidR="009C3B88" w:rsidRPr="009C3B88">
        <w:rPr>
          <w:rFonts w:ascii="Times New Roman" w:hAnsi="Times New Roman" w:cs="Times New Roman"/>
          <w:lang w:val="es-MX"/>
        </w:rPr>
        <w:t>seguros e In</w:t>
      </w:r>
      <w:r w:rsidR="009C3B88">
        <w:rPr>
          <w:rFonts w:ascii="Times New Roman" w:hAnsi="Times New Roman" w:cs="Times New Roman"/>
          <w:lang w:val="es-MX"/>
        </w:rPr>
        <w:t xml:space="preserve">formación y comunicaciones, las </w:t>
      </w:r>
      <w:r w:rsidR="009C3B88" w:rsidRPr="009C3B88">
        <w:rPr>
          <w:rFonts w:ascii="Times New Roman" w:hAnsi="Times New Roman" w:cs="Times New Roman"/>
          <w:lang w:val="es-MX"/>
        </w:rPr>
        <w:t>cuales se contrar</w:t>
      </w:r>
      <w:r w:rsidR="009C3B88">
        <w:rPr>
          <w:rFonts w:ascii="Times New Roman" w:hAnsi="Times New Roman" w:cs="Times New Roman"/>
          <w:lang w:val="es-MX"/>
        </w:rPr>
        <w:t xml:space="preserve">restaron, parcialmente, por las </w:t>
      </w:r>
      <w:r w:rsidR="009C3B88" w:rsidRPr="009C3B88">
        <w:rPr>
          <w:rFonts w:ascii="Times New Roman" w:hAnsi="Times New Roman" w:cs="Times New Roman"/>
          <w:lang w:val="es-MX"/>
        </w:rPr>
        <w:t>caídas o</w:t>
      </w:r>
      <w:r w:rsidR="009C3B88">
        <w:rPr>
          <w:rFonts w:ascii="Times New Roman" w:hAnsi="Times New Roman" w:cs="Times New Roman"/>
          <w:lang w:val="es-MX"/>
        </w:rPr>
        <w:t xml:space="preserve">bservadas en las Actividades de </w:t>
      </w:r>
      <w:r w:rsidR="009C3B88" w:rsidRPr="009C3B88">
        <w:rPr>
          <w:rFonts w:ascii="Times New Roman" w:hAnsi="Times New Roman" w:cs="Times New Roman"/>
          <w:lang w:val="es-MX"/>
        </w:rPr>
        <w:t>alojam</w:t>
      </w:r>
      <w:r w:rsidR="009C3B88">
        <w:rPr>
          <w:rFonts w:ascii="Times New Roman" w:hAnsi="Times New Roman" w:cs="Times New Roman"/>
          <w:lang w:val="es-MX"/>
        </w:rPr>
        <w:t xml:space="preserve">iento y de servicio de comidas; </w:t>
      </w:r>
      <w:r w:rsidR="009C3B88" w:rsidRPr="009C3B88">
        <w:rPr>
          <w:rFonts w:ascii="Times New Roman" w:hAnsi="Times New Roman" w:cs="Times New Roman"/>
          <w:lang w:val="es-MX"/>
        </w:rPr>
        <w:t xml:space="preserve">Construcción y Transporte y comunicaciones. </w:t>
      </w:r>
      <w:r w:rsidR="009C3B88" w:rsidRPr="009C3B88">
        <w:rPr>
          <w:rFonts w:ascii="Times New Roman" w:hAnsi="Times New Roman" w:cs="Times New Roman"/>
          <w:lang w:val="es-MX"/>
        </w:rPr>
        <w:cr/>
      </w:r>
    </w:p>
    <w:p w:rsidR="0061307D" w:rsidRPr="0007418D" w:rsidRDefault="0061307D" w:rsidP="00BF0E86">
      <w:pPr>
        <w:pStyle w:val="Sinespaciado"/>
        <w:jc w:val="both"/>
        <w:rPr>
          <w:rFonts w:ascii="Times New Roman" w:hAnsi="Times New Roman" w:cs="Times New Roman"/>
          <w:color w:val="FF0000"/>
          <w:sz w:val="14"/>
          <w:lang w:val="es-MX"/>
        </w:rPr>
      </w:pPr>
    </w:p>
    <w:p w:rsidR="00F062BF" w:rsidRPr="0007418D" w:rsidRDefault="00F062BF" w:rsidP="00BF0E86">
      <w:pPr>
        <w:spacing w:after="0" w:line="240" w:lineRule="auto"/>
        <w:rPr>
          <w:rFonts w:ascii="Times New Roman" w:hAnsi="Times New Roman" w:cs="Times New Roman"/>
          <w:noProof/>
          <w:color w:val="FF0000"/>
          <w:sz w:val="16"/>
          <w:lang w:val="es-MX" w:eastAsia="es-GT"/>
        </w:rPr>
        <w:sectPr w:rsidR="00F062BF" w:rsidRPr="0007418D" w:rsidSect="009D3E30">
          <w:headerReference w:type="default" r:id="rId36"/>
          <w:footerReference w:type="default" r:id="rId37"/>
          <w:type w:val="continuous"/>
          <w:pgSz w:w="12240" w:h="15840" w:code="1"/>
          <w:pgMar w:top="1418" w:right="1418" w:bottom="1418" w:left="1701" w:header="709" w:footer="709" w:gutter="0"/>
          <w:cols w:num="2" w:space="899"/>
          <w:docGrid w:linePitch="360"/>
        </w:sectPr>
      </w:pPr>
    </w:p>
    <w:p w:rsidR="00F7228C" w:rsidRPr="0007418D" w:rsidRDefault="00F7228C" w:rsidP="00BF0E86">
      <w:pPr>
        <w:spacing w:after="0" w:line="240" w:lineRule="auto"/>
        <w:rPr>
          <w:rFonts w:ascii="Times New Roman" w:hAnsi="Times New Roman" w:cs="Times New Roman"/>
          <w:noProof/>
          <w:color w:val="FF0000"/>
          <w:sz w:val="16"/>
          <w:lang w:eastAsia="es-GT"/>
        </w:rPr>
      </w:pPr>
    </w:p>
    <w:p w:rsidR="001F7F27" w:rsidRPr="0007418D" w:rsidRDefault="001F7F27" w:rsidP="00BF0E86">
      <w:pPr>
        <w:spacing w:after="0" w:line="240" w:lineRule="auto"/>
        <w:rPr>
          <w:rFonts w:ascii="Times New Roman" w:hAnsi="Times New Roman" w:cs="Times New Roman"/>
          <w:noProof/>
          <w:color w:val="FF0000"/>
          <w:sz w:val="16"/>
          <w:lang w:eastAsia="es-GT"/>
        </w:rPr>
      </w:pPr>
    </w:p>
    <w:p w:rsidR="000E0E1E" w:rsidRPr="0007418D" w:rsidRDefault="000E0E1E" w:rsidP="00BF0E86">
      <w:pPr>
        <w:spacing w:after="0" w:line="240" w:lineRule="auto"/>
        <w:rPr>
          <w:rFonts w:ascii="Times New Roman" w:hAnsi="Times New Roman" w:cs="Times New Roman"/>
          <w:noProof/>
          <w:color w:val="FF0000"/>
          <w:sz w:val="16"/>
          <w:lang w:eastAsia="es-GT"/>
        </w:rPr>
      </w:pPr>
    </w:p>
    <w:p w:rsidR="00811ED5" w:rsidRPr="0007418D" w:rsidRDefault="00811ED5" w:rsidP="00BF0E86">
      <w:pPr>
        <w:spacing w:after="0" w:line="240" w:lineRule="auto"/>
        <w:rPr>
          <w:rFonts w:ascii="Times New Roman" w:hAnsi="Times New Roman" w:cs="Times New Roman"/>
          <w:noProof/>
          <w:color w:val="FF0000"/>
          <w:sz w:val="16"/>
          <w:lang w:eastAsia="es-GT"/>
        </w:rPr>
      </w:pPr>
    </w:p>
    <w:p w:rsidR="00811ED5" w:rsidRPr="0007418D" w:rsidRDefault="00811ED5" w:rsidP="00BF0E86">
      <w:pPr>
        <w:spacing w:after="0" w:line="240" w:lineRule="auto"/>
        <w:rPr>
          <w:rFonts w:ascii="Times New Roman" w:hAnsi="Times New Roman" w:cs="Times New Roman"/>
          <w:noProof/>
          <w:color w:val="FF0000"/>
          <w:sz w:val="16"/>
          <w:lang w:eastAsia="es-GT"/>
        </w:rPr>
      </w:pPr>
    </w:p>
    <w:p w:rsidR="00811ED5" w:rsidRPr="0007418D" w:rsidRDefault="00811ED5" w:rsidP="00BF0E86">
      <w:pPr>
        <w:spacing w:after="0" w:line="240" w:lineRule="auto"/>
        <w:rPr>
          <w:rFonts w:ascii="Times New Roman" w:hAnsi="Times New Roman" w:cs="Times New Roman"/>
          <w:noProof/>
          <w:color w:val="FF0000"/>
          <w:sz w:val="16"/>
          <w:lang w:eastAsia="es-GT"/>
        </w:rPr>
      </w:pPr>
    </w:p>
    <w:p w:rsidR="00811ED5" w:rsidRPr="0007418D" w:rsidRDefault="00811ED5" w:rsidP="00BF0E86">
      <w:pPr>
        <w:spacing w:after="0" w:line="240" w:lineRule="auto"/>
        <w:rPr>
          <w:rFonts w:ascii="Times New Roman" w:hAnsi="Times New Roman" w:cs="Times New Roman"/>
          <w:noProof/>
          <w:color w:val="FF0000"/>
          <w:sz w:val="16"/>
          <w:lang w:eastAsia="es-GT"/>
        </w:rPr>
      </w:pPr>
    </w:p>
    <w:p w:rsidR="00811ED5" w:rsidRPr="0007418D" w:rsidRDefault="00811ED5" w:rsidP="00BF0E86">
      <w:pPr>
        <w:spacing w:after="0" w:line="240" w:lineRule="auto"/>
        <w:rPr>
          <w:rFonts w:ascii="Times New Roman" w:hAnsi="Times New Roman" w:cs="Times New Roman"/>
          <w:noProof/>
          <w:color w:val="FF0000"/>
          <w:sz w:val="16"/>
          <w:lang w:eastAsia="es-GT"/>
        </w:rPr>
      </w:pPr>
    </w:p>
    <w:p w:rsidR="000E0E1E" w:rsidRPr="0007418D" w:rsidRDefault="000E0E1E" w:rsidP="00BF0E86">
      <w:pPr>
        <w:spacing w:after="0" w:line="240" w:lineRule="auto"/>
        <w:rPr>
          <w:rFonts w:ascii="Times New Roman" w:hAnsi="Times New Roman" w:cs="Times New Roman"/>
          <w:noProof/>
          <w:color w:val="FF0000"/>
          <w:sz w:val="16"/>
          <w:lang w:eastAsia="es-GT"/>
        </w:rPr>
      </w:pPr>
    </w:p>
    <w:p w:rsidR="001F5581" w:rsidRPr="00D236C7" w:rsidRDefault="001F5581" w:rsidP="00BF0E8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D236C7" w:rsidSect="00FA3B81">
          <w:headerReference w:type="default" r:id="rId38"/>
          <w:footerReference w:type="default" r:id="rId39"/>
          <w:type w:val="continuous"/>
          <w:pgSz w:w="12240" w:h="15840" w:code="1"/>
          <w:pgMar w:top="1418" w:right="1418" w:bottom="1418" w:left="1418" w:header="709" w:footer="709" w:gutter="0"/>
          <w:cols w:space="708"/>
          <w:docGrid w:linePitch="360"/>
        </w:sectPr>
      </w:pPr>
      <w:r w:rsidRPr="00D236C7">
        <w:rPr>
          <w:rFonts w:ascii="Times New Roman" w:hAnsi="Times New Roman" w:cs="Times New Roman"/>
          <w:b/>
          <w:lang w:val="es-MX"/>
        </w:rPr>
        <w:t>Anexo</w:t>
      </w:r>
    </w:p>
    <w:p w:rsidR="001F5581" w:rsidRDefault="001F5581" w:rsidP="00BF0E86">
      <w:pPr>
        <w:spacing w:after="0" w:line="240" w:lineRule="auto"/>
        <w:rPr>
          <w:noProof/>
          <w:color w:val="FF0000"/>
          <w:lang w:eastAsia="es-GT"/>
        </w:rPr>
      </w:pPr>
    </w:p>
    <w:p w:rsidR="00D236C7" w:rsidRPr="0007418D" w:rsidRDefault="00D236C7" w:rsidP="00BF0E86">
      <w:pPr>
        <w:spacing w:after="0" w:line="240" w:lineRule="auto"/>
        <w:rPr>
          <w:noProof/>
          <w:color w:val="FF0000"/>
          <w:lang w:eastAsia="es-GT"/>
        </w:rPr>
      </w:pPr>
      <w:r w:rsidRPr="003F1F3D">
        <w:rPr>
          <w:noProof/>
          <w:lang w:val="es-ES" w:eastAsia="es-ES"/>
        </w:rPr>
        <w:drawing>
          <wp:anchor distT="0" distB="0" distL="114300" distR="114300" simplePos="0" relativeHeight="251890688" behindDoc="0" locked="0" layoutInCell="1" allowOverlap="1" wp14:anchorId="700DE21A" wp14:editId="5FA7E306">
            <wp:simplePos x="0" y="0"/>
            <wp:positionH relativeFrom="column">
              <wp:posOffset>3337</wp:posOffset>
            </wp:positionH>
            <wp:positionV relativeFrom="paragraph">
              <wp:posOffset>173074</wp:posOffset>
            </wp:positionV>
            <wp:extent cx="6060441" cy="4921885"/>
            <wp:effectExtent l="0" t="0" r="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0443" cy="4921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60D" w:rsidRPr="0007418D" w:rsidRDefault="00A5760D" w:rsidP="00BF0E86">
      <w:pPr>
        <w:spacing w:after="0" w:line="240" w:lineRule="auto"/>
        <w:rPr>
          <w:noProof/>
          <w:color w:val="FF0000"/>
          <w:lang w:eastAsia="es-GT"/>
        </w:rPr>
      </w:pPr>
    </w:p>
    <w:p w:rsidR="00A5760D" w:rsidRPr="0007418D" w:rsidRDefault="00A5760D" w:rsidP="00BF0E86">
      <w:pPr>
        <w:spacing w:after="0" w:line="240" w:lineRule="auto"/>
        <w:rPr>
          <w:rFonts w:ascii="Times New Roman" w:hAnsi="Times New Roman" w:cs="Times New Roman"/>
          <w:noProof/>
          <w:color w:val="FF0000"/>
          <w:sz w:val="16"/>
          <w:lang w:val="es-MX" w:eastAsia="es-GT"/>
        </w:rPr>
        <w:sectPr w:rsidR="00A5760D" w:rsidRPr="0007418D" w:rsidSect="00986297">
          <w:headerReference w:type="default" r:id="rId41"/>
          <w:footerReference w:type="default" r:id="rId42"/>
          <w:type w:val="continuous"/>
          <w:pgSz w:w="12240" w:h="15840" w:code="1"/>
          <w:pgMar w:top="1418" w:right="1418" w:bottom="1418" w:left="1418" w:header="709" w:footer="709" w:gutter="0"/>
          <w:cols w:num="2" w:space="708"/>
          <w:docGrid w:linePitch="360"/>
        </w:sectPr>
      </w:pPr>
    </w:p>
    <w:p w:rsidR="00FA2A33" w:rsidRPr="0007418D" w:rsidRDefault="00FA2A33" w:rsidP="00BF0E86">
      <w:pPr>
        <w:spacing w:after="0" w:line="240" w:lineRule="auto"/>
        <w:rPr>
          <w:noProof/>
          <w:color w:val="FF0000"/>
          <w:lang w:eastAsia="es-GT"/>
        </w:rPr>
      </w:pPr>
    </w:p>
    <w:p w:rsidR="005834A0" w:rsidRPr="0007418D" w:rsidRDefault="005834A0" w:rsidP="00BF0E86">
      <w:pPr>
        <w:spacing w:after="0" w:line="240" w:lineRule="auto"/>
        <w:rPr>
          <w:noProof/>
          <w:color w:val="FF0000"/>
          <w:lang w:eastAsia="es-GT"/>
        </w:rPr>
      </w:pPr>
    </w:p>
    <w:p w:rsidR="005834A0" w:rsidRPr="0007418D" w:rsidRDefault="005834A0" w:rsidP="00BF0E86">
      <w:pPr>
        <w:spacing w:after="0" w:line="240" w:lineRule="auto"/>
        <w:rPr>
          <w:noProof/>
          <w:color w:val="FF0000"/>
          <w:lang w:eastAsia="es-GT"/>
        </w:rPr>
      </w:pPr>
    </w:p>
    <w:p w:rsidR="001F5581" w:rsidRPr="0007418D" w:rsidRDefault="001F5581" w:rsidP="00BF0E86">
      <w:pPr>
        <w:spacing w:after="0" w:line="240" w:lineRule="auto"/>
        <w:rPr>
          <w:rFonts w:ascii="Times New Roman" w:hAnsi="Times New Roman" w:cs="Times New Roman"/>
          <w:noProof/>
          <w:color w:val="FF0000"/>
          <w:sz w:val="16"/>
          <w:lang w:val="es-MX" w:eastAsia="es-GT"/>
        </w:rPr>
        <w:sectPr w:rsidR="001F5581" w:rsidRPr="0007418D" w:rsidSect="001F5581">
          <w:type w:val="continuous"/>
          <w:pgSz w:w="12240" w:h="15840" w:code="1"/>
          <w:pgMar w:top="1418" w:right="1418" w:bottom="1418" w:left="1418" w:header="709" w:footer="709" w:gutter="0"/>
          <w:cols w:space="708"/>
          <w:docGrid w:linePitch="360"/>
        </w:sectPr>
      </w:pPr>
    </w:p>
    <w:p w:rsidR="007703A2" w:rsidRPr="0007418D" w:rsidRDefault="007703A2" w:rsidP="00BF0E86">
      <w:pPr>
        <w:pStyle w:val="Sinespaciado"/>
        <w:rPr>
          <w:rFonts w:ascii="Times New Roman" w:hAnsi="Times New Roman" w:cs="Times New Roman"/>
          <w:color w:val="FF0000"/>
        </w:rPr>
      </w:pPr>
    </w:p>
    <w:sectPr w:rsidR="007703A2" w:rsidRPr="0007418D"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5C0" w:rsidRDefault="000E25C0" w:rsidP="007D4651">
      <w:pPr>
        <w:spacing w:after="0" w:line="240" w:lineRule="auto"/>
      </w:pPr>
      <w:r>
        <w:separator/>
      </w:r>
    </w:p>
  </w:endnote>
  <w:endnote w:type="continuationSeparator" w:id="0">
    <w:p w:rsidR="000E25C0" w:rsidRDefault="000E25C0"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12299397"/>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3360" behindDoc="0" locked="0" layoutInCell="1" allowOverlap="1" wp14:anchorId="4A75EAEB" wp14:editId="28C20C3E">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029939504"/>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83840" behindDoc="0" locked="0" layoutInCell="1" allowOverlap="1" wp14:anchorId="39D7FCAB" wp14:editId="2E04F81A">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82FDB" w:rsidRPr="00282FDB">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099698902"/>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77A8F6E2" wp14:editId="28143CC1">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370185062"/>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08416" behindDoc="0" locked="0" layoutInCell="1" allowOverlap="1" wp14:anchorId="12F3DEBB" wp14:editId="30B46362">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p w:rsidR="00F57294" w:rsidRDefault="00F5729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062830193"/>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1552" behindDoc="0" locked="0" layoutInCell="1" allowOverlap="1" wp14:anchorId="69F33F40" wp14:editId="33CE71B0">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7015D" w:rsidRPr="00D7015D">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536097004"/>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8896" behindDoc="0" locked="0" layoutInCell="1" allowOverlap="1" wp14:anchorId="0D8BEE58" wp14:editId="4C436B80">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84312995"/>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5648" behindDoc="0" locked="0" layoutInCell="1" allowOverlap="1" wp14:anchorId="532677FF" wp14:editId="05D6499B">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780566329"/>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9744" behindDoc="0" locked="0" layoutInCell="1" allowOverlap="1" wp14:anchorId="591CE470" wp14:editId="4474830A">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82FDB" w:rsidRPr="00282FDB">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682778205"/>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7088" behindDoc="0" locked="0" layoutInCell="1" allowOverlap="1" wp14:anchorId="528198C0" wp14:editId="50CDF1AA">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23750383"/>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0944" behindDoc="0" locked="0" layoutInCell="1" allowOverlap="1" wp14:anchorId="1D7D582B" wp14:editId="6CAC2DBA">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65C8C" w:rsidRPr="00165C8C">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5C0" w:rsidRDefault="000E25C0" w:rsidP="007D4651">
      <w:pPr>
        <w:spacing w:after="0" w:line="240" w:lineRule="auto"/>
      </w:pPr>
      <w:r>
        <w:separator/>
      </w:r>
    </w:p>
  </w:footnote>
  <w:footnote w:type="continuationSeparator" w:id="0">
    <w:p w:rsidR="000E25C0" w:rsidRDefault="000E25C0"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39136" behindDoc="0" locked="0" layoutInCell="1" allowOverlap="1" wp14:anchorId="3DB3374F" wp14:editId="1F5D9BE1">
          <wp:simplePos x="0" y="0"/>
          <wp:positionH relativeFrom="column">
            <wp:posOffset>0</wp:posOffset>
          </wp:positionH>
          <wp:positionV relativeFrom="paragraph">
            <wp:posOffset>-635</wp:posOffset>
          </wp:positionV>
          <wp:extent cx="1598212" cy="723976"/>
          <wp:effectExtent l="0" t="0" r="2540" b="0"/>
          <wp:wrapNone/>
          <wp:docPr id="671" name="Imagen 671"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75EEA"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57294">
      <w:rPr>
        <w:rFonts w:ascii="Times New Roman" w:hAnsi="Times New Roman" w:cs="Times New Roman"/>
        <w:color w:val="1F497D" w:themeColor="text2"/>
        <w:lang w:val="es-MX"/>
      </w:rPr>
      <w:t>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4560" behindDoc="0" locked="0" layoutInCell="1" allowOverlap="1" wp14:anchorId="6531D9D5" wp14:editId="447EAB14">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73581B" w:rsidRDefault="00F57294"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9376" behindDoc="0" locked="0" layoutInCell="1" allowOverlap="1" wp14:anchorId="6AFDD388" wp14:editId="26A90144">
          <wp:simplePos x="0" y="0"/>
          <wp:positionH relativeFrom="column">
            <wp:posOffset>0</wp:posOffset>
          </wp:positionH>
          <wp:positionV relativeFrom="paragraph">
            <wp:posOffset>-635</wp:posOffset>
          </wp:positionV>
          <wp:extent cx="1598212" cy="723976"/>
          <wp:effectExtent l="0" t="0" r="2540" b="0"/>
          <wp:wrapNone/>
          <wp:docPr id="680" name="Imagen 68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81792" behindDoc="0" locked="0" layoutInCell="1" allowOverlap="1" wp14:anchorId="3CA26718" wp14:editId="3D59D1F2">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1424" behindDoc="0" locked="0" layoutInCell="1" allowOverlap="1" wp14:anchorId="1CDC1DFA" wp14:editId="4376C906">
          <wp:simplePos x="0" y="0"/>
          <wp:positionH relativeFrom="column">
            <wp:posOffset>-182829</wp:posOffset>
          </wp:positionH>
          <wp:positionV relativeFrom="paragraph">
            <wp:posOffset>0</wp:posOffset>
          </wp:positionV>
          <wp:extent cx="1598212" cy="723976"/>
          <wp:effectExtent l="0" t="0" r="2540" b="0"/>
          <wp:wrapNone/>
          <wp:docPr id="672" name="Imagen 67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75EEA"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57294">
      <w:rPr>
        <w:rFonts w:ascii="Times New Roman" w:hAnsi="Times New Roman" w:cs="Times New Roman"/>
        <w:color w:val="1F497D" w:themeColor="text2"/>
        <w:lang w:val="es-MX"/>
      </w:rPr>
      <w:t>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53472" behindDoc="0" locked="0" layoutInCell="1" allowOverlap="1" wp14:anchorId="3F0AD6C7" wp14:editId="1DDE63D7">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1184" behindDoc="0" locked="0" layoutInCell="1" allowOverlap="1" wp14:anchorId="03AA5316" wp14:editId="384215C2">
          <wp:simplePos x="0" y="0"/>
          <wp:positionH relativeFrom="column">
            <wp:posOffset>0</wp:posOffset>
          </wp:positionH>
          <wp:positionV relativeFrom="paragraph">
            <wp:posOffset>-635</wp:posOffset>
          </wp:positionV>
          <wp:extent cx="1598212" cy="723976"/>
          <wp:effectExtent l="0" t="0" r="2540" b="0"/>
          <wp:wrapNone/>
          <wp:docPr id="673" name="Imagen 67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06368" behindDoc="0" locked="0" layoutInCell="1" allowOverlap="1" wp14:anchorId="5A49981B" wp14:editId="545D1B79">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01624A" w:rsidRDefault="00F57294"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5520" behindDoc="0" locked="0" layoutInCell="1" allowOverlap="1" wp14:anchorId="135569F7" wp14:editId="4ECEE785">
          <wp:simplePos x="0" y="0"/>
          <wp:positionH relativeFrom="column">
            <wp:posOffset>36576</wp:posOffset>
          </wp:positionH>
          <wp:positionV relativeFrom="paragraph">
            <wp:posOffset>-635</wp:posOffset>
          </wp:positionV>
          <wp:extent cx="1598212" cy="723976"/>
          <wp:effectExtent l="0" t="0" r="2540" b="0"/>
          <wp:wrapNone/>
          <wp:docPr id="674" name="Imagen 67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2512" behindDoc="0" locked="0" layoutInCell="1" allowOverlap="1" wp14:anchorId="7294BB65" wp14:editId="4EE608FA">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3232" behindDoc="0" locked="0" layoutInCell="1" allowOverlap="1" wp14:anchorId="11EC34F2" wp14:editId="2DB7F0BF">
          <wp:simplePos x="0" y="0"/>
          <wp:positionH relativeFrom="column">
            <wp:posOffset>0</wp:posOffset>
          </wp:positionH>
          <wp:positionV relativeFrom="paragraph">
            <wp:posOffset>-635</wp:posOffset>
          </wp:positionV>
          <wp:extent cx="1598212" cy="723976"/>
          <wp:effectExtent l="0" t="0" r="2540" b="0"/>
          <wp:wrapNone/>
          <wp:docPr id="675" name="Imagen 67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75EE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57294">
      <w:rPr>
        <w:rFonts w:ascii="Times New Roman" w:hAnsi="Times New Roman" w:cs="Times New Roman"/>
        <w:color w:val="1F497D" w:themeColor="text2"/>
        <w:lang w:val="es-MX"/>
      </w:rPr>
      <w:t>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26848" behindDoc="0" locked="0" layoutInCell="1" allowOverlap="1" wp14:anchorId="049B9825" wp14:editId="6028853A">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5280" behindDoc="0" locked="0" layoutInCell="1" allowOverlap="1" wp14:anchorId="517FFCEB" wp14:editId="3616A108">
          <wp:simplePos x="0" y="0"/>
          <wp:positionH relativeFrom="column">
            <wp:posOffset>0</wp:posOffset>
          </wp:positionH>
          <wp:positionV relativeFrom="paragraph">
            <wp:posOffset>-635</wp:posOffset>
          </wp:positionV>
          <wp:extent cx="1598212" cy="723976"/>
          <wp:effectExtent l="0" t="0" r="2540" b="0"/>
          <wp:wrapNone/>
          <wp:docPr id="676" name="Imagen 676"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75EE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57294">
      <w:rPr>
        <w:rFonts w:ascii="Times New Roman" w:hAnsi="Times New Roman" w:cs="Times New Roman"/>
        <w:color w:val="1F497D" w:themeColor="text2"/>
        <w:lang w:val="es-MX"/>
      </w:rPr>
      <w:t>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73600" behindDoc="0" locked="0" layoutInCell="1" allowOverlap="1" wp14:anchorId="1D2C8BB2" wp14:editId="50F7F2B2">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D7015D" w:rsidRPr="00E16925" w:rsidRDefault="00D7015D"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BD3A7C">
    <w:pPr>
      <w:pStyle w:val="Encabezado"/>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20704" behindDoc="1" locked="0" layoutInCell="1" allowOverlap="1" wp14:anchorId="08D27C3B" wp14:editId="0DF48A66">
          <wp:simplePos x="0" y="0"/>
          <wp:positionH relativeFrom="column">
            <wp:posOffset>-93997</wp:posOffset>
          </wp:positionH>
          <wp:positionV relativeFrom="paragraph">
            <wp:posOffset>-177800</wp:posOffset>
          </wp:positionV>
          <wp:extent cx="1697990" cy="914400"/>
          <wp:effectExtent l="0" t="0" r="0" b="0"/>
          <wp:wrapNone/>
          <wp:docPr id="677" name="Imagen 6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57294" w:rsidRDefault="00F57294"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 2020</w:t>
    </w:r>
  </w:p>
  <w:p w:rsidR="00F57294" w:rsidRPr="004A73AA" w:rsidRDefault="00F57294"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val="es-ES" w:eastAsia="es-ES"/>
      </w:rPr>
      <mc:AlternateContent>
        <mc:Choice Requires="wps">
          <w:drawing>
            <wp:anchor distT="0" distB="0" distL="114300" distR="114300" simplePos="0" relativeHeight="251710464" behindDoc="0" locked="0" layoutInCell="1" allowOverlap="1" wp14:anchorId="796E2FE9" wp14:editId="1330FB14">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4A73AA" w:rsidRDefault="00F57294"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7452E2" w:rsidRDefault="00F57294"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282FDB"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9616" behindDoc="0" locked="0" layoutInCell="1" allowOverlap="1" wp14:anchorId="5BAE9339" wp14:editId="5352CF4B">
          <wp:simplePos x="0" y="0"/>
          <wp:positionH relativeFrom="column">
            <wp:posOffset>0</wp:posOffset>
          </wp:positionH>
          <wp:positionV relativeFrom="paragraph">
            <wp:posOffset>-635</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F57294" w:rsidRPr="007D4651">
      <w:rPr>
        <w:rFonts w:ascii="Times New Roman" w:hAnsi="Times New Roman" w:cs="Times New Roman"/>
        <w:b/>
        <w:color w:val="1F497D" w:themeColor="text2"/>
        <w:sz w:val="24"/>
        <w:lang w:val="es-MX"/>
      </w:rPr>
      <w:t>Informe de las Finanzas Públicas</w:t>
    </w:r>
  </w:p>
  <w:p w:rsidR="00F57294" w:rsidRDefault="00282FDB"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35040" behindDoc="0" locked="0" layoutInCell="1" allowOverlap="1" wp14:anchorId="597E8969" wp14:editId="666A78CE">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7568" behindDoc="0" locked="0" layoutInCell="1" allowOverlap="1" wp14:anchorId="048C99D2" wp14:editId="20F5C9E9">
          <wp:simplePos x="0" y="0"/>
          <wp:positionH relativeFrom="column">
            <wp:posOffset>0</wp:posOffset>
          </wp:positionH>
          <wp:positionV relativeFrom="paragraph">
            <wp:posOffset>-635</wp:posOffset>
          </wp:positionV>
          <wp:extent cx="1598212" cy="723976"/>
          <wp:effectExtent l="0" t="0" r="2540" b="0"/>
          <wp:wrapNone/>
          <wp:docPr id="679" name="Imagen 67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75EE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57294">
      <w:rPr>
        <w:rFonts w:ascii="Times New Roman" w:hAnsi="Times New Roman" w:cs="Times New Roman"/>
        <w:color w:val="1F497D" w:themeColor="text2"/>
        <w:lang w:val="es-MX"/>
      </w:rPr>
      <w:t>bre 2020</w:t>
    </w:r>
  </w:p>
  <w:p w:rsidR="00F57294" w:rsidRPr="004A73AA" w:rsidRDefault="00F57294"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val="es-ES" w:eastAsia="es-ES"/>
      </w:rPr>
      <mc:AlternateContent>
        <mc:Choice Requires="wps">
          <w:drawing>
            <wp:anchor distT="0" distB="0" distL="114300" distR="114300" simplePos="0" relativeHeight="251731968" behindDoc="0" locked="0" layoutInCell="1" allowOverlap="1" wp14:anchorId="104FA11A" wp14:editId="59E4116D">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4A73AA" w:rsidRDefault="00F57294"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7452E2" w:rsidRDefault="00F57294"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19C75CD"/>
    <w:multiLevelType w:val="hybridMultilevel"/>
    <w:tmpl w:val="F10C03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
  </w:num>
  <w:num w:numId="5">
    <w:abstractNumId w:val="14"/>
  </w:num>
  <w:num w:numId="6">
    <w:abstractNumId w:val="17"/>
  </w:num>
  <w:num w:numId="7">
    <w:abstractNumId w:val="16"/>
  </w:num>
  <w:num w:numId="8">
    <w:abstractNumId w:val="3"/>
  </w:num>
  <w:num w:numId="9">
    <w:abstractNumId w:val="11"/>
  </w:num>
  <w:num w:numId="10">
    <w:abstractNumId w:val="6"/>
  </w:num>
  <w:num w:numId="11">
    <w:abstractNumId w:val="10"/>
  </w:num>
  <w:num w:numId="12">
    <w:abstractNumId w:val="7"/>
  </w:num>
  <w:num w:numId="13">
    <w:abstractNumId w:val="0"/>
  </w:num>
  <w:num w:numId="14">
    <w:abstractNumId w:val="2"/>
  </w:num>
  <w:num w:numId="15">
    <w:abstractNumId w:val="5"/>
  </w:num>
  <w:num w:numId="16">
    <w:abstractNumId w:val="15"/>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4144"/>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18D"/>
    <w:rsid w:val="00074BC6"/>
    <w:rsid w:val="00076AB4"/>
    <w:rsid w:val="00076AD2"/>
    <w:rsid w:val="00076BF9"/>
    <w:rsid w:val="00080BD8"/>
    <w:rsid w:val="00082678"/>
    <w:rsid w:val="0008320B"/>
    <w:rsid w:val="0008348D"/>
    <w:rsid w:val="00087ADE"/>
    <w:rsid w:val="000A0A4F"/>
    <w:rsid w:val="000A22CD"/>
    <w:rsid w:val="000A6E8E"/>
    <w:rsid w:val="000B0279"/>
    <w:rsid w:val="000B56CE"/>
    <w:rsid w:val="000C1547"/>
    <w:rsid w:val="000C1FF2"/>
    <w:rsid w:val="000C21E1"/>
    <w:rsid w:val="000C2C25"/>
    <w:rsid w:val="000C3669"/>
    <w:rsid w:val="000C4EC0"/>
    <w:rsid w:val="000C65AB"/>
    <w:rsid w:val="000C73C8"/>
    <w:rsid w:val="000D016D"/>
    <w:rsid w:val="000D2FA4"/>
    <w:rsid w:val="000D489E"/>
    <w:rsid w:val="000E0463"/>
    <w:rsid w:val="000E0E1E"/>
    <w:rsid w:val="000E25C0"/>
    <w:rsid w:val="000E43A8"/>
    <w:rsid w:val="000E5E43"/>
    <w:rsid w:val="000F1314"/>
    <w:rsid w:val="000F3B7F"/>
    <w:rsid w:val="000F4520"/>
    <w:rsid w:val="000F509C"/>
    <w:rsid w:val="000F5F87"/>
    <w:rsid w:val="00102939"/>
    <w:rsid w:val="00103DA9"/>
    <w:rsid w:val="001045CE"/>
    <w:rsid w:val="00106793"/>
    <w:rsid w:val="00107309"/>
    <w:rsid w:val="00111B77"/>
    <w:rsid w:val="00112CA5"/>
    <w:rsid w:val="00115A4C"/>
    <w:rsid w:val="001178B6"/>
    <w:rsid w:val="00117CF1"/>
    <w:rsid w:val="00120C4D"/>
    <w:rsid w:val="0012512D"/>
    <w:rsid w:val="001259BA"/>
    <w:rsid w:val="0013022C"/>
    <w:rsid w:val="001317F8"/>
    <w:rsid w:val="001339A4"/>
    <w:rsid w:val="00133DBA"/>
    <w:rsid w:val="0013436D"/>
    <w:rsid w:val="0013532B"/>
    <w:rsid w:val="00136D08"/>
    <w:rsid w:val="001375B9"/>
    <w:rsid w:val="0014167F"/>
    <w:rsid w:val="00142BF3"/>
    <w:rsid w:val="00142F1A"/>
    <w:rsid w:val="00143620"/>
    <w:rsid w:val="00144E5F"/>
    <w:rsid w:val="00145313"/>
    <w:rsid w:val="00147E43"/>
    <w:rsid w:val="00150585"/>
    <w:rsid w:val="00152798"/>
    <w:rsid w:val="001549AB"/>
    <w:rsid w:val="00155A02"/>
    <w:rsid w:val="00157402"/>
    <w:rsid w:val="00157C3A"/>
    <w:rsid w:val="00160EAC"/>
    <w:rsid w:val="00163944"/>
    <w:rsid w:val="00165C8C"/>
    <w:rsid w:val="00171909"/>
    <w:rsid w:val="001735EE"/>
    <w:rsid w:val="001741D8"/>
    <w:rsid w:val="0017454D"/>
    <w:rsid w:val="00182730"/>
    <w:rsid w:val="00182C5B"/>
    <w:rsid w:val="00185253"/>
    <w:rsid w:val="001913A4"/>
    <w:rsid w:val="00196A44"/>
    <w:rsid w:val="001A0C82"/>
    <w:rsid w:val="001A1786"/>
    <w:rsid w:val="001A27B3"/>
    <w:rsid w:val="001A3185"/>
    <w:rsid w:val="001A6038"/>
    <w:rsid w:val="001A79F4"/>
    <w:rsid w:val="001B1DBB"/>
    <w:rsid w:val="001B3984"/>
    <w:rsid w:val="001B3EEE"/>
    <w:rsid w:val="001B5046"/>
    <w:rsid w:val="001C2FF5"/>
    <w:rsid w:val="001C3649"/>
    <w:rsid w:val="001C41BB"/>
    <w:rsid w:val="001D0065"/>
    <w:rsid w:val="001D3345"/>
    <w:rsid w:val="001D46C3"/>
    <w:rsid w:val="001D4C8E"/>
    <w:rsid w:val="001D5A5B"/>
    <w:rsid w:val="001E0E10"/>
    <w:rsid w:val="001E0F86"/>
    <w:rsid w:val="001E3B99"/>
    <w:rsid w:val="001E4CD2"/>
    <w:rsid w:val="001E61BB"/>
    <w:rsid w:val="001F2028"/>
    <w:rsid w:val="001F2EA3"/>
    <w:rsid w:val="001F34AD"/>
    <w:rsid w:val="001F4598"/>
    <w:rsid w:val="001F4EE1"/>
    <w:rsid w:val="001F4F78"/>
    <w:rsid w:val="001F5240"/>
    <w:rsid w:val="001F5581"/>
    <w:rsid w:val="001F7141"/>
    <w:rsid w:val="001F7F27"/>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2CE"/>
    <w:rsid w:val="0023642A"/>
    <w:rsid w:val="00240D86"/>
    <w:rsid w:val="00242202"/>
    <w:rsid w:val="00244AAA"/>
    <w:rsid w:val="002512EC"/>
    <w:rsid w:val="00252B28"/>
    <w:rsid w:val="00255829"/>
    <w:rsid w:val="00256F02"/>
    <w:rsid w:val="00257535"/>
    <w:rsid w:val="002610FC"/>
    <w:rsid w:val="00261B7A"/>
    <w:rsid w:val="00262E76"/>
    <w:rsid w:val="00263007"/>
    <w:rsid w:val="00263CC4"/>
    <w:rsid w:val="00264407"/>
    <w:rsid w:val="00264C3A"/>
    <w:rsid w:val="00264FC5"/>
    <w:rsid w:val="002672D5"/>
    <w:rsid w:val="00270373"/>
    <w:rsid w:val="00270CAB"/>
    <w:rsid w:val="00271277"/>
    <w:rsid w:val="002719C8"/>
    <w:rsid w:val="00273E2C"/>
    <w:rsid w:val="002752BD"/>
    <w:rsid w:val="00276250"/>
    <w:rsid w:val="00276A28"/>
    <w:rsid w:val="00281439"/>
    <w:rsid w:val="00281FB7"/>
    <w:rsid w:val="0028212F"/>
    <w:rsid w:val="00282FDB"/>
    <w:rsid w:val="00292AD2"/>
    <w:rsid w:val="00292AD8"/>
    <w:rsid w:val="0029321A"/>
    <w:rsid w:val="00294561"/>
    <w:rsid w:val="00295365"/>
    <w:rsid w:val="00296D57"/>
    <w:rsid w:val="002977ED"/>
    <w:rsid w:val="002A076B"/>
    <w:rsid w:val="002A5B1B"/>
    <w:rsid w:val="002B5E9D"/>
    <w:rsid w:val="002B7644"/>
    <w:rsid w:val="002C0021"/>
    <w:rsid w:val="002C2547"/>
    <w:rsid w:val="002C278E"/>
    <w:rsid w:val="002C482A"/>
    <w:rsid w:val="002C6478"/>
    <w:rsid w:val="002C68B8"/>
    <w:rsid w:val="002C7F2B"/>
    <w:rsid w:val="002D11E8"/>
    <w:rsid w:val="002D1C01"/>
    <w:rsid w:val="002D3469"/>
    <w:rsid w:val="002D54E6"/>
    <w:rsid w:val="002D6D29"/>
    <w:rsid w:val="002E04CC"/>
    <w:rsid w:val="002E3F4C"/>
    <w:rsid w:val="002F14AA"/>
    <w:rsid w:val="002F29DE"/>
    <w:rsid w:val="002F2A42"/>
    <w:rsid w:val="002F5408"/>
    <w:rsid w:val="002F660F"/>
    <w:rsid w:val="002F7E08"/>
    <w:rsid w:val="0030020D"/>
    <w:rsid w:val="00302D40"/>
    <w:rsid w:val="00304547"/>
    <w:rsid w:val="0030695C"/>
    <w:rsid w:val="00310AAF"/>
    <w:rsid w:val="00312262"/>
    <w:rsid w:val="003126DD"/>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3AC1"/>
    <w:rsid w:val="003649D9"/>
    <w:rsid w:val="00364DD6"/>
    <w:rsid w:val="00366770"/>
    <w:rsid w:val="00367E12"/>
    <w:rsid w:val="00374D44"/>
    <w:rsid w:val="00376802"/>
    <w:rsid w:val="00376FE9"/>
    <w:rsid w:val="0038008D"/>
    <w:rsid w:val="003804E5"/>
    <w:rsid w:val="003806D1"/>
    <w:rsid w:val="00381A4F"/>
    <w:rsid w:val="0038488D"/>
    <w:rsid w:val="00385BA8"/>
    <w:rsid w:val="00393E59"/>
    <w:rsid w:val="0039499F"/>
    <w:rsid w:val="003968DB"/>
    <w:rsid w:val="003A1300"/>
    <w:rsid w:val="003A3726"/>
    <w:rsid w:val="003A634A"/>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1E6C"/>
    <w:rsid w:val="003E25F8"/>
    <w:rsid w:val="003E2823"/>
    <w:rsid w:val="003E28F4"/>
    <w:rsid w:val="003E591D"/>
    <w:rsid w:val="003F0660"/>
    <w:rsid w:val="003F15A3"/>
    <w:rsid w:val="003F1E83"/>
    <w:rsid w:val="003F4609"/>
    <w:rsid w:val="003F7076"/>
    <w:rsid w:val="0040361C"/>
    <w:rsid w:val="0040580B"/>
    <w:rsid w:val="00410690"/>
    <w:rsid w:val="00413FBE"/>
    <w:rsid w:val="00416D41"/>
    <w:rsid w:val="00417F51"/>
    <w:rsid w:val="00421BA0"/>
    <w:rsid w:val="0042387A"/>
    <w:rsid w:val="00424702"/>
    <w:rsid w:val="0042628E"/>
    <w:rsid w:val="00426F4F"/>
    <w:rsid w:val="00432060"/>
    <w:rsid w:val="00433246"/>
    <w:rsid w:val="00434FC6"/>
    <w:rsid w:val="00442575"/>
    <w:rsid w:val="00443336"/>
    <w:rsid w:val="00443385"/>
    <w:rsid w:val="00443621"/>
    <w:rsid w:val="00447F4F"/>
    <w:rsid w:val="00450531"/>
    <w:rsid w:val="00451504"/>
    <w:rsid w:val="00452A5A"/>
    <w:rsid w:val="004575BA"/>
    <w:rsid w:val="004606FD"/>
    <w:rsid w:val="00460DC5"/>
    <w:rsid w:val="00464DB9"/>
    <w:rsid w:val="004650C5"/>
    <w:rsid w:val="00465F37"/>
    <w:rsid w:val="00471B35"/>
    <w:rsid w:val="00474EC2"/>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6408"/>
    <w:rsid w:val="004B799B"/>
    <w:rsid w:val="004C1AB9"/>
    <w:rsid w:val="004C208F"/>
    <w:rsid w:val="004C3B4E"/>
    <w:rsid w:val="004D0A0F"/>
    <w:rsid w:val="004D1F76"/>
    <w:rsid w:val="004D58D2"/>
    <w:rsid w:val="004D7482"/>
    <w:rsid w:val="004E0813"/>
    <w:rsid w:val="004E23E4"/>
    <w:rsid w:val="004E358C"/>
    <w:rsid w:val="004E4D62"/>
    <w:rsid w:val="004E4FDE"/>
    <w:rsid w:val="004E54B7"/>
    <w:rsid w:val="004E5D0E"/>
    <w:rsid w:val="004E61EC"/>
    <w:rsid w:val="004F02B2"/>
    <w:rsid w:val="004F0BCA"/>
    <w:rsid w:val="004F4F4D"/>
    <w:rsid w:val="004F7265"/>
    <w:rsid w:val="004F72F9"/>
    <w:rsid w:val="004F7988"/>
    <w:rsid w:val="005004C9"/>
    <w:rsid w:val="005016F6"/>
    <w:rsid w:val="005016F7"/>
    <w:rsid w:val="00502FD6"/>
    <w:rsid w:val="0050609E"/>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04B"/>
    <w:rsid w:val="0053566F"/>
    <w:rsid w:val="005364DE"/>
    <w:rsid w:val="005428C6"/>
    <w:rsid w:val="00544E9A"/>
    <w:rsid w:val="00546650"/>
    <w:rsid w:val="0055248B"/>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3A0"/>
    <w:rsid w:val="0059655C"/>
    <w:rsid w:val="00596662"/>
    <w:rsid w:val="0059700F"/>
    <w:rsid w:val="005979EB"/>
    <w:rsid w:val="005A03A9"/>
    <w:rsid w:val="005A1EFC"/>
    <w:rsid w:val="005A6ACE"/>
    <w:rsid w:val="005A6F91"/>
    <w:rsid w:val="005A7C33"/>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46B"/>
    <w:rsid w:val="005F18DE"/>
    <w:rsid w:val="005F470C"/>
    <w:rsid w:val="005F478F"/>
    <w:rsid w:val="005F591A"/>
    <w:rsid w:val="005F6D63"/>
    <w:rsid w:val="0060094A"/>
    <w:rsid w:val="006014EC"/>
    <w:rsid w:val="00601C99"/>
    <w:rsid w:val="00603743"/>
    <w:rsid w:val="00604F51"/>
    <w:rsid w:val="006060AD"/>
    <w:rsid w:val="00606D70"/>
    <w:rsid w:val="00607D54"/>
    <w:rsid w:val="00610F84"/>
    <w:rsid w:val="00612573"/>
    <w:rsid w:val="0061307D"/>
    <w:rsid w:val="00616DB1"/>
    <w:rsid w:val="0062255C"/>
    <w:rsid w:val="00623D8C"/>
    <w:rsid w:val="00623DEA"/>
    <w:rsid w:val="00623EC9"/>
    <w:rsid w:val="00624417"/>
    <w:rsid w:val="00625AA5"/>
    <w:rsid w:val="006271E8"/>
    <w:rsid w:val="0063116F"/>
    <w:rsid w:val="00632EE6"/>
    <w:rsid w:val="00633616"/>
    <w:rsid w:val="00634664"/>
    <w:rsid w:val="00637772"/>
    <w:rsid w:val="00637AC9"/>
    <w:rsid w:val="00640B12"/>
    <w:rsid w:val="006417A5"/>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1D77"/>
    <w:rsid w:val="00674EAE"/>
    <w:rsid w:val="00676765"/>
    <w:rsid w:val="006820CE"/>
    <w:rsid w:val="006830CD"/>
    <w:rsid w:val="00685A33"/>
    <w:rsid w:val="00685C3A"/>
    <w:rsid w:val="00694C10"/>
    <w:rsid w:val="006968BB"/>
    <w:rsid w:val="00697686"/>
    <w:rsid w:val="006A1473"/>
    <w:rsid w:val="006A41F1"/>
    <w:rsid w:val="006A64D5"/>
    <w:rsid w:val="006B08F7"/>
    <w:rsid w:val="006B0D82"/>
    <w:rsid w:val="006B40EC"/>
    <w:rsid w:val="006C0680"/>
    <w:rsid w:val="006C2F15"/>
    <w:rsid w:val="006C5639"/>
    <w:rsid w:val="006C7015"/>
    <w:rsid w:val="006D1857"/>
    <w:rsid w:val="006D7B6E"/>
    <w:rsid w:val="006D7BB6"/>
    <w:rsid w:val="006E082A"/>
    <w:rsid w:val="006E1C62"/>
    <w:rsid w:val="006E1D11"/>
    <w:rsid w:val="006E27A5"/>
    <w:rsid w:val="006E4937"/>
    <w:rsid w:val="006E63F3"/>
    <w:rsid w:val="006E6A13"/>
    <w:rsid w:val="006E737B"/>
    <w:rsid w:val="006F0957"/>
    <w:rsid w:val="006F157C"/>
    <w:rsid w:val="006F202E"/>
    <w:rsid w:val="006F20A4"/>
    <w:rsid w:val="006F30E4"/>
    <w:rsid w:val="006F3A60"/>
    <w:rsid w:val="006F3C0D"/>
    <w:rsid w:val="006F3FF3"/>
    <w:rsid w:val="006F410A"/>
    <w:rsid w:val="006F4891"/>
    <w:rsid w:val="006F59AD"/>
    <w:rsid w:val="006F5EA0"/>
    <w:rsid w:val="006F7575"/>
    <w:rsid w:val="00705C96"/>
    <w:rsid w:val="00706A33"/>
    <w:rsid w:val="00712339"/>
    <w:rsid w:val="00714BCC"/>
    <w:rsid w:val="00714E40"/>
    <w:rsid w:val="00715C88"/>
    <w:rsid w:val="00715D8F"/>
    <w:rsid w:val="0071791E"/>
    <w:rsid w:val="007206C9"/>
    <w:rsid w:val="00720E64"/>
    <w:rsid w:val="00723F6E"/>
    <w:rsid w:val="00725F93"/>
    <w:rsid w:val="00725FE5"/>
    <w:rsid w:val="007310AF"/>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5B4A"/>
    <w:rsid w:val="007572E9"/>
    <w:rsid w:val="0075770C"/>
    <w:rsid w:val="0076028F"/>
    <w:rsid w:val="00762722"/>
    <w:rsid w:val="00762FE3"/>
    <w:rsid w:val="0076369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96"/>
    <w:rsid w:val="007859CD"/>
    <w:rsid w:val="00791165"/>
    <w:rsid w:val="0079441E"/>
    <w:rsid w:val="007A1B15"/>
    <w:rsid w:val="007A6523"/>
    <w:rsid w:val="007A7272"/>
    <w:rsid w:val="007A7814"/>
    <w:rsid w:val="007A7FB8"/>
    <w:rsid w:val="007B26CD"/>
    <w:rsid w:val="007B3D0C"/>
    <w:rsid w:val="007B5BA5"/>
    <w:rsid w:val="007B6150"/>
    <w:rsid w:val="007B720C"/>
    <w:rsid w:val="007C0C8C"/>
    <w:rsid w:val="007C4E46"/>
    <w:rsid w:val="007C66BE"/>
    <w:rsid w:val="007C6F35"/>
    <w:rsid w:val="007D0566"/>
    <w:rsid w:val="007D268B"/>
    <w:rsid w:val="007D38A9"/>
    <w:rsid w:val="007D38F3"/>
    <w:rsid w:val="007D4651"/>
    <w:rsid w:val="007D5BD1"/>
    <w:rsid w:val="007D7CFE"/>
    <w:rsid w:val="007E314A"/>
    <w:rsid w:val="007E5841"/>
    <w:rsid w:val="007E6BCF"/>
    <w:rsid w:val="007E6F28"/>
    <w:rsid w:val="007F0C55"/>
    <w:rsid w:val="007F126E"/>
    <w:rsid w:val="007F443F"/>
    <w:rsid w:val="007F4528"/>
    <w:rsid w:val="007F6F57"/>
    <w:rsid w:val="007F712E"/>
    <w:rsid w:val="007F774D"/>
    <w:rsid w:val="008010A6"/>
    <w:rsid w:val="00804E1C"/>
    <w:rsid w:val="00806D75"/>
    <w:rsid w:val="0081055D"/>
    <w:rsid w:val="0081058F"/>
    <w:rsid w:val="00810A4C"/>
    <w:rsid w:val="008112C9"/>
    <w:rsid w:val="00811ED5"/>
    <w:rsid w:val="00813E3C"/>
    <w:rsid w:val="0081609E"/>
    <w:rsid w:val="00822C6B"/>
    <w:rsid w:val="00823719"/>
    <w:rsid w:val="00825110"/>
    <w:rsid w:val="00826AEC"/>
    <w:rsid w:val="00826D9D"/>
    <w:rsid w:val="008274C1"/>
    <w:rsid w:val="008277A9"/>
    <w:rsid w:val="008316E1"/>
    <w:rsid w:val="00833E90"/>
    <w:rsid w:val="00835216"/>
    <w:rsid w:val="00835D5C"/>
    <w:rsid w:val="00835E20"/>
    <w:rsid w:val="00837381"/>
    <w:rsid w:val="00842D8F"/>
    <w:rsid w:val="00842FFE"/>
    <w:rsid w:val="00844425"/>
    <w:rsid w:val="008475D8"/>
    <w:rsid w:val="00847821"/>
    <w:rsid w:val="008501C7"/>
    <w:rsid w:val="00850C28"/>
    <w:rsid w:val="00851B4B"/>
    <w:rsid w:val="00855D0B"/>
    <w:rsid w:val="00857302"/>
    <w:rsid w:val="0085741B"/>
    <w:rsid w:val="00861640"/>
    <w:rsid w:val="00870831"/>
    <w:rsid w:val="008718E5"/>
    <w:rsid w:val="00871B31"/>
    <w:rsid w:val="00873C20"/>
    <w:rsid w:val="00875D2C"/>
    <w:rsid w:val="008827D6"/>
    <w:rsid w:val="008844B1"/>
    <w:rsid w:val="00890878"/>
    <w:rsid w:val="00891B11"/>
    <w:rsid w:val="00891F2D"/>
    <w:rsid w:val="00892181"/>
    <w:rsid w:val="00892DE1"/>
    <w:rsid w:val="00895722"/>
    <w:rsid w:val="00897192"/>
    <w:rsid w:val="00897A38"/>
    <w:rsid w:val="008A1777"/>
    <w:rsid w:val="008A2281"/>
    <w:rsid w:val="008A2427"/>
    <w:rsid w:val="008A3971"/>
    <w:rsid w:val="008A5760"/>
    <w:rsid w:val="008B110A"/>
    <w:rsid w:val="008B3C43"/>
    <w:rsid w:val="008B50C1"/>
    <w:rsid w:val="008B5573"/>
    <w:rsid w:val="008C079A"/>
    <w:rsid w:val="008C147E"/>
    <w:rsid w:val="008D5E9E"/>
    <w:rsid w:val="008D72B1"/>
    <w:rsid w:val="008E0F73"/>
    <w:rsid w:val="008E5C4F"/>
    <w:rsid w:val="008E6162"/>
    <w:rsid w:val="008E7869"/>
    <w:rsid w:val="008E7927"/>
    <w:rsid w:val="008F216C"/>
    <w:rsid w:val="008F312E"/>
    <w:rsid w:val="008F46B7"/>
    <w:rsid w:val="008F4BCE"/>
    <w:rsid w:val="008F5915"/>
    <w:rsid w:val="008F5DBB"/>
    <w:rsid w:val="0090034D"/>
    <w:rsid w:val="009062A4"/>
    <w:rsid w:val="00910163"/>
    <w:rsid w:val="00910B95"/>
    <w:rsid w:val="009121F7"/>
    <w:rsid w:val="00912A58"/>
    <w:rsid w:val="00916532"/>
    <w:rsid w:val="00917786"/>
    <w:rsid w:val="00920579"/>
    <w:rsid w:val="00924E88"/>
    <w:rsid w:val="00926505"/>
    <w:rsid w:val="00932C16"/>
    <w:rsid w:val="00934746"/>
    <w:rsid w:val="0093522C"/>
    <w:rsid w:val="00935D14"/>
    <w:rsid w:val="00936E17"/>
    <w:rsid w:val="00940C2E"/>
    <w:rsid w:val="00942163"/>
    <w:rsid w:val="0094219B"/>
    <w:rsid w:val="00946523"/>
    <w:rsid w:val="00950874"/>
    <w:rsid w:val="00951307"/>
    <w:rsid w:val="00951347"/>
    <w:rsid w:val="00954FB2"/>
    <w:rsid w:val="00956270"/>
    <w:rsid w:val="00963756"/>
    <w:rsid w:val="00964466"/>
    <w:rsid w:val="00964ECA"/>
    <w:rsid w:val="00965F44"/>
    <w:rsid w:val="00972FCF"/>
    <w:rsid w:val="00975E49"/>
    <w:rsid w:val="00981FB0"/>
    <w:rsid w:val="00982379"/>
    <w:rsid w:val="00986297"/>
    <w:rsid w:val="009907A9"/>
    <w:rsid w:val="0099341E"/>
    <w:rsid w:val="00993857"/>
    <w:rsid w:val="00995540"/>
    <w:rsid w:val="00996FB8"/>
    <w:rsid w:val="00997A06"/>
    <w:rsid w:val="009A12F9"/>
    <w:rsid w:val="009A1EA3"/>
    <w:rsid w:val="009A1FA7"/>
    <w:rsid w:val="009A3187"/>
    <w:rsid w:val="009A47FE"/>
    <w:rsid w:val="009A5380"/>
    <w:rsid w:val="009A7441"/>
    <w:rsid w:val="009B10B6"/>
    <w:rsid w:val="009B2AD3"/>
    <w:rsid w:val="009B3FF9"/>
    <w:rsid w:val="009B7148"/>
    <w:rsid w:val="009B7429"/>
    <w:rsid w:val="009B76D6"/>
    <w:rsid w:val="009C0583"/>
    <w:rsid w:val="009C0B93"/>
    <w:rsid w:val="009C1936"/>
    <w:rsid w:val="009C2275"/>
    <w:rsid w:val="009C361A"/>
    <w:rsid w:val="009C3938"/>
    <w:rsid w:val="009C3B88"/>
    <w:rsid w:val="009C4027"/>
    <w:rsid w:val="009C5F4E"/>
    <w:rsid w:val="009D0D94"/>
    <w:rsid w:val="009D1232"/>
    <w:rsid w:val="009D1484"/>
    <w:rsid w:val="009D20A6"/>
    <w:rsid w:val="009D2132"/>
    <w:rsid w:val="009D25F9"/>
    <w:rsid w:val="009D2C22"/>
    <w:rsid w:val="009D38BF"/>
    <w:rsid w:val="009D3E30"/>
    <w:rsid w:val="009D4E7A"/>
    <w:rsid w:val="009D72CF"/>
    <w:rsid w:val="009E61BB"/>
    <w:rsid w:val="009F15B9"/>
    <w:rsid w:val="009F164F"/>
    <w:rsid w:val="009F1C07"/>
    <w:rsid w:val="009F1C62"/>
    <w:rsid w:val="009F530C"/>
    <w:rsid w:val="009F628A"/>
    <w:rsid w:val="00A00D30"/>
    <w:rsid w:val="00A0113A"/>
    <w:rsid w:val="00A04D8E"/>
    <w:rsid w:val="00A07BE4"/>
    <w:rsid w:val="00A11B04"/>
    <w:rsid w:val="00A15244"/>
    <w:rsid w:val="00A152B8"/>
    <w:rsid w:val="00A159B6"/>
    <w:rsid w:val="00A1699C"/>
    <w:rsid w:val="00A17ADB"/>
    <w:rsid w:val="00A2151F"/>
    <w:rsid w:val="00A21A6A"/>
    <w:rsid w:val="00A24C4D"/>
    <w:rsid w:val="00A25906"/>
    <w:rsid w:val="00A26C76"/>
    <w:rsid w:val="00A305E5"/>
    <w:rsid w:val="00A30F3C"/>
    <w:rsid w:val="00A32AA1"/>
    <w:rsid w:val="00A34EAE"/>
    <w:rsid w:val="00A40EAF"/>
    <w:rsid w:val="00A4318A"/>
    <w:rsid w:val="00A4399A"/>
    <w:rsid w:val="00A446DB"/>
    <w:rsid w:val="00A45BC8"/>
    <w:rsid w:val="00A46630"/>
    <w:rsid w:val="00A53877"/>
    <w:rsid w:val="00A54CC2"/>
    <w:rsid w:val="00A5760D"/>
    <w:rsid w:val="00A60591"/>
    <w:rsid w:val="00A639DA"/>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069D"/>
    <w:rsid w:val="00AB1241"/>
    <w:rsid w:val="00AB20BD"/>
    <w:rsid w:val="00AB2522"/>
    <w:rsid w:val="00AB2765"/>
    <w:rsid w:val="00AB52BE"/>
    <w:rsid w:val="00AC1E31"/>
    <w:rsid w:val="00AC5CAC"/>
    <w:rsid w:val="00AC7961"/>
    <w:rsid w:val="00AD3FF3"/>
    <w:rsid w:val="00AD4251"/>
    <w:rsid w:val="00AD4EF6"/>
    <w:rsid w:val="00AD55FD"/>
    <w:rsid w:val="00AD5816"/>
    <w:rsid w:val="00AE1096"/>
    <w:rsid w:val="00AE1DAB"/>
    <w:rsid w:val="00AE2039"/>
    <w:rsid w:val="00AE501B"/>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11FD1"/>
    <w:rsid w:val="00B136D6"/>
    <w:rsid w:val="00B1448A"/>
    <w:rsid w:val="00B21010"/>
    <w:rsid w:val="00B26014"/>
    <w:rsid w:val="00B2709E"/>
    <w:rsid w:val="00B35FDC"/>
    <w:rsid w:val="00B368DA"/>
    <w:rsid w:val="00B43892"/>
    <w:rsid w:val="00B44B94"/>
    <w:rsid w:val="00B468EF"/>
    <w:rsid w:val="00B5017E"/>
    <w:rsid w:val="00B5079C"/>
    <w:rsid w:val="00B508E2"/>
    <w:rsid w:val="00B5310F"/>
    <w:rsid w:val="00B579BB"/>
    <w:rsid w:val="00B57AAB"/>
    <w:rsid w:val="00B57CED"/>
    <w:rsid w:val="00B606D0"/>
    <w:rsid w:val="00B60A33"/>
    <w:rsid w:val="00B632B3"/>
    <w:rsid w:val="00B667BC"/>
    <w:rsid w:val="00B667E7"/>
    <w:rsid w:val="00B7015D"/>
    <w:rsid w:val="00B7136E"/>
    <w:rsid w:val="00B718AB"/>
    <w:rsid w:val="00B7616E"/>
    <w:rsid w:val="00B827E1"/>
    <w:rsid w:val="00B82A39"/>
    <w:rsid w:val="00B83CAC"/>
    <w:rsid w:val="00B84995"/>
    <w:rsid w:val="00B85950"/>
    <w:rsid w:val="00B86812"/>
    <w:rsid w:val="00B91010"/>
    <w:rsid w:val="00B917E5"/>
    <w:rsid w:val="00B9286A"/>
    <w:rsid w:val="00B93470"/>
    <w:rsid w:val="00B95BBF"/>
    <w:rsid w:val="00B95BEF"/>
    <w:rsid w:val="00B96036"/>
    <w:rsid w:val="00B96AC8"/>
    <w:rsid w:val="00BA12CD"/>
    <w:rsid w:val="00BA25B6"/>
    <w:rsid w:val="00BA3920"/>
    <w:rsid w:val="00BA6CC6"/>
    <w:rsid w:val="00BA782D"/>
    <w:rsid w:val="00BA7AF8"/>
    <w:rsid w:val="00BB1AAC"/>
    <w:rsid w:val="00BB4C28"/>
    <w:rsid w:val="00BB5426"/>
    <w:rsid w:val="00BC2768"/>
    <w:rsid w:val="00BC33C2"/>
    <w:rsid w:val="00BC4F9E"/>
    <w:rsid w:val="00BC647C"/>
    <w:rsid w:val="00BC7539"/>
    <w:rsid w:val="00BC79C1"/>
    <w:rsid w:val="00BD0B1A"/>
    <w:rsid w:val="00BD0FCC"/>
    <w:rsid w:val="00BD1088"/>
    <w:rsid w:val="00BD33FC"/>
    <w:rsid w:val="00BD3A7C"/>
    <w:rsid w:val="00BD4961"/>
    <w:rsid w:val="00BE0387"/>
    <w:rsid w:val="00BE18FB"/>
    <w:rsid w:val="00BE2D99"/>
    <w:rsid w:val="00BE3A68"/>
    <w:rsid w:val="00BE54D6"/>
    <w:rsid w:val="00BF0E8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353C5"/>
    <w:rsid w:val="00C41470"/>
    <w:rsid w:val="00C41FF2"/>
    <w:rsid w:val="00C43AE0"/>
    <w:rsid w:val="00C464E6"/>
    <w:rsid w:val="00C54747"/>
    <w:rsid w:val="00C5514E"/>
    <w:rsid w:val="00C55D92"/>
    <w:rsid w:val="00C56C98"/>
    <w:rsid w:val="00C61690"/>
    <w:rsid w:val="00C6254D"/>
    <w:rsid w:val="00C629B9"/>
    <w:rsid w:val="00C645BC"/>
    <w:rsid w:val="00C646C4"/>
    <w:rsid w:val="00C66495"/>
    <w:rsid w:val="00C739AF"/>
    <w:rsid w:val="00C74E80"/>
    <w:rsid w:val="00C75935"/>
    <w:rsid w:val="00C76463"/>
    <w:rsid w:val="00C82125"/>
    <w:rsid w:val="00C85696"/>
    <w:rsid w:val="00C9002C"/>
    <w:rsid w:val="00C91204"/>
    <w:rsid w:val="00C922D7"/>
    <w:rsid w:val="00C935C2"/>
    <w:rsid w:val="00C93727"/>
    <w:rsid w:val="00C95BFB"/>
    <w:rsid w:val="00CA14A7"/>
    <w:rsid w:val="00CA19F5"/>
    <w:rsid w:val="00CA4B04"/>
    <w:rsid w:val="00CA57D4"/>
    <w:rsid w:val="00CA6173"/>
    <w:rsid w:val="00CA65FF"/>
    <w:rsid w:val="00CB0938"/>
    <w:rsid w:val="00CB220A"/>
    <w:rsid w:val="00CB2E00"/>
    <w:rsid w:val="00CC108B"/>
    <w:rsid w:val="00CC2800"/>
    <w:rsid w:val="00CC3420"/>
    <w:rsid w:val="00CC3BC7"/>
    <w:rsid w:val="00CC48FA"/>
    <w:rsid w:val="00CC547C"/>
    <w:rsid w:val="00CC57D8"/>
    <w:rsid w:val="00CC60FF"/>
    <w:rsid w:val="00CD58C8"/>
    <w:rsid w:val="00CD7760"/>
    <w:rsid w:val="00CE0468"/>
    <w:rsid w:val="00CE123C"/>
    <w:rsid w:val="00CE13DA"/>
    <w:rsid w:val="00CE1CE6"/>
    <w:rsid w:val="00CE3C39"/>
    <w:rsid w:val="00CE75B5"/>
    <w:rsid w:val="00CF0F94"/>
    <w:rsid w:val="00CF2D98"/>
    <w:rsid w:val="00CF436B"/>
    <w:rsid w:val="00CF5AB1"/>
    <w:rsid w:val="00CF73B4"/>
    <w:rsid w:val="00CF7EE0"/>
    <w:rsid w:val="00D00E78"/>
    <w:rsid w:val="00D01738"/>
    <w:rsid w:val="00D04F96"/>
    <w:rsid w:val="00D05B0C"/>
    <w:rsid w:val="00D126A4"/>
    <w:rsid w:val="00D1383A"/>
    <w:rsid w:val="00D13E32"/>
    <w:rsid w:val="00D22050"/>
    <w:rsid w:val="00D23424"/>
    <w:rsid w:val="00D236C7"/>
    <w:rsid w:val="00D243B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66FE8"/>
    <w:rsid w:val="00D7015D"/>
    <w:rsid w:val="00D716E4"/>
    <w:rsid w:val="00D73D1A"/>
    <w:rsid w:val="00D7427C"/>
    <w:rsid w:val="00D75C74"/>
    <w:rsid w:val="00D75E95"/>
    <w:rsid w:val="00D84C67"/>
    <w:rsid w:val="00D858E5"/>
    <w:rsid w:val="00D864CC"/>
    <w:rsid w:val="00D92557"/>
    <w:rsid w:val="00DA13C8"/>
    <w:rsid w:val="00DA53C7"/>
    <w:rsid w:val="00DA5809"/>
    <w:rsid w:val="00DA58BF"/>
    <w:rsid w:val="00DA7B48"/>
    <w:rsid w:val="00DA7C18"/>
    <w:rsid w:val="00DB03B7"/>
    <w:rsid w:val="00DB0C01"/>
    <w:rsid w:val="00DB2350"/>
    <w:rsid w:val="00DB4551"/>
    <w:rsid w:val="00DB4AED"/>
    <w:rsid w:val="00DC1048"/>
    <w:rsid w:val="00DC44CF"/>
    <w:rsid w:val="00DC6DE1"/>
    <w:rsid w:val="00DD01C5"/>
    <w:rsid w:val="00DD23C0"/>
    <w:rsid w:val="00DD4AB3"/>
    <w:rsid w:val="00DD4D5D"/>
    <w:rsid w:val="00DD517E"/>
    <w:rsid w:val="00DE17E2"/>
    <w:rsid w:val="00DE3020"/>
    <w:rsid w:val="00DE4CD6"/>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16E08"/>
    <w:rsid w:val="00E22259"/>
    <w:rsid w:val="00E27247"/>
    <w:rsid w:val="00E31CA5"/>
    <w:rsid w:val="00E31D49"/>
    <w:rsid w:val="00E3382E"/>
    <w:rsid w:val="00E348DD"/>
    <w:rsid w:val="00E3492D"/>
    <w:rsid w:val="00E3753A"/>
    <w:rsid w:val="00E37543"/>
    <w:rsid w:val="00E412A7"/>
    <w:rsid w:val="00E42E28"/>
    <w:rsid w:val="00E437F0"/>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0551"/>
    <w:rsid w:val="00E627ED"/>
    <w:rsid w:val="00E62867"/>
    <w:rsid w:val="00E63798"/>
    <w:rsid w:val="00E652D9"/>
    <w:rsid w:val="00E6619D"/>
    <w:rsid w:val="00E7442E"/>
    <w:rsid w:val="00E756CD"/>
    <w:rsid w:val="00E80E9E"/>
    <w:rsid w:val="00E82188"/>
    <w:rsid w:val="00E825A1"/>
    <w:rsid w:val="00E85293"/>
    <w:rsid w:val="00E871CE"/>
    <w:rsid w:val="00E87AC7"/>
    <w:rsid w:val="00E90128"/>
    <w:rsid w:val="00E9315E"/>
    <w:rsid w:val="00E9468D"/>
    <w:rsid w:val="00E94F03"/>
    <w:rsid w:val="00E97903"/>
    <w:rsid w:val="00EA1E62"/>
    <w:rsid w:val="00EA37FC"/>
    <w:rsid w:val="00EA68DF"/>
    <w:rsid w:val="00EB0687"/>
    <w:rsid w:val="00EB0FC5"/>
    <w:rsid w:val="00EB1910"/>
    <w:rsid w:val="00EB1C8E"/>
    <w:rsid w:val="00EB2E9A"/>
    <w:rsid w:val="00EB317F"/>
    <w:rsid w:val="00EB335D"/>
    <w:rsid w:val="00EB4F49"/>
    <w:rsid w:val="00EB62F2"/>
    <w:rsid w:val="00EC17EF"/>
    <w:rsid w:val="00ED2C29"/>
    <w:rsid w:val="00ED3624"/>
    <w:rsid w:val="00ED7253"/>
    <w:rsid w:val="00EE02F0"/>
    <w:rsid w:val="00EE2F16"/>
    <w:rsid w:val="00EE68A4"/>
    <w:rsid w:val="00EE6FBD"/>
    <w:rsid w:val="00EE72DB"/>
    <w:rsid w:val="00EF1CB1"/>
    <w:rsid w:val="00EF56F9"/>
    <w:rsid w:val="00EF64D6"/>
    <w:rsid w:val="00F00537"/>
    <w:rsid w:val="00F03418"/>
    <w:rsid w:val="00F04678"/>
    <w:rsid w:val="00F062BF"/>
    <w:rsid w:val="00F06437"/>
    <w:rsid w:val="00F0775B"/>
    <w:rsid w:val="00F1031E"/>
    <w:rsid w:val="00F10A29"/>
    <w:rsid w:val="00F10ACE"/>
    <w:rsid w:val="00F16658"/>
    <w:rsid w:val="00F16692"/>
    <w:rsid w:val="00F16BD9"/>
    <w:rsid w:val="00F20D0D"/>
    <w:rsid w:val="00F229CE"/>
    <w:rsid w:val="00F23065"/>
    <w:rsid w:val="00F25E21"/>
    <w:rsid w:val="00F26087"/>
    <w:rsid w:val="00F27024"/>
    <w:rsid w:val="00F27DDD"/>
    <w:rsid w:val="00F304F6"/>
    <w:rsid w:val="00F3088D"/>
    <w:rsid w:val="00F341FB"/>
    <w:rsid w:val="00F36FE5"/>
    <w:rsid w:val="00F37AD2"/>
    <w:rsid w:val="00F43CF0"/>
    <w:rsid w:val="00F4680E"/>
    <w:rsid w:val="00F46EBB"/>
    <w:rsid w:val="00F47088"/>
    <w:rsid w:val="00F50CB4"/>
    <w:rsid w:val="00F51B37"/>
    <w:rsid w:val="00F541D1"/>
    <w:rsid w:val="00F54C17"/>
    <w:rsid w:val="00F57294"/>
    <w:rsid w:val="00F60E06"/>
    <w:rsid w:val="00F641E1"/>
    <w:rsid w:val="00F644EA"/>
    <w:rsid w:val="00F6521F"/>
    <w:rsid w:val="00F652E7"/>
    <w:rsid w:val="00F654C6"/>
    <w:rsid w:val="00F674C8"/>
    <w:rsid w:val="00F70176"/>
    <w:rsid w:val="00F70871"/>
    <w:rsid w:val="00F7228C"/>
    <w:rsid w:val="00F73186"/>
    <w:rsid w:val="00F75C84"/>
    <w:rsid w:val="00F75EDB"/>
    <w:rsid w:val="00F75EEA"/>
    <w:rsid w:val="00F75F1E"/>
    <w:rsid w:val="00F762E5"/>
    <w:rsid w:val="00F76491"/>
    <w:rsid w:val="00F81BD3"/>
    <w:rsid w:val="00F8230E"/>
    <w:rsid w:val="00F930A8"/>
    <w:rsid w:val="00F94C84"/>
    <w:rsid w:val="00FA2A33"/>
    <w:rsid w:val="00FA3B81"/>
    <w:rsid w:val="00FA4D29"/>
    <w:rsid w:val="00FA5DE4"/>
    <w:rsid w:val="00FA5E7B"/>
    <w:rsid w:val="00FA7384"/>
    <w:rsid w:val="00FB2C2F"/>
    <w:rsid w:val="00FB5F5C"/>
    <w:rsid w:val="00FB6AF8"/>
    <w:rsid w:val="00FB6E59"/>
    <w:rsid w:val="00FC0D3E"/>
    <w:rsid w:val="00FC319F"/>
    <w:rsid w:val="00FC3884"/>
    <w:rsid w:val="00FC4DC9"/>
    <w:rsid w:val="00FC4F6B"/>
    <w:rsid w:val="00FD36A3"/>
    <w:rsid w:val="00FD3C18"/>
    <w:rsid w:val="00FD4333"/>
    <w:rsid w:val="00FD46E0"/>
    <w:rsid w:val="00FD61B9"/>
    <w:rsid w:val="00FD7FF0"/>
    <w:rsid w:val="00FE0129"/>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67993">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53793108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2.emf"/><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4.xml"/><Relationship Id="rId29" Type="http://schemas.openxmlformats.org/officeDocument/2006/relationships/chart" Target="charts/chart10.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footer" Target="footer8.xml"/><Relationship Id="rId40"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oter" Target="footer5.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eargueta\Desktop\Informes%202020\Sitfin\Noviembre\Sitfin%20al%20301120%20(14122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argueta\Desktop\Informes%202020\Sitfin\Noviembre\Sitfin%20al%20301120%20(031220)..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2.2677245968773994E-2"/>
          <c:w val="0.8643048865739279"/>
          <c:h val="0.87820971444348828"/>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FF77-404B-A088-59621C67D9FD}"/>
              </c:ext>
            </c:extLst>
          </c:dPt>
          <c:dPt>
            <c:idx val="1"/>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3-FF77-404B-A088-59621C67D9FD}"/>
              </c:ext>
            </c:extLst>
          </c:dPt>
          <c:dPt>
            <c:idx val="2"/>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FF77-404B-A088-59621C67D9FD}"/>
              </c:ext>
            </c:extLst>
          </c:dPt>
          <c:dPt>
            <c:idx val="3"/>
            <c:invertIfNegative val="0"/>
            <c:bubble3D val="0"/>
            <c:spPr>
              <a:solidFill>
                <a:srgbClr val="C00000"/>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7-FF77-404B-A088-59621C67D9FD}"/>
              </c:ext>
            </c:extLst>
          </c:dPt>
          <c:dLbls>
            <c:dLbl>
              <c:idx val="3"/>
              <c:spPr>
                <a:noFill/>
                <a:ln>
                  <a:noFill/>
                </a:ln>
                <a:effectLst/>
              </c:spPr>
              <c:txPr>
                <a:bodyPr wrap="square" lIns="38100" tIns="19050" rIns="38100" bIns="19050" anchor="ctr">
                  <a:spAutoFit/>
                </a:bodyPr>
                <a:lstStyle/>
                <a:p>
                  <a:pPr>
                    <a:defRPr sz="1050" b="1"/>
                  </a:pPr>
                  <a:endParaRPr lang="es-E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05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-1969.9226675999994</c:v>
                </c:pt>
                <c:pt idx="1">
                  <c:v>-5258.7146919500028</c:v>
                </c:pt>
                <c:pt idx="2">
                  <c:v>-9058.7240143700001</c:v>
                </c:pt>
                <c:pt idx="3">
                  <c:v>-22767.211944679999</c:v>
                </c:pt>
              </c:numCache>
            </c:numRef>
          </c:val>
          <c:extLst xmlns:c16r2="http://schemas.microsoft.com/office/drawing/2015/06/chart">
            <c:ext xmlns:c16="http://schemas.microsoft.com/office/drawing/2014/chart" uri="{C3380CC4-5D6E-409C-BE32-E72D297353CC}">
              <c16:uniqueId val="{00000008-FF77-404B-A088-59621C67D9FD}"/>
            </c:ext>
          </c:extLst>
        </c:ser>
        <c:dLbls>
          <c:showLegendKey val="0"/>
          <c:showVal val="0"/>
          <c:showCatName val="0"/>
          <c:showSerName val="0"/>
          <c:showPercent val="0"/>
          <c:showBubbleSize val="0"/>
        </c:dLbls>
        <c:gapWidth val="71"/>
        <c:axId val="259860736"/>
        <c:axId val="70193152"/>
      </c:barChart>
      <c:catAx>
        <c:axId val="259860736"/>
        <c:scaling>
          <c:orientation val="minMax"/>
        </c:scaling>
        <c:delete val="0"/>
        <c:axPos val="b"/>
        <c:numFmt formatCode="General" sourceLinked="0"/>
        <c:majorTickMark val="out"/>
        <c:minorTickMark val="none"/>
        <c:tickLblPos val="low"/>
        <c:txPr>
          <a:bodyPr/>
          <a:lstStyle/>
          <a:p>
            <a:pPr>
              <a:defRPr lang="es-GT" sz="1050"/>
            </a:pPr>
            <a:endParaRPr lang="es-ES"/>
          </a:p>
        </c:txPr>
        <c:crossAx val="70193152"/>
        <c:crosses val="autoZero"/>
        <c:auto val="1"/>
        <c:lblAlgn val="ctr"/>
        <c:lblOffset val="100"/>
        <c:noMultiLvlLbl val="0"/>
      </c:catAx>
      <c:valAx>
        <c:axId val="70193152"/>
        <c:scaling>
          <c:orientation val="minMax"/>
        </c:scaling>
        <c:delete val="0"/>
        <c:axPos val="l"/>
        <c:numFmt formatCode="_-* #,##0.0_-;\-* #,##0.0_-;_-* &quot;-&quot;??_-;_-@_-" sourceLinked="1"/>
        <c:majorTickMark val="out"/>
        <c:minorTickMark val="none"/>
        <c:tickLblPos val="nextTo"/>
        <c:txPr>
          <a:bodyPr/>
          <a:lstStyle/>
          <a:p>
            <a:pPr>
              <a:defRPr lang="es-GT" sz="800"/>
            </a:pPr>
            <a:endParaRPr lang="es-ES"/>
          </a:p>
        </c:txPr>
        <c:crossAx val="259860736"/>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4.3939657204199699E-2"/>
                  <c:y val="-9.4894285469819192E-2"/>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215844714844333"/>
                      <c:h val="0.18966307812805092"/>
                    </c:manualLayout>
                  </c15:layout>
                </c:ext>
                <c:ext xmlns:c16="http://schemas.microsoft.com/office/drawing/2014/chart" uri="{C3380CC4-5D6E-409C-BE32-E72D297353CC}">
                  <c16:uniqueId val="{00000000-9B05-4F9E-8C62-1775D87811ED}"/>
                </c:ext>
              </c:extLst>
            </c:dLbl>
            <c:dLbl>
              <c:idx val="1"/>
              <c:layout>
                <c:manualLayout>
                  <c:x val="-1.3084804428490276E-2"/>
                  <c:y val="-5.5341667197260719E-2"/>
                </c:manualLayout>
              </c:layout>
              <c:spPr/>
              <c:txPr>
                <a:bodyPr/>
                <a:lstStyle/>
                <a:p>
                  <a:pPr>
                    <a:defRPr lang="es-GT" sz="700" b="1">
                      <a:solidFill>
                        <a:schemeClr val="bg1"/>
                      </a:solidFill>
                      <a:latin typeface="Times New Roman" pitchFamily="18" charset="0"/>
                      <a:cs typeface="Times New Roman"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277777108755002"/>
                      <c:h val="0.25637225844694722"/>
                    </c:manualLayout>
                  </c15:layout>
                </c:ext>
                <c:ext xmlns:c16="http://schemas.microsoft.com/office/drawing/2014/chart" uri="{C3380CC4-5D6E-409C-BE32-E72D297353CC}">
                  <c16:uniqueId val="{00000001-9B05-4F9E-8C62-1775D87811ED}"/>
                </c:ext>
              </c:extLst>
            </c:dLbl>
            <c:dLbl>
              <c:idx val="2"/>
              <c:layout>
                <c:manualLayout>
                  <c:x val="-4.6208447234460562E-2"/>
                  <c:y val="-2.5391016994245016E-3"/>
                </c:manualLayout>
              </c:layout>
              <c:spPr>
                <a:noFill/>
                <a:ln>
                  <a:noFill/>
                </a:ln>
                <a:effectLst/>
              </c:spPr>
              <c:txPr>
                <a:bodyPr/>
                <a:lstStyle/>
                <a:p>
                  <a:pPr>
                    <a:defRPr lang="es-GT" sz="700" b="1">
                      <a:latin typeface="Times New Roman" pitchFamily="18" charset="0"/>
                      <a:cs typeface="Times New Roman"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05-4F9E-8C62-1775D87811ED}"/>
                </c:ext>
              </c:extLst>
            </c:dLbl>
            <c:dLbl>
              <c:idx val="3"/>
              <c:layout>
                <c:manualLayout>
                  <c:x val="-0.29838648910419957"/>
                  <c:y val="-3.4248711941521306E-2"/>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[VALOR]</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[PORCENTAJE]</a:t>
                    </a:fld>
                    <a:endParaRPr lang="en-US" sz="900" b="1"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925278566746779"/>
                      <c:h val="0.21108987874147384"/>
                    </c:manualLayout>
                  </c15:layout>
                  <c15:dlblFieldTable/>
                  <c15:showDataLabelsRange val="0"/>
                </c:ext>
                <c:ext xmlns:c16="http://schemas.microsoft.com/office/drawing/2014/chart" uri="{C3380CC4-5D6E-409C-BE32-E72D297353CC}">
                  <c16:uniqueId val="{00000003-9B05-4F9E-8C62-1775D87811ED}"/>
                </c:ext>
              </c:extLst>
            </c:dLbl>
            <c:spPr>
              <a:noFill/>
              <a:ln>
                <a:noFill/>
              </a:ln>
              <a:effectLst/>
            </c:spPr>
            <c:txPr>
              <a:bodyPr/>
              <a:lstStyle/>
              <a:p>
                <a:pPr>
                  <a:defRPr lang="es-GT" sz="700">
                    <a:latin typeface="Times New Roman" pitchFamily="18" charset="0"/>
                    <a:cs typeface="Times New Roman" pitchFamily="18" charset="0"/>
                  </a:defRPr>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'Bonos dash'!$Q$79:$Q$81</c:f>
              <c:strCache>
                <c:ptCount val="3"/>
                <c:pt idx="0">
                  <c:v>Por colocar</c:v>
                </c:pt>
                <c:pt idx="1">
                  <c:v>Nuevo endeudamiento</c:v>
                </c:pt>
                <c:pt idx="2">
                  <c:v>Roll over</c:v>
                </c:pt>
              </c:strCache>
            </c:strRef>
          </c:cat>
          <c:val>
            <c:numRef>
              <c:f>'Bonos dash'!$R$79:$R$81</c:f>
              <c:numCache>
                <c:formatCode>#,##0.0</c:formatCode>
                <c:ptCount val="3"/>
                <c:pt idx="0">
                  <c:v>658.69184443000267</c:v>
                </c:pt>
                <c:pt idx="1">
                  <c:v>29389.256155569998</c:v>
                </c:pt>
                <c:pt idx="2">
                  <c:v>5657.0219999999999</c:v>
                </c:pt>
              </c:numCache>
            </c:numRef>
          </c:val>
          <c:extLst xmlns:c16r2="http://schemas.microsoft.com/office/drawing/2015/06/chart">
            <c:ext xmlns:c16="http://schemas.microsoft.com/office/drawing/2014/chart" uri="{C3380CC4-5D6E-409C-BE32-E72D297353CC}">
              <c16:uniqueId val="{00000004-9B05-4F9E-8C62-1775D87811ED}"/>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843047973636"/>
          <c:y val="4.6504195421518263E-2"/>
          <c:w val="0.77466730396719574"/>
          <c:h val="0.76872130848508802"/>
        </c:manualLayout>
      </c:layout>
      <c:barChart>
        <c:barDir val="col"/>
        <c:grouping val="clustered"/>
        <c:varyColors val="0"/>
        <c:ser>
          <c:idx val="1"/>
          <c:order val="0"/>
          <c:tx>
            <c:strRef>
              <c:f>Sheet1!$C$1</c:f>
              <c:strCache>
                <c:ptCount val="1"/>
                <c:pt idx="0">
                  <c:v>Ejecución</c:v>
                </c:pt>
              </c:strCache>
            </c:strRef>
          </c:tx>
          <c:spPr>
            <a:solidFill>
              <a:schemeClr val="accent4">
                <a:lumMod val="50000"/>
              </a:schemeClr>
            </a:solidFill>
            <a:ln>
              <a:noFill/>
            </a:ln>
            <a:effectLst/>
            <a:scene3d>
              <a:camera prst="orthographicFront"/>
              <a:lightRig rig="threePt" dir="t"/>
            </a:scene3d>
            <a:sp3d>
              <a:bevelT w="165100" prst="coolSlant"/>
            </a:sp3d>
          </c:spPr>
          <c:invertIfNegative val="0"/>
          <c:dLbls>
            <c:dLbl>
              <c:idx val="0"/>
              <c:layout>
                <c:manualLayout>
                  <c:x val="-3.9048182209901574E-17"/>
                  <c:y val="0.1357488675402060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5E-4DF1-B9F5-79B06F0991A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Mayo</c:v>
                </c:pt>
                <c:pt idx="1">
                  <c:v>Junio</c:v>
                </c:pt>
                <c:pt idx="2">
                  <c:v>Julio</c:v>
                </c:pt>
                <c:pt idx="3">
                  <c:v>Agosto</c:v>
                </c:pt>
                <c:pt idx="4">
                  <c:v>Septiembre</c:v>
                </c:pt>
                <c:pt idx="5">
                  <c:v>Octubre</c:v>
                </c:pt>
                <c:pt idx="6">
                  <c:v>Noviembre</c:v>
                </c:pt>
              </c:strCache>
            </c:strRef>
          </c:cat>
          <c:val>
            <c:numRef>
              <c:f>Sheet1!$C$2:$C$8</c:f>
              <c:numCache>
                <c:formatCode>#,##0.0</c:formatCode>
                <c:ptCount val="7"/>
                <c:pt idx="0">
                  <c:v>2120.6800000000003</c:v>
                </c:pt>
                <c:pt idx="1">
                  <c:v>4006.5030000000006</c:v>
                </c:pt>
                <c:pt idx="2">
                  <c:v>4935.3299730000008</c:v>
                </c:pt>
                <c:pt idx="3">
                  <c:v>7035.5176883900003</c:v>
                </c:pt>
                <c:pt idx="4">
                  <c:v>9808.2687767900006</c:v>
                </c:pt>
                <c:pt idx="5">
                  <c:v>11152.245776790001</c:v>
                </c:pt>
                <c:pt idx="6">
                  <c:v>11981.4</c:v>
                </c:pt>
              </c:numCache>
            </c:numRef>
          </c:val>
          <c:extLst xmlns:c16r2="http://schemas.microsoft.com/office/drawing/2015/06/chart">
            <c:ext xmlns:c16="http://schemas.microsoft.com/office/drawing/2014/chart" uri="{C3380CC4-5D6E-409C-BE32-E72D297353CC}">
              <c16:uniqueId val="{00000001-765E-4DF1-B9F5-79B06F0991A0}"/>
            </c:ext>
          </c:extLst>
        </c:ser>
        <c:dLbls>
          <c:showLegendKey val="0"/>
          <c:showVal val="0"/>
          <c:showCatName val="0"/>
          <c:showSerName val="0"/>
          <c:showPercent val="0"/>
          <c:showBubbleSize val="0"/>
        </c:dLbls>
        <c:gapWidth val="68"/>
        <c:axId val="94685056"/>
        <c:axId val="94686592"/>
      </c:barChart>
      <c:lineChart>
        <c:grouping val="standard"/>
        <c:varyColors val="0"/>
        <c:ser>
          <c:idx val="2"/>
          <c:order val="1"/>
          <c:tx>
            <c:strRef>
              <c:f>Sheet1!$D$1</c:f>
              <c:strCache>
                <c:ptCount val="1"/>
                <c:pt idx="0">
                  <c:v>% de ejecución</c:v>
                </c:pt>
              </c:strCache>
            </c:strRef>
          </c:tx>
          <c:spPr>
            <a:ln w="44450" cap="rnd" cmpd="thinThick">
              <a:solidFill>
                <a:schemeClr val="accent5"/>
              </a:solidFill>
              <a:prstDash val="dash"/>
              <a:round/>
            </a:ln>
            <a:effectLst/>
          </c:spPr>
          <c:marker>
            <c:symbol val="star"/>
            <c:size val="8"/>
            <c:spPr>
              <a:noFill/>
              <a:ln w="15875">
                <a:solidFill>
                  <a:schemeClr val="accent5"/>
                </a:solidFill>
                <a:round/>
              </a:ln>
              <a:effectLst/>
            </c:spPr>
          </c:marker>
          <c:dLbls>
            <c:dLbl>
              <c:idx val="0"/>
              <c:layout>
                <c:manualLayout>
                  <c:x val="-7.6677316293929737E-2"/>
                  <c:y val="-7.2393822393822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5E-4DF1-B9F5-79B06F0991A0}"/>
                </c:ext>
              </c:extLst>
            </c:dLbl>
            <c:dLbl>
              <c:idx val="1"/>
              <c:layout>
                <c:manualLayout>
                  <c:x val="-8.9456869009584661E-2"/>
                  <c:y val="-5.791505791505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5E-4DF1-B9F5-79B06F0991A0}"/>
                </c:ext>
              </c:extLst>
            </c:dLbl>
            <c:dLbl>
              <c:idx val="2"/>
              <c:layout>
                <c:manualLayout>
                  <c:x val="-8.5197018104366432E-2"/>
                  <c:y val="-6.2741312741312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5E-4DF1-B9F5-79B06F0991A0}"/>
                </c:ext>
              </c:extLst>
            </c:dLbl>
            <c:dLbl>
              <c:idx val="3"/>
              <c:layout>
                <c:manualLayout>
                  <c:x val="-8.5197018104366348E-2"/>
                  <c:y val="-7.2393822393822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5E-4DF1-B9F5-79B06F0991A0}"/>
                </c:ext>
              </c:extLst>
            </c:dLbl>
            <c:dLbl>
              <c:idx val="4"/>
              <c:layout>
                <c:manualLayout>
                  <c:x val="-8.9456869009584661E-2"/>
                  <c:y val="-6.032818532818535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1927582534611289"/>
                      <c:h val="6.3706563706563704E-2"/>
                    </c:manualLayout>
                  </c15:layout>
                </c:ext>
                <c:ext xmlns:c16="http://schemas.microsoft.com/office/drawing/2014/chart" uri="{C3380CC4-5D6E-409C-BE32-E72D297353CC}">
                  <c16:uniqueId val="{00000006-765E-4DF1-B9F5-79B06F0991A0}"/>
                </c:ext>
              </c:extLst>
            </c:dLbl>
            <c:dLbl>
              <c:idx val="5"/>
              <c:layout>
                <c:manualLayout>
                  <c:x val="-0.11075612353567617"/>
                  <c:y val="-4.82625482625482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5E-4DF1-B9F5-79B06F0991A0}"/>
                </c:ext>
              </c:extLst>
            </c:dLbl>
            <c:dLbl>
              <c:idx val="6"/>
              <c:layout>
                <c:manualLayout>
                  <c:x val="-6.8157614483493237E-2"/>
                  <c:y val="-4.343629343629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65E-4DF1-B9F5-79B06F0991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Mayo</c:v>
                </c:pt>
                <c:pt idx="1">
                  <c:v>Junio</c:v>
                </c:pt>
                <c:pt idx="2">
                  <c:v>Julio</c:v>
                </c:pt>
                <c:pt idx="3">
                  <c:v>Agosto</c:v>
                </c:pt>
                <c:pt idx="4">
                  <c:v>Septiembre</c:v>
                </c:pt>
                <c:pt idx="5">
                  <c:v>Octubre</c:v>
                </c:pt>
                <c:pt idx="6">
                  <c:v>Noviembre</c:v>
                </c:pt>
              </c:strCache>
            </c:strRef>
          </c:cat>
          <c:val>
            <c:numRef>
              <c:f>Sheet1!$D$2:$D$8</c:f>
              <c:numCache>
                <c:formatCode>0.0%</c:formatCode>
                <c:ptCount val="7"/>
                <c:pt idx="0">
                  <c:v>0.14515263518138263</c:v>
                </c:pt>
                <c:pt idx="1">
                  <c:v>0.27423018480492817</c:v>
                </c:pt>
                <c:pt idx="2">
                  <c:v>0.33780492628336761</c:v>
                </c:pt>
                <c:pt idx="3">
                  <c:v>0.4815549410260096</c:v>
                </c:pt>
                <c:pt idx="4">
                  <c:v>0.67133940977344286</c:v>
                </c:pt>
                <c:pt idx="5">
                  <c:v>0.76332962195687892</c:v>
                </c:pt>
                <c:pt idx="6">
                  <c:v>0.82008213552361398</c:v>
                </c:pt>
              </c:numCache>
            </c:numRef>
          </c:val>
          <c:smooth val="1"/>
          <c:extLst xmlns:c16r2="http://schemas.microsoft.com/office/drawing/2015/06/chart">
            <c:ext xmlns:c16="http://schemas.microsoft.com/office/drawing/2014/chart" uri="{C3380CC4-5D6E-409C-BE32-E72D297353CC}">
              <c16:uniqueId val="{00000009-765E-4DF1-B9F5-79B06F0991A0}"/>
            </c:ext>
          </c:extLst>
        </c:ser>
        <c:dLbls>
          <c:showLegendKey val="0"/>
          <c:showVal val="0"/>
          <c:showCatName val="0"/>
          <c:showSerName val="0"/>
          <c:showPercent val="0"/>
          <c:showBubbleSize val="0"/>
        </c:dLbls>
        <c:marker val="1"/>
        <c:smooth val="0"/>
        <c:axId val="94751360"/>
        <c:axId val="94749824"/>
      </c:lineChart>
      <c:catAx>
        <c:axId val="9468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686592"/>
        <c:crosses val="autoZero"/>
        <c:auto val="1"/>
        <c:lblAlgn val="ctr"/>
        <c:lblOffset val="100"/>
        <c:noMultiLvlLbl val="0"/>
      </c:catAx>
      <c:valAx>
        <c:axId val="946865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685056"/>
        <c:crosses val="autoZero"/>
        <c:crossBetween val="between"/>
      </c:valAx>
      <c:valAx>
        <c:axId val="9474982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751360"/>
        <c:crosses val="max"/>
        <c:crossBetween val="between"/>
      </c:valAx>
      <c:catAx>
        <c:axId val="94751360"/>
        <c:scaling>
          <c:orientation val="minMax"/>
        </c:scaling>
        <c:delete val="1"/>
        <c:axPos val="b"/>
        <c:numFmt formatCode="General" sourceLinked="1"/>
        <c:majorTickMark val="out"/>
        <c:minorTickMark val="none"/>
        <c:tickLblPos val="nextTo"/>
        <c:crossAx val="9474982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63101976470195"/>
          <c:y val="9.8594305779345165E-2"/>
          <c:w val="0.40306809891575057"/>
          <c:h val="0.18711997993494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3106524949686"/>
          <c:y val="5.5795079888409843E-2"/>
          <c:w val="0.76575147494318307"/>
          <c:h val="0.69015456401283171"/>
        </c:manualLayout>
      </c:layout>
      <c:barChart>
        <c:barDir val="col"/>
        <c:grouping val="clustered"/>
        <c:varyColors val="0"/>
        <c:ser>
          <c:idx val="0"/>
          <c:order val="0"/>
          <c:tx>
            <c:strRef>
              <c:f>Sheet1!$B$1</c:f>
              <c:strCache>
                <c:ptCount val="1"/>
                <c:pt idx="0">
                  <c:v>Presupuesto</c:v>
                </c:pt>
              </c:strCache>
            </c:strRef>
          </c:tx>
          <c:spPr>
            <a:solidFill>
              <a:schemeClr val="accent6"/>
            </a:solidFill>
            <a:ln>
              <a:noFill/>
            </a:ln>
            <a:effectLst>
              <a:outerShdw blurRad="50800" dist="38100" algn="l" rotWithShape="0">
                <a:prstClr val="black">
                  <a:alpha val="40000"/>
                </a:prstClr>
              </a:outerShdw>
            </a:effectLst>
          </c:spPr>
          <c:invertIfNegative val="0"/>
          <c:dLbls>
            <c:dLbl>
              <c:idx val="2"/>
              <c:layout>
                <c:manualLayout>
                  <c:x val="0"/>
                  <c:y val="1.44412422817651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B8-4F7E-8525-8BDB00D83BFD}"/>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Sheet1!$B$2:$B$4</c:f>
              <c:numCache>
                <c:formatCode>#,##0.0</c:formatCode>
                <c:ptCount val="3"/>
                <c:pt idx="0">
                  <c:v>2250</c:v>
                </c:pt>
                <c:pt idx="1">
                  <c:v>11000</c:v>
                </c:pt>
                <c:pt idx="2">
                  <c:v>1360</c:v>
                </c:pt>
              </c:numCache>
            </c:numRef>
          </c:val>
          <c:extLst xmlns:c16r2="http://schemas.microsoft.com/office/drawing/2015/06/chart">
            <c:ext xmlns:c16="http://schemas.microsoft.com/office/drawing/2014/chart" uri="{C3380CC4-5D6E-409C-BE32-E72D297353CC}">
              <c16:uniqueId val="{00000001-4FB8-4F7E-8525-8BDB00D83BFD}"/>
            </c:ext>
          </c:extLst>
        </c:ser>
        <c:ser>
          <c:idx val="1"/>
          <c:order val="1"/>
          <c:tx>
            <c:strRef>
              <c:f>Sheet1!$C$1</c:f>
              <c:strCache>
                <c:ptCount val="1"/>
                <c:pt idx="0">
                  <c:v>Ejecución</c:v>
                </c:pt>
              </c:strCache>
            </c:strRef>
          </c:tx>
          <c:spPr>
            <a:solidFill>
              <a:schemeClr val="accent5"/>
            </a:solidFill>
            <a:ln>
              <a:noFill/>
            </a:ln>
            <a:effectLst>
              <a:outerShdw blurRad="50800" dist="38100" algn="l" rotWithShape="0">
                <a:prstClr val="black">
                  <a:alpha val="40000"/>
                </a:prstClr>
              </a:outerShdw>
            </a:effectLst>
          </c:spPr>
          <c:invertIfNegative val="0"/>
          <c:dLbls>
            <c:dLbl>
              <c:idx val="0"/>
              <c:layout>
                <c:manualLayout>
                  <c:x val="0"/>
                  <c:y val="2.137101342548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B8-4F7E-8525-8BDB00D83BFD}"/>
                </c:ext>
              </c:extLst>
            </c:dLbl>
            <c:dLbl>
              <c:idx val="2"/>
              <c:layout>
                <c:manualLayout>
                  <c:x val="-1.5536543684363381E-16"/>
                  <c:y val="2.4870772673199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B8-4F7E-8525-8BDB00D83BFD}"/>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Sheet1!$C$2:$C$4</c:f>
              <c:numCache>
                <c:formatCode>#,##0.0</c:formatCode>
                <c:ptCount val="3"/>
                <c:pt idx="0">
                  <c:v>1036.9000000000001</c:v>
                </c:pt>
                <c:pt idx="1">
                  <c:v>10228.99</c:v>
                </c:pt>
                <c:pt idx="2">
                  <c:v>715.51</c:v>
                </c:pt>
              </c:numCache>
            </c:numRef>
          </c:val>
          <c:extLst xmlns:c16r2="http://schemas.microsoft.com/office/drawing/2015/06/chart">
            <c:ext xmlns:c16="http://schemas.microsoft.com/office/drawing/2014/chart" uri="{C3380CC4-5D6E-409C-BE32-E72D297353CC}">
              <c16:uniqueId val="{00000004-4FB8-4F7E-8525-8BDB00D83BFD}"/>
            </c:ext>
          </c:extLst>
        </c:ser>
        <c:dLbls>
          <c:showLegendKey val="0"/>
          <c:showVal val="0"/>
          <c:showCatName val="0"/>
          <c:showSerName val="0"/>
          <c:showPercent val="0"/>
          <c:showBubbleSize val="0"/>
        </c:dLbls>
        <c:gapWidth val="150"/>
        <c:axId val="100562432"/>
        <c:axId val="100563968"/>
      </c:barChart>
      <c:lineChart>
        <c:grouping val="standard"/>
        <c:varyColors val="0"/>
        <c:ser>
          <c:idx val="2"/>
          <c:order val="2"/>
          <c:tx>
            <c:strRef>
              <c:f>Sheet1!$D$1</c:f>
              <c:strCache>
                <c:ptCount val="1"/>
                <c:pt idx="0">
                  <c:v>% de ejecución</c:v>
                </c:pt>
              </c:strCache>
            </c:strRef>
          </c:tx>
          <c:spPr>
            <a:ln w="28575" cap="rnd">
              <a:noFill/>
              <a:round/>
            </a:ln>
            <a:effectLst/>
          </c:spPr>
          <c:marker>
            <c:symbol val="diamond"/>
            <c:size val="11"/>
            <c:spPr>
              <a:solidFill>
                <a:schemeClr val="accent4"/>
              </a:solidFill>
              <a:ln w="9525">
                <a:solidFill>
                  <a:schemeClr val="tx1">
                    <a:lumMod val="95000"/>
                    <a:lumOff val="5000"/>
                  </a:schemeClr>
                </a:solidFill>
              </a:ln>
              <a:effectLst/>
            </c:spPr>
          </c:marker>
          <c:dLbls>
            <c:dLbl>
              <c:idx val="0"/>
              <c:layout>
                <c:manualLayout>
                  <c:x val="-0.10169491525423729"/>
                  <c:y val="-5.3956834532374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B8-4F7E-8525-8BDB00D83BFD}"/>
                </c:ext>
              </c:extLst>
            </c:dLbl>
            <c:dLbl>
              <c:idx val="2"/>
              <c:layout>
                <c:manualLayout>
                  <c:x val="-0.11016949152542373"/>
                  <c:y val="-5.3956834532374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B8-4F7E-8525-8BDB00D83BF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Sheet1!$D$2:$D$4</c:f>
              <c:numCache>
                <c:formatCode>0.0%</c:formatCode>
                <c:ptCount val="3"/>
                <c:pt idx="0">
                  <c:v>0.4608444444444445</c:v>
                </c:pt>
                <c:pt idx="1">
                  <c:v>0.9299081818181818</c:v>
                </c:pt>
                <c:pt idx="2">
                  <c:v>0.52611029411764709</c:v>
                </c:pt>
              </c:numCache>
            </c:numRef>
          </c:val>
          <c:smooth val="0"/>
          <c:extLst xmlns:c16r2="http://schemas.microsoft.com/office/drawing/2015/06/chart">
            <c:ext xmlns:c16="http://schemas.microsoft.com/office/drawing/2014/chart" uri="{C3380CC4-5D6E-409C-BE32-E72D297353CC}">
              <c16:uniqueId val="{00000007-4FB8-4F7E-8525-8BDB00D83BFD}"/>
            </c:ext>
          </c:extLst>
        </c:ser>
        <c:dLbls>
          <c:showLegendKey val="0"/>
          <c:showVal val="0"/>
          <c:showCatName val="0"/>
          <c:showSerName val="0"/>
          <c:showPercent val="0"/>
          <c:showBubbleSize val="0"/>
        </c:dLbls>
        <c:marker val="1"/>
        <c:smooth val="0"/>
        <c:axId val="100591872"/>
        <c:axId val="100590336"/>
      </c:lineChart>
      <c:catAx>
        <c:axId val="1005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00563968"/>
        <c:crosses val="autoZero"/>
        <c:auto val="1"/>
        <c:lblAlgn val="ctr"/>
        <c:lblOffset val="100"/>
        <c:noMultiLvlLbl val="0"/>
      </c:catAx>
      <c:valAx>
        <c:axId val="1005639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00562432"/>
        <c:crosses val="autoZero"/>
        <c:crossBetween val="between"/>
      </c:valAx>
      <c:valAx>
        <c:axId val="1005903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00591872"/>
        <c:crosses val="max"/>
        <c:crossBetween val="between"/>
      </c:valAx>
      <c:catAx>
        <c:axId val="100591872"/>
        <c:scaling>
          <c:orientation val="minMax"/>
        </c:scaling>
        <c:delete val="1"/>
        <c:axPos val="b"/>
        <c:numFmt formatCode="General" sourceLinked="1"/>
        <c:majorTickMark val="out"/>
        <c:minorTickMark val="none"/>
        <c:tickLblPos val="nextTo"/>
        <c:crossAx val="100590336"/>
        <c:crosses val="autoZero"/>
        <c:auto val="1"/>
        <c:lblAlgn val="ctr"/>
        <c:lblOffset val="100"/>
        <c:noMultiLvlLbl val="0"/>
      </c:catAx>
      <c:spPr>
        <a:noFill/>
        <a:ln>
          <a:noFill/>
        </a:ln>
        <a:effectLst/>
      </c:spPr>
    </c:plotArea>
    <c:legend>
      <c:legendPos val="b"/>
      <c:layout>
        <c:manualLayout>
          <c:xMode val="edge"/>
          <c:yMode val="edge"/>
          <c:x val="0.12300914186574136"/>
          <c:y val="1.8814436639664648E-2"/>
          <c:w val="0.82042873348458556"/>
          <c:h val="7.13370248682943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 </a:t>
            </a:r>
          </a:p>
        </c:rich>
      </c:tx>
      <c:overlay val="0"/>
      <c:spPr>
        <a:noFill/>
        <a:ln>
          <a:noFill/>
        </a:ln>
        <a:effectLst/>
      </c:spPr>
    </c:title>
    <c:autoTitleDeleted val="0"/>
    <c:plotArea>
      <c:layout>
        <c:manualLayout>
          <c:layoutTarget val="inner"/>
          <c:xMode val="edge"/>
          <c:yMode val="edge"/>
          <c:x val="0.11727879913015307"/>
          <c:y val="4.0439424538791451E-2"/>
          <c:w val="0.86393025705489701"/>
          <c:h val="0.85067564501123238"/>
        </c:manualLayout>
      </c:layout>
      <c:lineChart>
        <c:grouping val="standard"/>
        <c:varyColors val="0"/>
        <c:ser>
          <c:idx val="0"/>
          <c:order val="0"/>
          <c:tx>
            <c:strRef>
              <c:f>Hoja1!$B$1</c:f>
              <c:strCache>
                <c:ptCount val="1"/>
                <c:pt idx="0">
                  <c:v>Presupuesto</c:v>
                </c:pt>
              </c:strCache>
            </c:strRef>
          </c:tx>
          <c:spPr>
            <a:ln w="22225" cap="rnd">
              <a:solidFill>
                <a:schemeClr val="accent1"/>
              </a:solidFill>
              <a:round/>
            </a:ln>
            <a:effectLst>
              <a:glow rad="63500">
                <a:srgbClr val="FFFF00">
                  <a:alpha val="40000"/>
                </a:srgbClr>
              </a:glow>
            </a:effectLst>
          </c:spPr>
          <c:marker>
            <c:symbol val="diamond"/>
            <c:size val="6"/>
            <c:spPr>
              <a:solidFill>
                <a:schemeClr val="bg1"/>
              </a:solidFill>
              <a:ln w="15875">
                <a:solidFill>
                  <a:schemeClr val="accent1"/>
                </a:solidFill>
                <a:round/>
              </a:ln>
              <a:effectLst>
                <a:glow rad="63500">
                  <a:srgbClr val="FFFF00">
                    <a:alpha val="40000"/>
                  </a:srgbClr>
                </a:glow>
              </a:effectLst>
            </c:spPr>
          </c:marker>
          <c:dLbls>
            <c:dLbl>
              <c:idx val="0"/>
              <c:layout>
                <c:manualLayout>
                  <c:x val="-2.34047795023405E-2"/>
                  <c:y val="-4.5946697224806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CC-487D-A69E-2DDB204745CC}"/>
                </c:ext>
              </c:extLst>
            </c:dLbl>
            <c:dLbl>
              <c:idx val="1"/>
              <c:layout>
                <c:manualLayout>
                  <c:x val="-0.15942199107030441"/>
                  <c:y val="4.39734863650517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A1-47C9-84EE-C9C64F1FEDFF}"/>
                </c:ext>
              </c:extLst>
            </c:dLbl>
            <c:dLbl>
              <c:idx val="2"/>
              <c:layout>
                <c:manualLayout>
                  <c:x val="-1.6334563345633456E-2"/>
                  <c:y val="-5.01732283464567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A1-47C9-84EE-C9C64F1FEDFF}"/>
                </c:ext>
              </c:extLst>
            </c:dLbl>
            <c:dLbl>
              <c:idx val="3"/>
              <c:layout>
                <c:manualLayout>
                  <c:x val="-0.18361623616236167"/>
                  <c:y val="5.15064430505508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A1-47C9-84EE-C9C64F1FEDFF}"/>
                </c:ext>
              </c:extLst>
            </c:dLbl>
            <c:dLbl>
              <c:idx val="4"/>
              <c:layout>
                <c:manualLayout>
                  <c:x val="-0.11617475859797968"/>
                  <c:y val="-0.1744822575144208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A1-47C9-84EE-C9C64F1FEDFF}"/>
                </c:ext>
              </c:extLst>
            </c:dLbl>
            <c:dLbl>
              <c:idx val="5"/>
              <c:layout>
                <c:manualLayout>
                  <c:x val="-0.10489544895448955"/>
                  <c:y val="0.134368966591040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A1-47C9-84EE-C9C64F1FEDFF}"/>
                </c:ext>
              </c:extLst>
            </c:dLbl>
            <c:dLbl>
              <c:idx val="6"/>
              <c:layout>
                <c:manualLayout>
                  <c:x val="4.618686501825648E-2"/>
                  <c:y val="-6.90208639174340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A1-47C9-84EE-C9C64F1FEDFF}"/>
                </c:ext>
              </c:extLst>
            </c:dLbl>
            <c:dLbl>
              <c:idx val="7"/>
              <c:layout>
                <c:manualLayout>
                  <c:x val="-0.16885608856088569"/>
                  <c:y val="-0.129284517401426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A1-47C9-84EE-C9C64F1FEDFF}"/>
                </c:ext>
              </c:extLst>
            </c:dLbl>
            <c:dLbl>
              <c:idx val="8"/>
              <c:layout>
                <c:manualLayout>
                  <c:x val="-2.125461254612564E-2"/>
                  <c:y val="3.64405296795528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A1-47C9-84EE-C9C64F1FEDFF}"/>
                </c:ext>
              </c:extLst>
            </c:dLbl>
            <c:dLbl>
              <c:idx val="9"/>
              <c:layout>
                <c:manualLayout>
                  <c:x val="-7.7605321507760533E-2"/>
                  <c:y val="-7.16858789625360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CC-487D-A69E-2DDB204745CC}"/>
                </c:ext>
              </c:extLst>
            </c:dLbl>
            <c:dLbl>
              <c:idx val="10"/>
              <c:tx>
                <c:rich>
                  <a:bodyPr/>
                  <a:lstStyle/>
                  <a:p>
                    <a:r>
                      <a:rPr lang="en-US"/>
                      <a:t>8.2</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CC-487D-A69E-2DDB204745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Dic</c:v>
                </c:pt>
              </c:strCache>
            </c:strRef>
          </c:cat>
          <c:val>
            <c:numRef>
              <c:f>Hoja1!$B$2:$B$12</c:f>
              <c:numCache>
                <c:formatCode>General</c:formatCode>
                <c:ptCount val="11"/>
                <c:pt idx="0">
                  <c:v>347.1</c:v>
                </c:pt>
                <c:pt idx="1">
                  <c:v>192.6</c:v>
                </c:pt>
                <c:pt idx="2">
                  <c:v>-314.76373369276735</c:v>
                </c:pt>
                <c:pt idx="3">
                  <c:v>-979.28058514958502</c:v>
                </c:pt>
                <c:pt idx="4">
                  <c:v>-1068.6108046022096</c:v>
                </c:pt>
                <c:pt idx="5">
                  <c:v>-881.41704989829395</c:v>
                </c:pt>
                <c:pt idx="6">
                  <c:v>-1255.3659329025022</c:v>
                </c:pt>
                <c:pt idx="7">
                  <c:v>-697.68197115335124</c:v>
                </c:pt>
                <c:pt idx="8">
                  <c:v>-173.12322185335142</c:v>
                </c:pt>
                <c:pt idx="9">
                  <c:v>307.96601394309982</c:v>
                </c:pt>
                <c:pt idx="10">
                  <c:v>13.237595836169021</c:v>
                </c:pt>
              </c:numCache>
            </c:numRef>
          </c:val>
          <c:smooth val="1"/>
          <c:extLst xmlns:c16r2="http://schemas.microsoft.com/office/drawing/2015/06/chart">
            <c:ext xmlns:c16="http://schemas.microsoft.com/office/drawing/2014/chart" uri="{C3380CC4-5D6E-409C-BE32-E72D297353CC}">
              <c16:uniqueId val="{00000008-A0A1-47C9-84EE-C9C64F1FEDFF}"/>
            </c:ext>
          </c:extLst>
        </c:ser>
        <c:dLbls>
          <c:showLegendKey val="0"/>
          <c:showVal val="0"/>
          <c:showCatName val="0"/>
          <c:showSerName val="0"/>
          <c:showPercent val="0"/>
          <c:showBubbleSize val="0"/>
        </c:dLbls>
        <c:marker val="1"/>
        <c:smooth val="0"/>
        <c:axId val="197300992"/>
        <c:axId val="197302528"/>
      </c:lineChart>
      <c:catAx>
        <c:axId val="1973009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97302528"/>
        <c:crosses val="autoZero"/>
        <c:auto val="1"/>
        <c:lblAlgn val="ctr"/>
        <c:lblOffset val="100"/>
        <c:noMultiLvlLbl val="0"/>
      </c:catAx>
      <c:valAx>
        <c:axId val="19730252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97300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11781968213377E-2"/>
          <c:y val="2.3538927984692669E-2"/>
          <c:w val="0.89263871536353157"/>
          <c:h val="0.89007784760167463"/>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E9B9-4FAE-917D-CD9CEEE2D625}"/>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E9B9-4FAE-917D-CD9CEEE2D625}"/>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E9B9-4FAE-917D-CD9CEEE2D625}"/>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E9B9-4FAE-917D-CD9CEEE2D625}"/>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E9B9-4FAE-917D-CD9CEEE2D625}"/>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E9B9-4FAE-917D-CD9CEEE2D625}"/>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E9B9-4FAE-917D-CD9CEEE2D625}"/>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E9B9-4FAE-917D-CD9CEEE2D625}"/>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E9B9-4FAE-917D-CD9CEEE2D625}"/>
              </c:ext>
            </c:extLst>
          </c:dPt>
          <c:dPt>
            <c:idx val="9"/>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3-E9B9-4FAE-917D-CD9CEEE2D625}"/>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E9B9-4FAE-917D-CD9CEEE2D62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Hoja1!$B$2:$B$12</c:f>
              <c:numCache>
                <c:formatCode>General</c:formatCode>
                <c:ptCount val="11"/>
                <c:pt idx="0">
                  <c:v>233.28750261999994</c:v>
                </c:pt>
                <c:pt idx="1">
                  <c:v>58.151749320000022</c:v>
                </c:pt>
                <c:pt idx="2">
                  <c:v>58.484546320000163</c:v>
                </c:pt>
                <c:pt idx="3">
                  <c:v>-172.83694981999997</c:v>
                </c:pt>
                <c:pt idx="4">
                  <c:v>-148.19916751000005</c:v>
                </c:pt>
                <c:pt idx="5">
                  <c:v>-188.71003741000004</c:v>
                </c:pt>
                <c:pt idx="6">
                  <c:v>-118.84683760000007</c:v>
                </c:pt>
                <c:pt idx="7">
                  <c:v>-165.03238691000013</c:v>
                </c:pt>
                <c:pt idx="8">
                  <c:v>-155.1676679599999</c:v>
                </c:pt>
                <c:pt idx="9">
                  <c:v>184.07476074000033</c:v>
                </c:pt>
                <c:pt idx="10">
                  <c:v>-28.62823963999881</c:v>
                </c:pt>
              </c:numCache>
            </c:numRef>
          </c:val>
          <c:extLst xmlns:c16r2="http://schemas.microsoft.com/office/drawing/2015/06/chart">
            <c:ext xmlns:c16="http://schemas.microsoft.com/office/drawing/2014/chart" uri="{C3380CC4-5D6E-409C-BE32-E72D297353CC}">
              <c16:uniqueId val="{00000016-E9B9-4FAE-917D-CD9CEEE2D625}"/>
            </c:ext>
          </c:extLst>
        </c:ser>
        <c:dLbls>
          <c:showLegendKey val="0"/>
          <c:showVal val="0"/>
          <c:showCatName val="0"/>
          <c:showSerName val="0"/>
          <c:showPercent val="0"/>
          <c:showBubbleSize val="0"/>
        </c:dLbls>
        <c:gapWidth val="10"/>
        <c:overlap val="-43"/>
        <c:axId val="70389760"/>
        <c:axId val="70391296"/>
      </c:barChart>
      <c:catAx>
        <c:axId val="703897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70391296"/>
        <c:crosses val="autoZero"/>
        <c:auto val="1"/>
        <c:lblAlgn val="ctr"/>
        <c:lblOffset val="100"/>
        <c:noMultiLvlLbl val="0"/>
      </c:catAx>
      <c:valAx>
        <c:axId val="703912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703897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436083516168"/>
          <c:y val="2.5030950008961956E-2"/>
          <c:w val="0.81173129412038558"/>
          <c:h val="0.72765492719974334"/>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8"/>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80-4184-A930-B927767BE3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Hoja1!$A$2:$A$60</c:f>
              <c:numCache>
                <c:formatCode>mmm\-yy</c:formatCode>
                <c:ptCount val="59"/>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numCache>
            </c:numRef>
          </c:cat>
          <c:val>
            <c:numRef>
              <c:f>Hoja1!$B$2:$B$60</c:f>
              <c:numCache>
                <c:formatCode>0.0%</c:formatCode>
                <c:ptCount val="59"/>
                <c:pt idx="0">
                  <c:v>4.424943918444435E-2</c:v>
                </c:pt>
                <c:pt idx="1">
                  <c:v>2.643268365127982E-2</c:v>
                </c:pt>
                <c:pt idx="2">
                  <c:v>3.4638111190548049E-2</c:v>
                </c:pt>
                <c:pt idx="3">
                  <c:v>3.26622653918196E-2</c:v>
                </c:pt>
                <c:pt idx="4">
                  <c:v>9.0379431490401618E-2</c:v>
                </c:pt>
                <c:pt idx="5">
                  <c:v>9.2363743549651822E-2</c:v>
                </c:pt>
                <c:pt idx="6">
                  <c:v>0.10610924594334903</c:v>
                </c:pt>
                <c:pt idx="7">
                  <c:v>0.11655301784927863</c:v>
                </c:pt>
                <c:pt idx="8">
                  <c:v>0.11637814431515436</c:v>
                </c:pt>
                <c:pt idx="9">
                  <c:v>0.11486490493072066</c:v>
                </c:pt>
                <c:pt idx="10">
                  <c:v>0.11900714945640045</c:v>
                </c:pt>
                <c:pt idx="11">
                  <c:v>0.12819065443220334</c:v>
                </c:pt>
                <c:pt idx="12">
                  <c:v>5.9182082284754411E-2</c:v>
                </c:pt>
                <c:pt idx="13">
                  <c:v>7.4212646020694439E-2</c:v>
                </c:pt>
                <c:pt idx="14">
                  <c:v>0.10347575974463363</c:v>
                </c:pt>
                <c:pt idx="15">
                  <c:v>0.11723172144890004</c:v>
                </c:pt>
                <c:pt idx="16">
                  <c:v>5.9228800487155286E-2</c:v>
                </c:pt>
                <c:pt idx="17">
                  <c:v>8.9567767108291507E-2</c:v>
                </c:pt>
                <c:pt idx="18">
                  <c:v>6.5256294542686E-2</c:v>
                </c:pt>
                <c:pt idx="19">
                  <c:v>5.3387499574891306E-2</c:v>
                </c:pt>
                <c:pt idx="20">
                  <c:v>5.3652773553085176E-2</c:v>
                </c:pt>
                <c:pt idx="21">
                  <c:v>5.1085057617270557E-2</c:v>
                </c:pt>
                <c:pt idx="22">
                  <c:v>4.7429612878236771E-2</c:v>
                </c:pt>
                <c:pt idx="23">
                  <c:v>3.8832748141549356E-2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0.11702529453413946</c:v>
                </c:pt>
                <c:pt idx="50">
                  <c:v>-4.1573962158442668E-2</c:v>
                </c:pt>
                <c:pt idx="51">
                  <c:v>3.5316051677768412E-2</c:v>
                </c:pt>
                <c:pt idx="52">
                  <c:v>-4.5611348244737338E-3</c:v>
                </c:pt>
                <c:pt idx="53">
                  <c:v>-2.7602865169750523E-2</c:v>
                </c:pt>
                <c:pt idx="54">
                  <c:v>-4.524085752069984E-2</c:v>
                </c:pt>
                <c:pt idx="55">
                  <c:v>-5.0796671322478781E-2</c:v>
                </c:pt>
                <c:pt idx="56">
                  <c:v>-4.5692955003856506E-2</c:v>
                </c:pt>
                <c:pt idx="57">
                  <c:v>-2.3808093412083897E-2</c:v>
                </c:pt>
                <c:pt idx="58">
                  <c:v>-1.8572362483288418E-2</c:v>
                </c:pt>
              </c:numCache>
            </c:numRef>
          </c:val>
          <c:smooth val="0"/>
          <c:extLst xmlns:c16r2="http://schemas.microsoft.com/office/drawing/2015/06/chart">
            <c:ext xmlns:c16="http://schemas.microsoft.com/office/drawing/2014/chart" uri="{C3380CC4-5D6E-409C-BE32-E72D297353CC}">
              <c16:uniqueId val="{00000001-BE80-4184-A930-B927767BE395}"/>
            </c:ext>
          </c:extLst>
        </c:ser>
        <c:ser>
          <c:idx val="1"/>
          <c:order val="1"/>
          <c:tx>
            <c:strRef>
              <c:f>Hoja1!$C$1</c:f>
              <c:strCache>
                <c:ptCount val="1"/>
                <c:pt idx="0">
                  <c:v>Aduanas</c:v>
                </c:pt>
              </c:strCache>
            </c:strRef>
          </c:tx>
          <c:spPr>
            <a:ln w="22225" cap="rnd">
              <a:solidFill>
                <a:schemeClr val="accent6"/>
              </a:solidFill>
              <a:round/>
            </a:ln>
            <a:effectLst/>
          </c:spPr>
          <c:marker>
            <c:symbol val="none"/>
          </c:marker>
          <c:dLbls>
            <c:dLbl>
              <c:idx val="5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80-4184-A930-B927767BE3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Hoja1!$A$2:$A$60</c:f>
              <c:numCache>
                <c:formatCode>mmm\-yy</c:formatCode>
                <c:ptCount val="59"/>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numCache>
            </c:numRef>
          </c:cat>
          <c:val>
            <c:numRef>
              <c:f>Hoja1!$C$2:$C$60</c:f>
              <c:numCache>
                <c:formatCode>0.0%</c:formatCode>
                <c:ptCount val="59"/>
                <c:pt idx="0">
                  <c:v>-3.074061674235995E-2</c:v>
                </c:pt>
                <c:pt idx="1">
                  <c:v>-8.2683265494918334E-3</c:v>
                </c:pt>
                <c:pt idx="2">
                  <c:v>-3.4892831345091135E-2</c:v>
                </c:pt>
                <c:pt idx="3">
                  <c:v>-7.8077923586968856E-3</c:v>
                </c:pt>
                <c:pt idx="4">
                  <c:v>-7.3763902362521394E-3</c:v>
                </c:pt>
                <c:pt idx="5">
                  <c:v>7.8420292078540399E-4</c:v>
                </c:pt>
                <c:pt idx="6">
                  <c:v>-2.6337873050912619E-2</c:v>
                </c:pt>
                <c:pt idx="7">
                  <c:v>-1.2524519959355107E-2</c:v>
                </c:pt>
                <c:pt idx="8">
                  <c:v>-1.1445146411512397E-2</c:v>
                </c:pt>
                <c:pt idx="9">
                  <c:v>-1.8433826052644431E-2</c:v>
                </c:pt>
                <c:pt idx="10">
                  <c:v>-1.051112797892062E-2</c:v>
                </c:pt>
                <c:pt idx="11">
                  <c:v>-7.2746433534310873E-3</c:v>
                </c:pt>
                <c:pt idx="12">
                  <c:v>0.10614681311325014</c:v>
                </c:pt>
                <c:pt idx="13">
                  <c:v>7.2752015905392486E-2</c:v>
                </c:pt>
                <c:pt idx="14">
                  <c:v>9.3348002892399196E-2</c:v>
                </c:pt>
                <c:pt idx="15">
                  <c:v>3.0864910932986156E-2</c:v>
                </c:pt>
                <c:pt idx="16">
                  <c:v>3.4568977151425928E-2</c:v>
                </c:pt>
                <c:pt idx="17">
                  <c:v>3.9623468418318541E-2</c:v>
                </c:pt>
                <c:pt idx="18">
                  <c:v>4.9776252684956557E-2</c:v>
                </c:pt>
                <c:pt idx="19">
                  <c:v>4.8512568678109158E-2</c:v>
                </c:pt>
                <c:pt idx="20">
                  <c:v>3.9267322923518311E-2</c:v>
                </c:pt>
                <c:pt idx="21">
                  <c:v>5.3547664989434196E-2</c:v>
                </c:pt>
                <c:pt idx="22">
                  <c:v>6.4620526664914912E-2</c:v>
                </c:pt>
                <c:pt idx="23">
                  <c:v>7.1192261205467844E-2</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-1.1437467318872518E-2</c:v>
                </c:pt>
                <c:pt idx="51">
                  <c:v>-5.8413143875957307E-2</c:v>
                </c:pt>
                <c:pt idx="52">
                  <c:v>-0.11298967478449173</c:v>
                </c:pt>
                <c:pt idx="53">
                  <c:v>-0.11820865466328623</c:v>
                </c:pt>
                <c:pt idx="54">
                  <c:v>-0.12526525776931619</c:v>
                </c:pt>
                <c:pt idx="55">
                  <c:v>-0.12933173997672998</c:v>
                </c:pt>
                <c:pt idx="56">
                  <c:v>-0.11757513849863643</c:v>
                </c:pt>
                <c:pt idx="57">
                  <c:v>-0.11177839486337071</c:v>
                </c:pt>
                <c:pt idx="58">
                  <c:v>-0.10339897451150104</c:v>
                </c:pt>
              </c:numCache>
            </c:numRef>
          </c:val>
          <c:smooth val="0"/>
          <c:extLst xmlns:c16r2="http://schemas.microsoft.com/office/drawing/2015/06/chart">
            <c:ext xmlns:c16="http://schemas.microsoft.com/office/drawing/2014/chart" uri="{C3380CC4-5D6E-409C-BE32-E72D297353CC}">
              <c16:uniqueId val="{00000003-BE80-4184-A930-B927767BE395}"/>
            </c:ext>
          </c:extLst>
        </c:ser>
        <c:ser>
          <c:idx val="2"/>
          <c:order val="2"/>
          <c:tx>
            <c:strRef>
              <c:f>Hoja1!$D$1</c:f>
              <c:strCache>
                <c:ptCount val="1"/>
                <c:pt idx="0">
                  <c:v>Totales</c:v>
                </c:pt>
              </c:strCache>
            </c:strRef>
          </c:tx>
          <c:spPr>
            <a:ln w="22225" cap="rnd">
              <a:solidFill>
                <a:schemeClr val="accent3"/>
              </a:solidFill>
              <a:round/>
            </a:ln>
            <a:effectLst/>
          </c:spPr>
          <c:marker>
            <c:symbol val="none"/>
          </c:marker>
          <c:dLbls>
            <c:dLbl>
              <c:idx val="5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80-4184-A930-B927767BE3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Hoja1!$A$2:$A$60</c:f>
              <c:numCache>
                <c:formatCode>mmm\-yy</c:formatCode>
                <c:ptCount val="59"/>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numCache>
            </c:numRef>
          </c:cat>
          <c:val>
            <c:numRef>
              <c:f>Hoja1!$D$2:$D$60</c:f>
              <c:numCache>
                <c:formatCode>0.0%</c:formatCode>
                <c:ptCount val="59"/>
                <c:pt idx="0">
                  <c:v>2.6818050354776579E-2</c:v>
                </c:pt>
                <c:pt idx="1">
                  <c:v>1.7037438450319575E-2</c:v>
                </c:pt>
                <c:pt idx="2">
                  <c:v>1.5090896491614769E-2</c:v>
                </c:pt>
                <c:pt idx="3">
                  <c:v>2.193593869869237E-2</c:v>
                </c:pt>
                <c:pt idx="4">
                  <c:v>6.3074722971557362E-2</c:v>
                </c:pt>
                <c:pt idx="5">
                  <c:v>6.605323003950736E-2</c:v>
                </c:pt>
                <c:pt idx="6">
                  <c:v>6.9339644115689492E-2</c:v>
                </c:pt>
                <c:pt idx="7">
                  <c:v>7.9831348295670734E-2</c:v>
                </c:pt>
                <c:pt idx="8">
                  <c:v>7.9010789607875553E-2</c:v>
                </c:pt>
                <c:pt idx="9">
                  <c:v>7.668263629211669E-2</c:v>
                </c:pt>
                <c:pt idx="10">
                  <c:v>8.1104109219026999E-2</c:v>
                </c:pt>
                <c:pt idx="11">
                  <c:v>8.8048669447153838E-2</c:v>
                </c:pt>
                <c:pt idx="12">
                  <c:v>6.9487050821729124E-2</c:v>
                </c:pt>
                <c:pt idx="13">
                  <c:v>7.3827022517823249E-2</c:v>
                </c:pt>
                <c:pt idx="14">
                  <c:v>0.10076874487525411</c:v>
                </c:pt>
                <c:pt idx="15">
                  <c:v>9.5007005592681271E-2</c:v>
                </c:pt>
                <c:pt idx="16">
                  <c:v>5.279739808014261E-2</c:v>
                </c:pt>
                <c:pt idx="17">
                  <c:v>7.6097434045871548E-2</c:v>
                </c:pt>
                <c:pt idx="18">
                  <c:v>6.1343282800082166E-2</c:v>
                </c:pt>
                <c:pt idx="19">
                  <c:v>5.2119232848030217E-2</c:v>
                </c:pt>
                <c:pt idx="20">
                  <c:v>4.9799934948974389E-2</c:v>
                </c:pt>
                <c:pt idx="21">
                  <c:v>5.1728134301197937E-2</c:v>
                </c:pt>
                <c:pt idx="22">
                  <c:v>5.2034143286658452E-2</c:v>
                </c:pt>
                <c:pt idx="23">
                  <c:v>4.7581650280832166E-2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9.4955364780330287E-2</c:v>
                </c:pt>
                <c:pt idx="50">
                  <c:v>-3.312863779283215E-2</c:v>
                </c:pt>
                <c:pt idx="51">
                  <c:v>1.0677030515781283E-2</c:v>
                </c:pt>
                <c:pt idx="52">
                  <c:v>-3.4558195502750189E-2</c:v>
                </c:pt>
                <c:pt idx="53">
                  <c:v>-5.3221256669586214E-2</c:v>
                </c:pt>
                <c:pt idx="54">
                  <c:v>-6.6851326198891781E-2</c:v>
                </c:pt>
                <c:pt idx="55">
                  <c:v>-7.2573884046020942E-2</c:v>
                </c:pt>
                <c:pt idx="56">
                  <c:v>-6.60269040624204E-2</c:v>
                </c:pt>
                <c:pt idx="57">
                  <c:v>-4.8254057700763964E-2</c:v>
                </c:pt>
                <c:pt idx="58">
                  <c:v>-4.2795679875669679E-2</c:v>
                </c:pt>
              </c:numCache>
            </c:numRef>
          </c:val>
          <c:smooth val="0"/>
          <c:extLst xmlns:c16r2="http://schemas.microsoft.com/office/drawing/2015/06/chart">
            <c:ext xmlns:c16="http://schemas.microsoft.com/office/drawing/2014/chart" uri="{C3380CC4-5D6E-409C-BE32-E72D297353CC}">
              <c16:uniqueId val="{00000005-BE80-4184-A930-B927767BE395}"/>
            </c:ext>
          </c:extLst>
        </c:ser>
        <c:dLbls>
          <c:showLegendKey val="0"/>
          <c:showVal val="1"/>
          <c:showCatName val="0"/>
          <c:showSerName val="0"/>
          <c:showPercent val="0"/>
          <c:showBubbleSize val="0"/>
        </c:dLbls>
        <c:marker val="1"/>
        <c:smooth val="0"/>
        <c:axId val="94051328"/>
        <c:axId val="94061312"/>
      </c:lineChart>
      <c:dateAx>
        <c:axId val="94051328"/>
        <c:scaling>
          <c:orientation val="minMax"/>
          <c:max val="44166"/>
        </c:scaling>
        <c:delete val="0"/>
        <c:axPos val="b"/>
        <c:numFmt formatCode="mmm\-yy"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4061312"/>
        <c:crosses val="autoZero"/>
        <c:auto val="0"/>
        <c:lblOffset val="100"/>
        <c:baseTimeUnit val="months"/>
        <c:majorUnit val="2"/>
        <c:majorTimeUnit val="months"/>
      </c:dateAx>
      <c:valAx>
        <c:axId val="940613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4051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9809880775973113E-2"/>
          <c:y val="0.90792052403969625"/>
          <c:w val="0.89054014004706972"/>
          <c:h val="9.20794759603036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304717279506"/>
          <c:y val="2.3351650833320785E-2"/>
          <c:w val="0.74812538676567863"/>
          <c:h val="0.92124358260188799"/>
        </c:manualLayout>
      </c:layout>
      <c:barChart>
        <c:barDir val="bar"/>
        <c:grouping val="clustered"/>
        <c:varyColors val="0"/>
        <c:ser>
          <c:idx val="0"/>
          <c:order val="0"/>
          <c:tx>
            <c:strRef>
              <c:f>Hoja1!$B$1</c:f>
              <c:strCache>
                <c:ptCount val="1"/>
                <c:pt idx="0">
                  <c:v>2020-2019</c:v>
                </c:pt>
              </c:strCache>
            </c:strRef>
          </c:tx>
          <c:spPr>
            <a:solidFill>
              <a:schemeClr val="accent1"/>
            </a:solidFill>
            <a:ln>
              <a:noFill/>
            </a:ln>
            <a:effectLst/>
          </c:spPr>
          <c:invertIfNegative val="0"/>
          <c:dLbls>
            <c:dLbl>
              <c:idx val="8"/>
              <c:layout>
                <c:manualLayout>
                  <c:x val="0"/>
                  <c:y val="3.60360360360360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9E-4416-AC9E-048E81F2325F}"/>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IVA dom</c:v>
                </c:pt>
                <c:pt idx="2">
                  <c:v>ISR</c:v>
                </c:pt>
                <c:pt idx="3">
                  <c:v>DAI</c:v>
                </c:pt>
                <c:pt idx="4">
                  <c:v>IPRIMA</c:v>
                </c:pt>
                <c:pt idx="5">
                  <c:v>Salidas</c:v>
                </c:pt>
                <c:pt idx="6">
                  <c:v>Petróleo</c:v>
                </c:pt>
                <c:pt idx="7">
                  <c:v>Timbres</c:v>
                </c:pt>
                <c:pt idx="8">
                  <c:v>Regalías</c:v>
                </c:pt>
                <c:pt idx="9">
                  <c:v>Tabacos</c:v>
                </c:pt>
                <c:pt idx="10">
                  <c:v>Vehículos</c:v>
                </c:pt>
                <c:pt idx="11">
                  <c:v>ISO</c:v>
                </c:pt>
                <c:pt idx="12">
                  <c:v>Propiedad</c:v>
                </c:pt>
                <c:pt idx="13">
                  <c:v>Otros</c:v>
                </c:pt>
                <c:pt idx="14">
                  <c:v>IEMA</c:v>
                </c:pt>
                <c:pt idx="15">
                  <c:v>IETAAP</c:v>
                </c:pt>
                <c:pt idx="16">
                  <c:v>Cemento</c:v>
                </c:pt>
                <c:pt idx="17">
                  <c:v>Bebidas</c:v>
                </c:pt>
              </c:strCache>
            </c:strRef>
          </c:cat>
          <c:val>
            <c:numRef>
              <c:f>Hoja1!$B$2:$B$19</c:f>
              <c:numCache>
                <c:formatCode>#,##0.0</c:formatCode>
                <c:ptCount val="18"/>
                <c:pt idx="0">
                  <c:v>-1412.9493174499949</c:v>
                </c:pt>
                <c:pt idx="1">
                  <c:v>-1.524312679992363</c:v>
                </c:pt>
                <c:pt idx="2">
                  <c:v>-119.53602659999524</c:v>
                </c:pt>
                <c:pt idx="3">
                  <c:v>-287.85207149999769</c:v>
                </c:pt>
                <c:pt idx="4">
                  <c:v>-162.17852009000046</c:v>
                </c:pt>
                <c:pt idx="5">
                  <c:v>-202.43761360000002</c:v>
                </c:pt>
                <c:pt idx="6">
                  <c:v>-356.29378263999888</c:v>
                </c:pt>
                <c:pt idx="7">
                  <c:v>-58.756686919999765</c:v>
                </c:pt>
                <c:pt idx="8">
                  <c:v>-59.22167318999999</c:v>
                </c:pt>
                <c:pt idx="9">
                  <c:v>-70.756618579999952</c:v>
                </c:pt>
                <c:pt idx="10">
                  <c:v>-14.835903350000081</c:v>
                </c:pt>
                <c:pt idx="11">
                  <c:v>266.75726916999884</c:v>
                </c:pt>
                <c:pt idx="12">
                  <c:v>-21.428038840000017</c:v>
                </c:pt>
                <c:pt idx="13">
                  <c:v>0.35830982999999961</c:v>
                </c:pt>
                <c:pt idx="14">
                  <c:v>1.8875065600000003</c:v>
                </c:pt>
                <c:pt idx="15">
                  <c:v>-4.1352481499999989</c:v>
                </c:pt>
                <c:pt idx="16">
                  <c:v>14.507433170000027</c:v>
                </c:pt>
                <c:pt idx="17">
                  <c:v>23.288138489999938</c:v>
                </c:pt>
              </c:numCache>
            </c:numRef>
          </c:val>
          <c:extLst xmlns:c16r2="http://schemas.microsoft.com/office/drawing/2015/06/chart">
            <c:ext xmlns:c16="http://schemas.microsoft.com/office/drawing/2014/chart" uri="{C3380CC4-5D6E-409C-BE32-E72D297353CC}">
              <c16:uniqueId val="{00000001-889E-4416-AC9E-048E81F2325F}"/>
            </c:ext>
          </c:extLst>
        </c:ser>
        <c:ser>
          <c:idx val="1"/>
          <c:order val="1"/>
          <c:tx>
            <c:strRef>
              <c:f>Hoja1!$C$1</c:f>
              <c:strCache>
                <c:ptCount val="1"/>
                <c:pt idx="0">
                  <c:v>2020-Presupuesto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IVA dom</c:v>
                </c:pt>
                <c:pt idx="2">
                  <c:v>ISR</c:v>
                </c:pt>
                <c:pt idx="3">
                  <c:v>DAI</c:v>
                </c:pt>
                <c:pt idx="4">
                  <c:v>IPRIMA</c:v>
                </c:pt>
                <c:pt idx="5">
                  <c:v>Salidas</c:v>
                </c:pt>
                <c:pt idx="6">
                  <c:v>Petróleo</c:v>
                </c:pt>
                <c:pt idx="7">
                  <c:v>Timbres</c:v>
                </c:pt>
                <c:pt idx="8">
                  <c:v>Regalías</c:v>
                </c:pt>
                <c:pt idx="9">
                  <c:v>Tabacos</c:v>
                </c:pt>
                <c:pt idx="10">
                  <c:v>Vehículos</c:v>
                </c:pt>
                <c:pt idx="11">
                  <c:v>ISO</c:v>
                </c:pt>
                <c:pt idx="12">
                  <c:v>Propiedad</c:v>
                </c:pt>
                <c:pt idx="13">
                  <c:v>Otros</c:v>
                </c:pt>
                <c:pt idx="14">
                  <c:v>IEMA</c:v>
                </c:pt>
                <c:pt idx="15">
                  <c:v>IETAAP</c:v>
                </c:pt>
                <c:pt idx="16">
                  <c:v>Cemento</c:v>
                </c:pt>
                <c:pt idx="17">
                  <c:v>Bebidas</c:v>
                </c:pt>
              </c:strCache>
            </c:strRef>
          </c:cat>
          <c:val>
            <c:numRef>
              <c:f>Hoja1!$C$2:$C$19</c:f>
              <c:numCache>
                <c:formatCode>#,##0.0</c:formatCode>
                <c:ptCount val="18"/>
                <c:pt idx="0">
                  <c:v>-1895.8108378299912</c:v>
                </c:pt>
                <c:pt idx="1">
                  <c:v>-996.38048010999773</c:v>
                </c:pt>
                <c:pt idx="2">
                  <c:v>-443.42272784998204</c:v>
                </c:pt>
                <c:pt idx="3">
                  <c:v>-294.94022468000139</c:v>
                </c:pt>
                <c:pt idx="4">
                  <c:v>-215.49943604000009</c:v>
                </c:pt>
                <c:pt idx="5">
                  <c:v>-198.10084030774254</c:v>
                </c:pt>
                <c:pt idx="6">
                  <c:v>-179.52834277999818</c:v>
                </c:pt>
                <c:pt idx="7">
                  <c:v>-117.2961631300002</c:v>
                </c:pt>
                <c:pt idx="8">
                  <c:v>-106.64162810380122</c:v>
                </c:pt>
                <c:pt idx="9">
                  <c:v>-77.108307550000063</c:v>
                </c:pt>
                <c:pt idx="10">
                  <c:v>-30.300313200000119</c:v>
                </c:pt>
                <c:pt idx="11">
                  <c:v>-13.101668570000584</c:v>
                </c:pt>
                <c:pt idx="12">
                  <c:v>-8.4333070700000086</c:v>
                </c:pt>
                <c:pt idx="13">
                  <c:v>-0.93577915000000012</c:v>
                </c:pt>
                <c:pt idx="14">
                  <c:v>1.9382655000000002</c:v>
                </c:pt>
                <c:pt idx="15">
                  <c:v>2.6662241200000003</c:v>
                </c:pt>
                <c:pt idx="16">
                  <c:v>10.745495619999858</c:v>
                </c:pt>
                <c:pt idx="17">
                  <c:v>53.463667089998808</c:v>
                </c:pt>
              </c:numCache>
            </c:numRef>
          </c:val>
          <c:extLst xmlns:c16r2="http://schemas.microsoft.com/office/drawing/2015/06/chart">
            <c:ext xmlns:c16="http://schemas.microsoft.com/office/drawing/2014/chart" uri="{C3380CC4-5D6E-409C-BE32-E72D297353CC}">
              <c16:uniqueId val="{00000002-889E-4416-AC9E-048E81F2325F}"/>
            </c:ext>
          </c:extLst>
        </c:ser>
        <c:dLbls>
          <c:showLegendKey val="0"/>
          <c:showVal val="0"/>
          <c:showCatName val="0"/>
          <c:showSerName val="0"/>
          <c:showPercent val="0"/>
          <c:showBubbleSize val="0"/>
        </c:dLbls>
        <c:gapWidth val="50"/>
        <c:axId val="94092288"/>
        <c:axId val="94581504"/>
      </c:barChart>
      <c:catAx>
        <c:axId val="94092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4581504"/>
        <c:crosses val="autoZero"/>
        <c:auto val="1"/>
        <c:lblAlgn val="ctr"/>
        <c:lblOffset val="100"/>
        <c:noMultiLvlLbl val="0"/>
      </c:catAx>
      <c:valAx>
        <c:axId val="94581504"/>
        <c:scaling>
          <c:orientation val="minMax"/>
          <c:min val="-2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40922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7991487550542659E-2"/>
          <c:w val="0.40613540674492549"/>
          <c:h val="8.5126480811520175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700"/>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6.4992614475627764E-2"/>
          <c:w val="0.87657127136728308"/>
          <c:h val="0.75531659424314701"/>
        </c:manualLayout>
      </c:layout>
      <c:barChart>
        <c:barDir val="col"/>
        <c:grouping val="clustered"/>
        <c:varyColors val="0"/>
        <c:ser>
          <c:idx val="1"/>
          <c:order val="1"/>
          <c:tx>
            <c:strRef>
              <c:f>Sheet1!$C$1</c:f>
              <c:strCache>
                <c:ptCount val="1"/>
                <c:pt idx="0">
                  <c:v>2020</c:v>
                </c:pt>
              </c:strCache>
            </c:strRef>
          </c:tx>
          <c:spPr>
            <a:solidFill>
              <a:srgbClr val="FF7C80"/>
            </a:solidFill>
            <a:ln w="12700">
              <a:solidFill>
                <a:schemeClr val="tx1"/>
              </a:solidFill>
            </a:ln>
            <a:effectLst/>
          </c:spPr>
          <c:invertIfNegative val="0"/>
          <c:dLbls>
            <c:dLbl>
              <c:idx val="2"/>
              <c:layout>
                <c:manualLayout>
                  <c:x val="0"/>
                  <c:y val="2.8820525942381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24-4D5A-A098-631F4AF18339}"/>
                </c:ext>
              </c:extLst>
            </c:dLbl>
            <c:dLbl>
              <c:idx val="3"/>
              <c:layout>
                <c:manualLayout>
                  <c:x val="0"/>
                  <c:y val="2.4685562753695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24-4D5A-A098-631F4AF18339}"/>
                </c:ext>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24-4D5A-A098-631F4AF18339}"/>
                </c:ext>
              </c:extLst>
            </c:dLbl>
            <c:dLbl>
              <c:idx val="9"/>
              <c:layout>
                <c:manualLayout>
                  <c:x val="0"/>
                  <c:y val="1.68568464730290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24-4D5A-A098-631F4AF18339}"/>
                </c:ext>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24-4D5A-A098-631F4AF18339}"/>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numCache>
            </c:numRef>
          </c:val>
          <c:extLst xmlns:c16r2="http://schemas.microsoft.com/office/drawing/2015/06/chart">
            <c:ext xmlns:c16="http://schemas.microsoft.com/office/drawing/2014/chart" uri="{C3380CC4-5D6E-409C-BE32-E72D297353CC}">
              <c16:uniqueId val="{00000005-9124-4D5A-A098-631F4AF18339}"/>
            </c:ext>
          </c:extLst>
        </c:ser>
        <c:dLbls>
          <c:showLegendKey val="0"/>
          <c:showVal val="0"/>
          <c:showCatName val="0"/>
          <c:showSerName val="0"/>
          <c:showPercent val="0"/>
          <c:showBubbleSize val="0"/>
        </c:dLbls>
        <c:gapWidth val="62"/>
        <c:overlap val="-27"/>
        <c:axId val="94255744"/>
        <c:axId val="94261632"/>
      </c:barChart>
      <c:lineChart>
        <c:grouping val="stacked"/>
        <c:varyColors val="0"/>
        <c:ser>
          <c:idx val="0"/>
          <c:order val="0"/>
          <c:tx>
            <c:strRef>
              <c:f>Sheet1!$B$1</c:f>
              <c:strCache>
                <c:ptCount val="1"/>
                <c:pt idx="0">
                  <c:v>2019</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124-4D5A-A098-631F4AF18339}"/>
                </c:ext>
              </c:extLst>
            </c:dLbl>
            <c:dLbl>
              <c:idx val="1"/>
              <c:layout>
                <c:manualLayout>
                  <c:x val="-8.0264400377714831E-2"/>
                  <c:y val="2.9542097488921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24-4D5A-A098-631F4AF18339}"/>
                </c:ext>
              </c:extLst>
            </c:dLbl>
            <c:dLbl>
              <c:idx val="2"/>
              <c:layout>
                <c:manualLayout>
                  <c:x val="-5.6657223796034037E-2"/>
                  <c:y val="4.72673559822747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124-4D5A-A098-631F4AF18339}"/>
                </c:ext>
              </c:extLst>
            </c:dLbl>
            <c:dLbl>
              <c:idx val="3"/>
              <c:layout>
                <c:manualLayout>
                  <c:x val="-6.1378659112370205E-2"/>
                  <c:y val="-4.1358936484490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124-4D5A-A098-631F4AF18339}"/>
                </c:ext>
              </c:extLst>
            </c:dLbl>
            <c:dLbl>
              <c:idx val="4"/>
              <c:layout>
                <c:manualLayout>
                  <c:x val="-6.1378659112370205E-2"/>
                  <c:y val="-3.5450516986706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124-4D5A-A098-631F4AF18339}"/>
                </c:ext>
              </c:extLst>
            </c:dLbl>
            <c:dLbl>
              <c:idx val="5"/>
              <c:layout>
                <c:manualLayout>
                  <c:x val="-5.1935788479697917E-2"/>
                  <c:y val="-3.5450516986706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124-4D5A-A098-631F4AF18339}"/>
                </c:ext>
              </c:extLst>
            </c:dLbl>
            <c:dLbl>
              <c:idx val="6"/>
              <c:layout>
                <c:manualLayout>
                  <c:x val="-6.1378659112370164E-2"/>
                  <c:y val="-4.7267355982274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124-4D5A-A098-631F4AF18339}"/>
                </c:ext>
              </c:extLst>
            </c:dLbl>
            <c:dLbl>
              <c:idx val="7"/>
              <c:layout>
                <c:manualLayout>
                  <c:x val="-6.1378659112370247E-2"/>
                  <c:y val="-4.1358936484490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124-4D5A-A098-631F4AF18339}"/>
                </c:ext>
              </c:extLst>
            </c:dLbl>
            <c:dLbl>
              <c:idx val="8"/>
              <c:layout>
                <c:manualLayout>
                  <c:x val="-4.9708856360662211E-2"/>
                  <c:y val="5.2454095468356866E-2"/>
                </c:manualLayout>
              </c:layout>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124-4D5A-A098-631F4AF18339}"/>
                </c:ext>
              </c:extLst>
            </c:dLbl>
            <c:dLbl>
              <c:idx val="9"/>
              <c:layout>
                <c:manualLayout>
                  <c:x val="-4.5403151301458687E-2"/>
                  <c:y val="4.0637354200019606E-2"/>
                </c:manualLayout>
              </c:layout>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124-4D5A-A098-631F4AF18339}"/>
                </c:ext>
              </c:extLst>
            </c:dLbl>
            <c:dLbl>
              <c:idx val="10"/>
              <c:layout>
                <c:manualLayout>
                  <c:x val="-6.6100094428706332E-2"/>
                  <c:y val="4.1358936484490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124-4D5A-A098-631F4AF18339}"/>
                </c:ext>
              </c:extLst>
            </c:dLbl>
            <c:dLbl>
              <c:idx val="11"/>
              <c:layout>
                <c:manualLayout>
                  <c:x val="-9.442870632672332E-3"/>
                  <c:y val="3.5450516986706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124-4D5A-A098-631F4AF1833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xmlns:c16r2="http://schemas.microsoft.com/office/drawing/2015/06/chart">
            <c:ext xmlns:c16="http://schemas.microsoft.com/office/drawing/2014/chart" uri="{C3380CC4-5D6E-409C-BE32-E72D297353CC}">
              <c16:uniqueId val="{00000012-9124-4D5A-A098-631F4AF18339}"/>
            </c:ext>
          </c:extLst>
        </c:ser>
        <c:dLbls>
          <c:showLegendKey val="0"/>
          <c:showVal val="0"/>
          <c:showCatName val="0"/>
          <c:showSerName val="0"/>
          <c:showPercent val="0"/>
          <c:showBubbleSize val="0"/>
        </c:dLbls>
        <c:marker val="1"/>
        <c:smooth val="0"/>
        <c:axId val="94255744"/>
        <c:axId val="94261632"/>
      </c:lineChart>
      <c:catAx>
        <c:axId val="94255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261632"/>
        <c:crosses val="autoZero"/>
        <c:auto val="1"/>
        <c:lblAlgn val="ctr"/>
        <c:lblOffset val="100"/>
        <c:noMultiLvlLbl val="0"/>
      </c:catAx>
      <c:valAx>
        <c:axId val="94261632"/>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4255744"/>
        <c:crosses val="autoZero"/>
        <c:crossBetween val="between"/>
      </c:valAx>
      <c:spPr>
        <a:noFill/>
        <a:ln>
          <a:noFill/>
        </a:ln>
        <a:effectLst/>
      </c:spPr>
    </c:plotArea>
    <c:legend>
      <c:legendPos val="b"/>
      <c:layout>
        <c:manualLayout>
          <c:xMode val="edge"/>
          <c:yMode val="edge"/>
          <c:x val="0.68602455146364505"/>
          <c:y val="3.2924783958873681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307558661745"/>
          <c:y val="2.6944039402482106E-2"/>
          <c:w val="0.58713414404861286"/>
          <c:h val="0.90811887438120864"/>
        </c:manualLayout>
      </c:layout>
      <c:barChart>
        <c:barDir val="bar"/>
        <c:grouping val="clustered"/>
        <c:varyColors val="0"/>
        <c:ser>
          <c:idx val="0"/>
          <c:order val="0"/>
          <c:tx>
            <c:strRef>
              <c:f>Hoja1!$B$1</c:f>
              <c:strCache>
                <c:ptCount val="1"/>
                <c:pt idx="0">
                  <c:v>2019</c:v>
                </c:pt>
              </c:strCache>
            </c:strRef>
          </c:tx>
          <c:spPr>
            <a:solidFill>
              <a:schemeClr val="accent1">
                <a:lumMod val="75000"/>
              </a:schemeClr>
            </a:solidFill>
            <a:ln w="15875">
              <a:solidFill>
                <a:schemeClr val="tx2">
                  <a:lumMod val="50000"/>
                </a:schemeClr>
              </a:solidFill>
            </a:ln>
            <a:effectLst>
              <a:outerShdw blurRad="50800" dist="38100" algn="l" rotWithShape="0">
                <a:prstClr val="black">
                  <a:alpha val="40000"/>
                </a:prstClr>
              </a:outerShdw>
            </a:effectLst>
          </c:spPr>
          <c:invertIfNegative val="0"/>
          <c:dLbls>
            <c:dLbl>
              <c:idx val="5"/>
              <c:layout>
                <c:manualLayout>
                  <c:x val="-7.6408787010507611E-3"/>
                  <c:y val="5.48696844993141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3C-4A0E-B7AA-B93DC0D8D4E9}"/>
                </c:ext>
              </c:extLst>
            </c:dLbl>
            <c:dLbl>
              <c:idx val="6"/>
              <c:layout>
                <c:manualLayout>
                  <c:x val="-3.8204393505253805E-3"/>
                  <c:y val="5.48696844993141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3C-4A0E-B7AA-B93DC0D8D4E9}"/>
                </c:ext>
              </c:extLst>
            </c:dLbl>
            <c:dLbl>
              <c:idx val="7"/>
              <c:layout>
                <c:manualLayout>
                  <c:x val="-3.8204393505253103E-3"/>
                  <c:y val="5.48696844993141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3C-4A0E-B7AA-B93DC0D8D4E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Intereses </c:v>
                </c:pt>
                <c:pt idx="4">
                  <c:v>Bienes y servicios </c:v>
                </c:pt>
                <c:pt idx="5">
                  <c:v>Remuneraciones </c:v>
                </c:pt>
                <c:pt idx="6">
                  <c:v>Inversión Financiera</c:v>
                </c:pt>
                <c:pt idx="7">
                  <c:v>Trans. Corrientes</c:v>
                </c:pt>
              </c:strCache>
            </c:strRef>
          </c:cat>
          <c:val>
            <c:numRef>
              <c:f>Hoja1!$B$2:$B$9</c:f>
              <c:numCache>
                <c:formatCode>#,##0.0</c:formatCode>
                <c:ptCount val="8"/>
                <c:pt idx="0">
                  <c:v>818.96523859000035</c:v>
                </c:pt>
                <c:pt idx="1">
                  <c:v>1575.3593657900001</c:v>
                </c:pt>
                <c:pt idx="2">
                  <c:v>436.37436673999946</c:v>
                </c:pt>
                <c:pt idx="3">
                  <c:v>867.63552297999922</c:v>
                </c:pt>
                <c:pt idx="4">
                  <c:v>357.02135696000005</c:v>
                </c:pt>
                <c:pt idx="5">
                  <c:v>2360.3861637600021</c:v>
                </c:pt>
                <c:pt idx="6">
                  <c:v>-6.6699731899999986</c:v>
                </c:pt>
                <c:pt idx="7">
                  <c:v>808.70018338000045</c:v>
                </c:pt>
              </c:numCache>
            </c:numRef>
          </c:val>
          <c:extLst xmlns:c16r2="http://schemas.microsoft.com/office/drawing/2015/06/chart">
            <c:ext xmlns:c16="http://schemas.microsoft.com/office/drawing/2014/chart" uri="{C3380CC4-5D6E-409C-BE32-E72D297353CC}">
              <c16:uniqueId val="{00000003-CB3C-4A0E-B7AA-B93DC0D8D4E9}"/>
            </c:ext>
          </c:extLst>
        </c:ser>
        <c:ser>
          <c:idx val="1"/>
          <c:order val="1"/>
          <c:tx>
            <c:strRef>
              <c:f>Hoja1!$C$1</c:f>
              <c:strCache>
                <c:ptCount val="1"/>
                <c:pt idx="0">
                  <c:v>2020</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Pt>
            <c:idx val="7"/>
            <c:invertIfNegative val="0"/>
            <c:bubble3D val="0"/>
            <c:spPr>
              <a:solidFill>
                <a:srgbClr val="92D050"/>
              </a:solidFill>
              <a:ln w="15875">
                <a:solidFill>
                  <a:schemeClr val="accent3">
                    <a:lumMod val="50000"/>
                  </a:schemeClr>
                </a:solid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5-CB3C-4A0E-B7AA-B93DC0D8D4E9}"/>
              </c:ext>
            </c:extLst>
          </c:dPt>
          <c:dLbls>
            <c:dLbl>
              <c:idx val="0"/>
              <c:layout>
                <c:manualLayout>
                  <c:x val="-1.1461017229579791E-2"/>
                  <c:y val="-1.3224597751818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3C-4A0E-B7AA-B93DC0D8D4E9}"/>
                </c:ext>
              </c:extLst>
            </c:dLbl>
            <c:dLbl>
              <c:idx val="1"/>
              <c:layout>
                <c:manualLayout>
                  <c:x val="-1.1461318051575931E-2"/>
                  <c:y val="-1.0059325952015797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3C-4A0E-B7AA-B93DC0D8D4E9}"/>
                </c:ext>
              </c:extLst>
            </c:dLbl>
            <c:dLbl>
              <c:idx val="7"/>
              <c:layout>
                <c:manualLayout>
                  <c:x val="0"/>
                  <c:y val="4.40819925060612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3C-4A0E-B7AA-B93DC0D8D4E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Intereses </c:v>
                </c:pt>
                <c:pt idx="4">
                  <c:v>Bienes y servicios </c:v>
                </c:pt>
                <c:pt idx="5">
                  <c:v>Remuneraciones </c:v>
                </c:pt>
                <c:pt idx="6">
                  <c:v>Inversión Financiera</c:v>
                </c:pt>
                <c:pt idx="7">
                  <c:v>Trans. Corrientes</c:v>
                </c:pt>
              </c:strCache>
            </c:strRef>
          </c:cat>
          <c:val>
            <c:numRef>
              <c:f>Hoja1!$C$2:$C$9</c:f>
              <c:numCache>
                <c:formatCode>#,##0.0</c:formatCode>
                <c:ptCount val="8"/>
                <c:pt idx="0">
                  <c:v>-1509.2093205000001</c:v>
                </c:pt>
                <c:pt idx="1">
                  <c:v>-175.92207030999816</c:v>
                </c:pt>
                <c:pt idx="2">
                  <c:v>17.20822877000046</c:v>
                </c:pt>
                <c:pt idx="3">
                  <c:v>349.48068903999774</c:v>
                </c:pt>
                <c:pt idx="4">
                  <c:v>642.91514226000072</c:v>
                </c:pt>
                <c:pt idx="5">
                  <c:v>1502.1645179800034</c:v>
                </c:pt>
                <c:pt idx="6">
                  <c:v>2545.4450593199999</c:v>
                </c:pt>
                <c:pt idx="7">
                  <c:v>7499.1127850499961</c:v>
                </c:pt>
              </c:numCache>
            </c:numRef>
          </c:val>
          <c:extLst xmlns:c16r2="http://schemas.microsoft.com/office/drawing/2015/06/chart">
            <c:ext xmlns:c16="http://schemas.microsoft.com/office/drawing/2014/chart" uri="{C3380CC4-5D6E-409C-BE32-E72D297353CC}">
              <c16:uniqueId val="{00000008-CB3C-4A0E-B7AA-B93DC0D8D4E9}"/>
            </c:ext>
          </c:extLst>
        </c:ser>
        <c:dLbls>
          <c:showLegendKey val="0"/>
          <c:showVal val="0"/>
          <c:showCatName val="0"/>
          <c:showSerName val="0"/>
          <c:showPercent val="0"/>
          <c:showBubbleSize val="0"/>
        </c:dLbls>
        <c:gapWidth val="75"/>
        <c:overlap val="-15"/>
        <c:axId val="94615424"/>
        <c:axId val="94616960"/>
      </c:barChart>
      <c:catAx>
        <c:axId val="946154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616960"/>
        <c:crosses val="autoZero"/>
        <c:auto val="1"/>
        <c:lblAlgn val="ctr"/>
        <c:lblOffset val="100"/>
        <c:noMultiLvlLbl val="0"/>
      </c:catAx>
      <c:valAx>
        <c:axId val="94616960"/>
        <c:scaling>
          <c:orientation val="minMax"/>
          <c:max val="8000"/>
          <c:min val="-20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615424"/>
        <c:crosses val="autoZero"/>
        <c:crossBetween val="between"/>
      </c:valAx>
      <c:spPr>
        <a:noFill/>
        <a:ln>
          <a:noFill/>
        </a:ln>
        <a:effectLst/>
      </c:spPr>
    </c:plotArea>
    <c:legend>
      <c:legendPos val="b"/>
      <c:layout>
        <c:manualLayout>
          <c:xMode val="edge"/>
          <c:yMode val="edge"/>
          <c:x val="0.72899517932751245"/>
          <c:y val="0.40599850944557853"/>
          <c:w val="0.19760996924095092"/>
          <c:h val="0.169357225408552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D8C5-417F-86A4-F03E97C60D88}"/>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D8C5-417F-86A4-F03E97C60D88}"/>
              </c:ext>
            </c:extLst>
          </c:dPt>
          <c:dLbls>
            <c:dLbl>
              <c:idx val="3"/>
              <c:layout>
                <c:manualLayout>
                  <c:x val="-8.0109772984700854E-17"/>
                  <c:y val="0.1035210221363838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C5-417F-86A4-F03E97C60D88}"/>
                </c:ext>
              </c:extLst>
            </c:dLbl>
            <c:dLbl>
              <c:idx val="4"/>
              <c:layout>
                <c:manualLayout>
                  <c:x val="4.3696744592527058E-3"/>
                  <c:y val="0.1035210221363838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C5-417F-86A4-F03E97C60D88}"/>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2020 Sin Covid-19</c:v>
                </c:pt>
              </c:strCache>
            </c:strRef>
          </c:cat>
          <c:val>
            <c:numRef>
              <c:f>Hoja1!$B$2:$B$8</c:f>
              <c:numCache>
                <c:formatCode>0.0</c:formatCode>
                <c:ptCount val="7"/>
                <c:pt idx="0">
                  <c:v>79.03193418580156</c:v>
                </c:pt>
                <c:pt idx="1">
                  <c:v>80.822270893106349</c:v>
                </c:pt>
                <c:pt idx="2">
                  <c:v>77.373178960706909</c:v>
                </c:pt>
                <c:pt idx="3">
                  <c:v>83.470731325555874</c:v>
                </c:pt>
                <c:pt idx="4">
                  <c:v>82.732918551459889</c:v>
                </c:pt>
                <c:pt idx="5">
                  <c:v>77.983293789335846</c:v>
                </c:pt>
                <c:pt idx="6">
                  <c:v>77.352014964202723</c:v>
                </c:pt>
              </c:numCache>
            </c:numRef>
          </c:val>
          <c:extLst xmlns:c16r2="http://schemas.microsoft.com/office/drawing/2015/06/chart">
            <c:ext xmlns:c16="http://schemas.microsoft.com/office/drawing/2014/chart" uri="{C3380CC4-5D6E-409C-BE32-E72D297353CC}">
              <c16:uniqueId val="{00000006-D8C5-417F-86A4-F03E97C60D88}"/>
            </c:ext>
          </c:extLst>
        </c:ser>
        <c:dLbls>
          <c:showLegendKey val="0"/>
          <c:showVal val="0"/>
          <c:showCatName val="0"/>
          <c:showSerName val="0"/>
          <c:showPercent val="0"/>
          <c:showBubbleSize val="0"/>
        </c:dLbls>
        <c:gapWidth val="50"/>
        <c:overlap val="-27"/>
        <c:axId val="94448256"/>
        <c:axId val="9445004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D8C5-417F-86A4-F03E97C60D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2020 Sin Covid-19</c:v>
                </c:pt>
              </c:strCache>
            </c:strRef>
          </c:cat>
          <c:val>
            <c:numRef>
              <c:f>Hoja1!$C$2:$C$8</c:f>
              <c:numCache>
                <c:formatCode>0.0</c:formatCode>
                <c:ptCount val="7"/>
                <c:pt idx="0">
                  <c:v>80.686206783326114</c:v>
                </c:pt>
                <c:pt idx="1">
                  <c:v>80.686206783326114</c:v>
                </c:pt>
                <c:pt idx="2">
                  <c:v>80.686206783326114</c:v>
                </c:pt>
                <c:pt idx="3">
                  <c:v>80.686206783326114</c:v>
                </c:pt>
                <c:pt idx="4">
                  <c:v>80.686206783326114</c:v>
                </c:pt>
              </c:numCache>
            </c:numRef>
          </c:val>
          <c:smooth val="0"/>
          <c:extLst xmlns:c16r2="http://schemas.microsoft.com/office/drawing/2015/06/chart">
            <c:ext xmlns:c16="http://schemas.microsoft.com/office/drawing/2014/chart" uri="{C3380CC4-5D6E-409C-BE32-E72D297353CC}">
              <c16:uniqueId val="{00000008-D8C5-417F-86A4-F03E97C60D88}"/>
            </c:ext>
          </c:extLst>
        </c:ser>
        <c:dLbls>
          <c:showLegendKey val="0"/>
          <c:showVal val="0"/>
          <c:showCatName val="0"/>
          <c:showSerName val="0"/>
          <c:showPercent val="0"/>
          <c:showBubbleSize val="0"/>
        </c:dLbls>
        <c:marker val="1"/>
        <c:smooth val="0"/>
        <c:axId val="94448256"/>
        <c:axId val="94450048"/>
      </c:lineChart>
      <c:catAx>
        <c:axId val="944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450048"/>
        <c:crosses val="autoZero"/>
        <c:auto val="1"/>
        <c:lblAlgn val="ctr"/>
        <c:lblOffset val="100"/>
        <c:noMultiLvlLbl val="0"/>
      </c:catAx>
      <c:valAx>
        <c:axId val="94450048"/>
        <c:scaling>
          <c:orientation val="minMax"/>
          <c:min val="7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448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1286999694143922"/>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2"/>
            <c:invertIfNegative val="0"/>
            <c:bubble3D val="0"/>
            <c:spPr>
              <a:solidFill>
                <a:srgbClr val="FF7C8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700A-4FDD-8036-492C410137A7}"/>
              </c:ext>
            </c:extLst>
          </c:dPt>
          <c:dPt>
            <c:idx val="13"/>
            <c:invertIfNegative val="0"/>
            <c:bubble3D val="0"/>
            <c:spPr>
              <a:solidFill>
                <a:srgbClr val="C0000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700A-4FDD-8036-492C410137A7}"/>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700A-4FDD-8036-492C410137A7}"/>
              </c:ext>
            </c:extLst>
          </c:dPt>
          <c:dLbls>
            <c:dLbl>
              <c:idx val="19"/>
              <c:layout>
                <c:manualLayout>
                  <c:x val="-1.3295143311980156E-3"/>
                  <c:y val="-4.1402713522016234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00A-4FDD-8036-492C410137A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Hoja1!$A$2:$A$21</c:f>
              <c:strCache>
                <c:ptCount val="20"/>
                <c:pt idx="0">
                  <c:v>Cultura</c:v>
                </c:pt>
                <c:pt idx="1">
                  <c:v>Agricultura</c:v>
                </c:pt>
                <c:pt idx="2">
                  <c:v>Comunicaciones</c:v>
                </c:pt>
                <c:pt idx="3">
                  <c:v>Finanzas</c:v>
                </c:pt>
                <c:pt idx="4">
                  <c:v>Energía</c:v>
                </c:pt>
                <c:pt idx="5">
                  <c:v>Secretarías</c:v>
                </c:pt>
                <c:pt idx="6">
                  <c:v>Ambiente </c:v>
                </c:pt>
                <c:pt idx="7">
                  <c:v>Economía</c:v>
                </c:pt>
                <c:pt idx="8">
                  <c:v>Trabajo </c:v>
                </c:pt>
                <c:pt idx="9">
                  <c:v>Gobernación</c:v>
                </c:pt>
                <c:pt idx="10">
                  <c:v>Salud Pública </c:v>
                </c:pt>
                <c:pt idx="11">
                  <c:v>Defensa </c:v>
                </c:pt>
                <c:pt idx="12">
                  <c:v>MINREX</c:v>
                </c:pt>
                <c:pt idx="13">
                  <c:v>Total</c:v>
                </c:pt>
                <c:pt idx="14">
                  <c:v>Presidencia</c:v>
                </c:pt>
                <c:pt idx="15">
                  <c:v>Obligaciones </c:v>
                </c:pt>
                <c:pt idx="16">
                  <c:v>PGN</c:v>
                </c:pt>
                <c:pt idx="17">
                  <c:v>Deuda Pública</c:v>
                </c:pt>
                <c:pt idx="18">
                  <c:v>Educación </c:v>
                </c:pt>
                <c:pt idx="19">
                  <c:v>Desarrollo</c:v>
                </c:pt>
              </c:strCache>
            </c:strRef>
          </c:cat>
          <c:val>
            <c:numRef>
              <c:f>Hoja1!$B$2:$B$21</c:f>
              <c:numCache>
                <c:formatCode>0.0</c:formatCode>
                <c:ptCount val="20"/>
                <c:pt idx="0">
                  <c:v>47.281997261457001</c:v>
                </c:pt>
                <c:pt idx="1">
                  <c:v>48.247919723893695</c:v>
                </c:pt>
                <c:pt idx="2">
                  <c:v>54.822339616160356</c:v>
                </c:pt>
                <c:pt idx="3">
                  <c:v>66.586923179964558</c:v>
                </c:pt>
                <c:pt idx="4">
                  <c:v>67.849583384340548</c:v>
                </c:pt>
                <c:pt idx="5">
                  <c:v>69.040763132237245</c:v>
                </c:pt>
                <c:pt idx="6">
                  <c:v>69.426116035534562</c:v>
                </c:pt>
                <c:pt idx="7">
                  <c:v>70.86522229463101</c:v>
                </c:pt>
                <c:pt idx="8">
                  <c:v>72.609364784058073</c:v>
                </c:pt>
                <c:pt idx="9">
                  <c:v>73.019753290938297</c:v>
                </c:pt>
                <c:pt idx="10">
                  <c:v>73.585379541444553</c:v>
                </c:pt>
                <c:pt idx="11">
                  <c:v>74.983426065727244</c:v>
                </c:pt>
                <c:pt idx="12">
                  <c:v>75.243471496305915</c:v>
                </c:pt>
                <c:pt idx="13">
                  <c:v>77.983293789335846</c:v>
                </c:pt>
                <c:pt idx="14">
                  <c:v>78.570849376623372</c:v>
                </c:pt>
                <c:pt idx="15">
                  <c:v>80.706856370448889</c:v>
                </c:pt>
                <c:pt idx="16">
                  <c:v>81.205016265120364</c:v>
                </c:pt>
                <c:pt idx="17">
                  <c:v>82.939985396618994</c:v>
                </c:pt>
                <c:pt idx="18">
                  <c:v>83.399182975068925</c:v>
                </c:pt>
                <c:pt idx="19">
                  <c:v>91.56599471365071</c:v>
                </c:pt>
              </c:numCache>
            </c:numRef>
          </c:val>
          <c:extLst xmlns:c16r2="http://schemas.microsoft.com/office/drawing/2015/06/chart">
            <c:ext xmlns:c16="http://schemas.microsoft.com/office/drawing/2014/chart" uri="{C3380CC4-5D6E-409C-BE32-E72D297353CC}">
              <c16:uniqueId val="{00000007-700A-4FDD-8036-492C410137A7}"/>
            </c:ext>
          </c:extLst>
        </c:ser>
        <c:dLbls>
          <c:showLegendKey val="0"/>
          <c:showVal val="0"/>
          <c:showCatName val="0"/>
          <c:showSerName val="0"/>
          <c:showPercent val="0"/>
          <c:showBubbleSize val="0"/>
        </c:dLbls>
        <c:gapWidth val="100"/>
        <c:axId val="94395776"/>
        <c:axId val="94397568"/>
      </c:barChart>
      <c:catAx>
        <c:axId val="9439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397568"/>
        <c:crosses val="autoZero"/>
        <c:auto val="1"/>
        <c:lblAlgn val="ctr"/>
        <c:lblOffset val="100"/>
        <c:noMultiLvlLbl val="0"/>
      </c:catAx>
      <c:valAx>
        <c:axId val="94397568"/>
        <c:scaling>
          <c:orientation val="minMax"/>
          <c:max val="9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4395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2FB2-CD36-498D-84A2-2946DEC3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3567</Words>
  <Characters>19624</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cp:lastPrinted>2020-12-15T18:48:00Z</cp:lastPrinted>
  <dcterms:created xsi:type="dcterms:W3CDTF">2020-12-15T19:43:00Z</dcterms:created>
  <dcterms:modified xsi:type="dcterms:W3CDTF">2020-12-15T19:43:00Z</dcterms:modified>
</cp:coreProperties>
</file>