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7232B" w14:textId="77777777" w:rsidR="00C24781" w:rsidRPr="00055C7A" w:rsidRDefault="00055C7A" w:rsidP="00013059">
      <w:pPr>
        <w:shd w:val="clear" w:color="auto" w:fill="44546A" w:themeFill="text2"/>
        <w:spacing w:after="0"/>
        <w:ind w:right="-376" w:hanging="426"/>
        <w:jc w:val="center"/>
        <w:rPr>
          <w:rFonts w:ascii="Times New Roman" w:hAnsi="Times New Roman" w:cs="Times New Roman"/>
          <w:b/>
          <w:color w:val="FFFFFF" w:themeColor="background1"/>
          <w:sz w:val="24"/>
        </w:rPr>
      </w:pPr>
      <w:bookmarkStart w:id="0" w:name="_Hlk105772204"/>
      <w:r w:rsidRPr="00055C7A">
        <w:rPr>
          <w:rFonts w:ascii="Times New Roman" w:hAnsi="Times New Roman" w:cs="Times New Roman"/>
          <w:b/>
          <w:color w:val="FFFFFF" w:themeColor="background1"/>
          <w:sz w:val="24"/>
        </w:rPr>
        <w:t>Se mantiene el</w:t>
      </w:r>
      <w:r w:rsidR="005419C5" w:rsidRPr="00055C7A">
        <w:rPr>
          <w:rFonts w:ascii="Times New Roman" w:hAnsi="Times New Roman" w:cs="Times New Roman"/>
          <w:b/>
          <w:color w:val="FFFFFF" w:themeColor="background1"/>
          <w:sz w:val="24"/>
        </w:rPr>
        <w:t xml:space="preserve"> superávit</w:t>
      </w:r>
      <w:r w:rsidR="00C24781" w:rsidRPr="00055C7A">
        <w:rPr>
          <w:rFonts w:ascii="Times New Roman" w:hAnsi="Times New Roman" w:cs="Times New Roman"/>
          <w:b/>
          <w:color w:val="FFFFFF" w:themeColor="background1"/>
          <w:sz w:val="24"/>
        </w:rPr>
        <w:t xml:space="preserve"> fiscal</w:t>
      </w:r>
      <w:r w:rsidRPr="00055C7A">
        <w:rPr>
          <w:rFonts w:ascii="Times New Roman" w:hAnsi="Times New Roman" w:cs="Times New Roman"/>
          <w:b/>
          <w:color w:val="FFFFFF" w:themeColor="background1"/>
          <w:sz w:val="24"/>
        </w:rPr>
        <w:t xml:space="preserve"> por el buen desempeño de la recaudación tributaria</w:t>
      </w:r>
      <w:bookmarkEnd w:id="0"/>
    </w:p>
    <w:p w14:paraId="75ACFF29" w14:textId="77777777" w:rsidR="00C24781" w:rsidRPr="00515068" w:rsidRDefault="00C24781" w:rsidP="00960BE9">
      <w:pPr>
        <w:spacing w:after="0"/>
        <w:rPr>
          <w:rFonts w:ascii="Times New Roman" w:hAnsi="Times New Roman" w:cs="Times New Roman"/>
          <w:color w:val="FF0000"/>
          <w:sz w:val="24"/>
        </w:rPr>
      </w:pPr>
    </w:p>
    <w:p w14:paraId="08C5C03C" w14:textId="77777777" w:rsidR="00960BE9" w:rsidRPr="00515068" w:rsidRDefault="00960BE9" w:rsidP="00960BE9">
      <w:pPr>
        <w:spacing w:after="0"/>
        <w:rPr>
          <w:rFonts w:ascii="Times New Roman" w:hAnsi="Times New Roman" w:cs="Times New Roman"/>
          <w:color w:val="FF0000"/>
          <w:sz w:val="18"/>
        </w:rPr>
        <w:sectPr w:rsidR="00960BE9" w:rsidRPr="00515068">
          <w:headerReference w:type="default" r:id="rId8"/>
          <w:footerReference w:type="default" r:id="rId9"/>
          <w:pgSz w:w="12240" w:h="15840"/>
          <w:pgMar w:top="1417" w:right="1701" w:bottom="1417" w:left="1701" w:header="708" w:footer="708" w:gutter="0"/>
          <w:cols w:space="708"/>
          <w:docGrid w:linePitch="360"/>
        </w:sectPr>
      </w:pPr>
    </w:p>
    <w:p w14:paraId="256C667C" w14:textId="77777777" w:rsidR="00055C7A" w:rsidRDefault="00055C7A" w:rsidP="00055C7A">
      <w:pPr>
        <w:pStyle w:val="Sinespaciado"/>
        <w:jc w:val="both"/>
        <w:rPr>
          <w:rFonts w:ascii="Times New Roman" w:hAnsi="Times New Roman" w:cs="Times New Roman"/>
          <w:lang w:val="es-MX"/>
        </w:rPr>
      </w:pPr>
      <w:r>
        <w:rPr>
          <w:rFonts w:ascii="Times New Roman" w:hAnsi="Times New Roman" w:cs="Times New Roman"/>
          <w:lang w:val="es-MX"/>
        </w:rPr>
        <w:t>El resultado presupuestario del gobierno muestra un superávit fiscal que se sitúa al 31 de mayo de 2022 en Q225.3 millones. En los años anteriores (</w:t>
      </w:r>
      <w:r w:rsidRPr="008835E5">
        <w:rPr>
          <w:rFonts w:ascii="Times New Roman" w:hAnsi="Times New Roman" w:cs="Times New Roman"/>
          <w:lang w:val="es-MX"/>
        </w:rPr>
        <w:t>2019</w:t>
      </w:r>
      <w:r>
        <w:rPr>
          <w:rFonts w:ascii="Times New Roman" w:hAnsi="Times New Roman" w:cs="Times New Roman"/>
          <w:lang w:val="es-MX"/>
        </w:rPr>
        <w:t>-2021), a la misma fecha se reportó déficit fiscal</w:t>
      </w:r>
      <w:r w:rsidRPr="008835E5">
        <w:rPr>
          <w:rFonts w:ascii="Times New Roman" w:hAnsi="Times New Roman" w:cs="Times New Roman"/>
          <w:lang w:val="es-MX"/>
        </w:rPr>
        <w:t>.</w:t>
      </w:r>
      <w:r>
        <w:rPr>
          <w:rFonts w:ascii="Times New Roman" w:hAnsi="Times New Roman" w:cs="Times New Roman"/>
          <w:lang w:val="es-MX"/>
        </w:rPr>
        <w:t xml:space="preserve"> Este resultado en 2022 se explica por </w:t>
      </w:r>
      <w:r w:rsidRPr="003A0732">
        <w:rPr>
          <w:rFonts w:ascii="Times New Roman" w:hAnsi="Times New Roman" w:cs="Times New Roman"/>
          <w:lang w:val="es-MX"/>
        </w:rPr>
        <w:t>el buen desempeño de la recaudación</w:t>
      </w:r>
      <w:r>
        <w:rPr>
          <w:rFonts w:ascii="Times New Roman" w:hAnsi="Times New Roman" w:cs="Times New Roman"/>
          <w:lang w:val="es-MX"/>
        </w:rPr>
        <w:t xml:space="preserve"> tributaria que ha permitido a lo largo del año que la </w:t>
      </w:r>
      <w:r w:rsidRPr="003A0732">
        <w:rPr>
          <w:rFonts w:ascii="Times New Roman" w:hAnsi="Times New Roman" w:cs="Times New Roman"/>
          <w:lang w:val="es-MX"/>
        </w:rPr>
        <w:t>brecha respecto a la meta</w:t>
      </w:r>
      <w:r>
        <w:rPr>
          <w:rFonts w:ascii="Times New Roman" w:hAnsi="Times New Roman" w:cs="Times New Roman"/>
          <w:lang w:val="es-MX"/>
        </w:rPr>
        <w:t xml:space="preserve"> </w:t>
      </w:r>
      <w:r w:rsidRPr="003A0732">
        <w:rPr>
          <w:rFonts w:ascii="Times New Roman" w:hAnsi="Times New Roman" w:cs="Times New Roman"/>
          <w:lang w:val="es-MX"/>
        </w:rPr>
        <w:t>establecida se ampl</w:t>
      </w:r>
      <w:r>
        <w:rPr>
          <w:rFonts w:ascii="Times New Roman" w:hAnsi="Times New Roman" w:cs="Times New Roman"/>
          <w:lang w:val="es-MX"/>
        </w:rPr>
        <w:t xml:space="preserve">íe </w:t>
      </w:r>
      <w:r w:rsidRPr="003A0732">
        <w:rPr>
          <w:rFonts w:ascii="Times New Roman" w:hAnsi="Times New Roman" w:cs="Times New Roman"/>
          <w:lang w:val="es-MX"/>
        </w:rPr>
        <w:t>de forma</w:t>
      </w:r>
      <w:r>
        <w:rPr>
          <w:rFonts w:ascii="Times New Roman" w:hAnsi="Times New Roman" w:cs="Times New Roman"/>
          <w:lang w:val="es-MX"/>
        </w:rPr>
        <w:t xml:space="preserve"> </w:t>
      </w:r>
      <w:r w:rsidRPr="003A0732">
        <w:rPr>
          <w:rFonts w:ascii="Times New Roman" w:hAnsi="Times New Roman" w:cs="Times New Roman"/>
          <w:lang w:val="es-MX"/>
        </w:rPr>
        <w:t>considerable</w:t>
      </w:r>
      <w:r>
        <w:rPr>
          <w:rFonts w:ascii="Times New Roman" w:hAnsi="Times New Roman" w:cs="Times New Roman"/>
          <w:lang w:val="es-MX"/>
        </w:rPr>
        <w:t xml:space="preserve">. </w:t>
      </w:r>
    </w:p>
    <w:p w14:paraId="4AA46EB9" w14:textId="77777777" w:rsidR="00055C7A" w:rsidRPr="00821B3D" w:rsidRDefault="00055C7A" w:rsidP="00055C7A">
      <w:pPr>
        <w:pStyle w:val="Sinespaciado"/>
        <w:ind w:left="284"/>
        <w:jc w:val="both"/>
        <w:rPr>
          <w:rFonts w:ascii="Times New Roman" w:hAnsi="Times New Roman" w:cs="Times New Roman"/>
          <w:lang w:val="es-MX"/>
        </w:rPr>
      </w:pPr>
    </w:p>
    <w:p w14:paraId="21389A95" w14:textId="77777777" w:rsidR="00055C7A" w:rsidRDefault="00055C7A" w:rsidP="00055C7A">
      <w:pPr>
        <w:pStyle w:val="Sinespaciado"/>
        <w:jc w:val="both"/>
        <w:rPr>
          <w:rFonts w:ascii="Times New Roman" w:hAnsi="Times New Roman" w:cs="Times New Roman"/>
          <w:lang w:val="es-MX"/>
        </w:rPr>
      </w:pPr>
      <w:r>
        <w:rPr>
          <w:rFonts w:ascii="Times New Roman" w:hAnsi="Times New Roman" w:cs="Times New Roman"/>
          <w:lang w:val="es-MX"/>
        </w:rPr>
        <w:t>En efecto, la meta de recaudación fue superada por quinto mes consecutivo, impulsada por el IVA importaciones y en menor medida por los derechos arancelarios de importación que crecen de forma importante</w:t>
      </w:r>
      <w:r w:rsidRPr="00093DCF">
        <w:rPr>
          <w:rFonts w:ascii="Times New Roman" w:hAnsi="Times New Roman" w:cs="Times New Roman"/>
          <w:lang w:val="es-MX"/>
        </w:rPr>
        <w:t xml:space="preserve"> producto del</w:t>
      </w:r>
      <w:r>
        <w:rPr>
          <w:rFonts w:ascii="Times New Roman" w:hAnsi="Times New Roman" w:cs="Times New Roman"/>
          <w:lang w:val="es-MX"/>
        </w:rPr>
        <w:t xml:space="preserve"> </w:t>
      </w:r>
      <w:r w:rsidRPr="00093DCF">
        <w:rPr>
          <w:rFonts w:ascii="Times New Roman" w:hAnsi="Times New Roman" w:cs="Times New Roman"/>
          <w:lang w:val="es-MX"/>
        </w:rPr>
        <w:t>comportamiento en los precios internacionales</w:t>
      </w:r>
      <w:r>
        <w:rPr>
          <w:rFonts w:ascii="Times New Roman" w:hAnsi="Times New Roman" w:cs="Times New Roman"/>
          <w:lang w:val="es-MX"/>
        </w:rPr>
        <w:t xml:space="preserve"> </w:t>
      </w:r>
      <w:r w:rsidRPr="00093DCF">
        <w:rPr>
          <w:rFonts w:ascii="Times New Roman" w:hAnsi="Times New Roman" w:cs="Times New Roman"/>
          <w:lang w:val="es-MX"/>
        </w:rPr>
        <w:t>del petróleo</w:t>
      </w:r>
      <w:r>
        <w:rPr>
          <w:rFonts w:ascii="Times New Roman" w:hAnsi="Times New Roman" w:cs="Times New Roman"/>
          <w:lang w:val="es-MX"/>
        </w:rPr>
        <w:t>, principalmente.</w:t>
      </w:r>
      <w:r w:rsidRPr="00093DCF">
        <w:rPr>
          <w:rFonts w:ascii="Times New Roman" w:hAnsi="Times New Roman" w:cs="Times New Roman"/>
          <w:lang w:val="es-MX"/>
        </w:rPr>
        <w:t xml:space="preserve"> </w:t>
      </w:r>
    </w:p>
    <w:p w14:paraId="138F04C6" w14:textId="77777777" w:rsidR="00055C7A" w:rsidRDefault="00055C7A" w:rsidP="00055C7A">
      <w:pPr>
        <w:pStyle w:val="Sinespaciado"/>
        <w:jc w:val="both"/>
        <w:rPr>
          <w:rFonts w:ascii="Times New Roman" w:hAnsi="Times New Roman" w:cs="Times New Roman"/>
          <w:lang w:val="es-MX"/>
        </w:rPr>
      </w:pPr>
    </w:p>
    <w:p w14:paraId="70B6CDB5" w14:textId="77777777" w:rsidR="00055C7A" w:rsidRDefault="00055C7A" w:rsidP="00055C7A">
      <w:pPr>
        <w:pStyle w:val="Sinespaciado"/>
        <w:jc w:val="both"/>
        <w:rPr>
          <w:rFonts w:ascii="Times New Roman" w:hAnsi="Times New Roman" w:cs="Times New Roman"/>
          <w:lang w:val="es-MX"/>
        </w:rPr>
      </w:pPr>
      <w:r>
        <w:rPr>
          <w:rFonts w:ascii="Times New Roman" w:hAnsi="Times New Roman" w:cs="Times New Roman"/>
          <w:lang w:val="es-MX"/>
        </w:rPr>
        <w:t>Aunque también es preciso resaltar las medidas administrativas adoptadas por la SAT que han apoyado la recaudación aduanera y las medidas de fiscalización y control que ejercen resultados positivos en los impuestos internos, especialmente el Impuesto sobre la Renta (ISR), que continúo ampliando su brecha de forma positiva.</w:t>
      </w:r>
    </w:p>
    <w:p w14:paraId="2FFE9848" w14:textId="77777777" w:rsidR="00055C7A" w:rsidRDefault="00055C7A" w:rsidP="00055C7A">
      <w:pPr>
        <w:pStyle w:val="Sinespaciado"/>
        <w:jc w:val="both"/>
        <w:rPr>
          <w:rFonts w:ascii="Times New Roman" w:hAnsi="Times New Roman" w:cs="Times New Roman"/>
          <w:lang w:val="es-MX"/>
        </w:rPr>
      </w:pPr>
    </w:p>
    <w:p w14:paraId="5524E1FD" w14:textId="77777777" w:rsidR="00055C7A" w:rsidRDefault="00055C7A" w:rsidP="00055C7A">
      <w:pPr>
        <w:pStyle w:val="Sinespaciado"/>
        <w:jc w:val="both"/>
        <w:rPr>
          <w:rFonts w:ascii="Times New Roman" w:hAnsi="Times New Roman" w:cs="Times New Roman"/>
          <w:lang w:val="es-MX"/>
        </w:rPr>
      </w:pPr>
      <w:r>
        <w:rPr>
          <w:rFonts w:ascii="Times New Roman" w:hAnsi="Times New Roman" w:cs="Times New Roman"/>
          <w:lang w:val="es-MX"/>
        </w:rPr>
        <w:t xml:space="preserve">Por el lado del gasto público, existe una aceleración en la ejecución mayo del 2022. Esto como resultado de la ejecución de las medidas temporales adoptadas en apoyo a la </w:t>
      </w:r>
      <w:r>
        <w:rPr>
          <w:rFonts w:ascii="Times New Roman" w:hAnsi="Times New Roman" w:cs="Times New Roman"/>
          <w:lang w:val="es-MX"/>
        </w:rPr>
        <w:t xml:space="preserve">población guatemalteca ante el alza sostenida de los precios internacionales de los combustibles. </w:t>
      </w:r>
    </w:p>
    <w:p w14:paraId="02FE8CF7" w14:textId="77777777" w:rsidR="00055C7A" w:rsidRDefault="00055C7A" w:rsidP="00055C7A">
      <w:pPr>
        <w:pStyle w:val="Sinespaciado"/>
        <w:jc w:val="both"/>
        <w:rPr>
          <w:rFonts w:ascii="Times New Roman" w:hAnsi="Times New Roman" w:cs="Times New Roman"/>
          <w:lang w:val="es-MX"/>
        </w:rPr>
      </w:pPr>
    </w:p>
    <w:p w14:paraId="7A72A257" w14:textId="77777777" w:rsidR="00055C7A" w:rsidRDefault="00055C7A" w:rsidP="00055C7A">
      <w:pPr>
        <w:pStyle w:val="Sinespaciado"/>
        <w:jc w:val="both"/>
        <w:rPr>
          <w:rFonts w:ascii="Times New Roman" w:hAnsi="Times New Roman" w:cs="Times New Roman"/>
          <w:lang w:val="es-MX"/>
        </w:rPr>
      </w:pPr>
      <w:r>
        <w:rPr>
          <w:rFonts w:ascii="Times New Roman" w:hAnsi="Times New Roman" w:cs="Times New Roman"/>
          <w:lang w:val="es-MX"/>
        </w:rPr>
        <w:t>Se espera que el gasto se mantenga dinámico en los siguientes meses, aunque algunas de estas medidas aun no reportan ejecución. Adicionalmente hay iniciativas en el Congreso de la República para continuar con el apoyo social temporal que está próximo a vencer, como es el caso del gas propano. Por lo cual se podría esperar que estos apoyos temporales se mantengan a lo largo del año, para menguar la volatilidad internacional de los precios.</w:t>
      </w:r>
    </w:p>
    <w:p w14:paraId="1ACACFCF" w14:textId="77777777" w:rsidR="00055C7A" w:rsidRDefault="00055C7A" w:rsidP="00055C7A">
      <w:pPr>
        <w:pStyle w:val="Sinespaciado"/>
        <w:jc w:val="both"/>
        <w:rPr>
          <w:rFonts w:ascii="Times New Roman" w:hAnsi="Times New Roman" w:cs="Times New Roman"/>
          <w:lang w:val="es-MX"/>
        </w:rPr>
      </w:pPr>
    </w:p>
    <w:p w14:paraId="7192E77A" w14:textId="77777777" w:rsidR="00055C7A" w:rsidRDefault="00055C7A" w:rsidP="00055C7A">
      <w:pPr>
        <w:pStyle w:val="Sinespaciado"/>
        <w:jc w:val="both"/>
        <w:rPr>
          <w:rFonts w:ascii="Times New Roman" w:hAnsi="Times New Roman" w:cs="Times New Roman"/>
          <w:lang w:val="es-MX"/>
        </w:rPr>
      </w:pPr>
      <w:r>
        <w:rPr>
          <w:rFonts w:ascii="Times New Roman" w:hAnsi="Times New Roman" w:cs="Times New Roman"/>
          <w:lang w:val="es-MX"/>
        </w:rPr>
        <w:t xml:space="preserve">Entre estas medidas destacadas se encuentra: </w:t>
      </w:r>
    </w:p>
    <w:p w14:paraId="2BC724C3" w14:textId="77777777" w:rsidR="00055C7A" w:rsidRDefault="00055C7A" w:rsidP="00055C7A">
      <w:pPr>
        <w:pStyle w:val="Sinespaciado"/>
        <w:jc w:val="both"/>
        <w:rPr>
          <w:rFonts w:ascii="Times New Roman" w:hAnsi="Times New Roman" w:cs="Times New Roman"/>
          <w:lang w:val="es-MX"/>
        </w:rPr>
      </w:pPr>
    </w:p>
    <w:p w14:paraId="11DA26FB" w14:textId="77777777" w:rsidR="00055C7A" w:rsidRDefault="00055C7A" w:rsidP="00055C7A">
      <w:pPr>
        <w:pStyle w:val="Sinespaciado"/>
        <w:numPr>
          <w:ilvl w:val="0"/>
          <w:numId w:val="2"/>
        </w:numPr>
        <w:jc w:val="both"/>
        <w:rPr>
          <w:rFonts w:ascii="Times New Roman" w:hAnsi="Times New Roman" w:cs="Times New Roman"/>
          <w:lang w:val="es-MX"/>
        </w:rPr>
      </w:pPr>
      <w:r>
        <w:rPr>
          <w:rFonts w:ascii="Times New Roman" w:hAnsi="Times New Roman" w:cs="Times New Roman"/>
          <w:lang w:val="es-MX"/>
        </w:rPr>
        <w:t>Subsidio al gas propano</w:t>
      </w:r>
    </w:p>
    <w:p w14:paraId="7916325D" w14:textId="77777777" w:rsidR="00055C7A" w:rsidRDefault="00055C7A" w:rsidP="00055C7A">
      <w:pPr>
        <w:pStyle w:val="Sinespaciado"/>
        <w:numPr>
          <w:ilvl w:val="0"/>
          <w:numId w:val="2"/>
        </w:numPr>
        <w:jc w:val="both"/>
        <w:rPr>
          <w:rFonts w:ascii="Times New Roman" w:hAnsi="Times New Roman" w:cs="Times New Roman"/>
          <w:lang w:val="es-MX"/>
        </w:rPr>
      </w:pPr>
      <w:r>
        <w:rPr>
          <w:rFonts w:ascii="Times New Roman" w:hAnsi="Times New Roman" w:cs="Times New Roman"/>
          <w:lang w:val="es-MX"/>
        </w:rPr>
        <w:t>Subsidio al diésel y la gasolina regular (a partir del 31 de mayo se incluye la gasolina superior)</w:t>
      </w:r>
    </w:p>
    <w:p w14:paraId="6397090D" w14:textId="77777777" w:rsidR="00055C7A" w:rsidRDefault="00055C7A" w:rsidP="00055C7A">
      <w:pPr>
        <w:pStyle w:val="Sinespaciado"/>
        <w:numPr>
          <w:ilvl w:val="0"/>
          <w:numId w:val="2"/>
        </w:numPr>
        <w:jc w:val="both"/>
        <w:rPr>
          <w:rFonts w:ascii="Times New Roman" w:hAnsi="Times New Roman" w:cs="Times New Roman"/>
          <w:lang w:val="es-MX"/>
        </w:rPr>
      </w:pPr>
      <w:r>
        <w:rPr>
          <w:rFonts w:ascii="Times New Roman" w:hAnsi="Times New Roman" w:cs="Times New Roman"/>
          <w:lang w:val="es-MX"/>
        </w:rPr>
        <w:t xml:space="preserve">Ampliación de la tarifa social de energía eléctrica </w:t>
      </w:r>
    </w:p>
    <w:p w14:paraId="34432DE3" w14:textId="77777777" w:rsidR="00055C7A" w:rsidRDefault="00055C7A" w:rsidP="00055C7A">
      <w:pPr>
        <w:pStyle w:val="Sinespaciado"/>
        <w:jc w:val="both"/>
        <w:rPr>
          <w:rFonts w:ascii="Times New Roman" w:hAnsi="Times New Roman" w:cs="Times New Roman"/>
          <w:lang w:val="es-MX"/>
        </w:rPr>
      </w:pPr>
    </w:p>
    <w:p w14:paraId="1044221A" w14:textId="77777777" w:rsidR="001F3983" w:rsidRPr="00515068" w:rsidRDefault="00055C7A" w:rsidP="00055C7A">
      <w:pPr>
        <w:pStyle w:val="Sinespaciado"/>
        <w:jc w:val="both"/>
        <w:rPr>
          <w:rFonts w:ascii="Times New Roman" w:hAnsi="Times New Roman" w:cs="Times New Roman"/>
          <w:color w:val="FF0000"/>
          <w:lang w:val="es-MX"/>
        </w:rPr>
      </w:pPr>
      <w:r>
        <w:rPr>
          <w:rFonts w:ascii="Times New Roman" w:hAnsi="Times New Roman" w:cs="Times New Roman"/>
          <w:lang w:val="es-MX"/>
        </w:rPr>
        <w:t>Tomando en cuenta, las ampliaciones presupuestarias realizadas a la fecha, la perspectiva de déficit fiscal es que este se situé en torno al 2.4% del PIB, al cierre del presente año.</w:t>
      </w:r>
    </w:p>
    <w:p w14:paraId="20DD019C" w14:textId="77777777" w:rsidR="00960BE9" w:rsidRPr="00515068" w:rsidRDefault="00960BE9" w:rsidP="00960BE9">
      <w:pPr>
        <w:pStyle w:val="Sinespaciado"/>
        <w:jc w:val="both"/>
        <w:rPr>
          <w:rFonts w:ascii="Times New Roman" w:hAnsi="Times New Roman" w:cs="Times New Roman"/>
          <w:color w:val="FF0000"/>
          <w:lang w:val="es-MX"/>
        </w:rPr>
        <w:sectPr w:rsidR="00960BE9" w:rsidRPr="00515068" w:rsidSect="00C24781">
          <w:type w:val="continuous"/>
          <w:pgSz w:w="12240" w:h="15840"/>
          <w:pgMar w:top="1417" w:right="1701" w:bottom="1417" w:left="1701" w:header="708" w:footer="708" w:gutter="0"/>
          <w:cols w:num="2" w:space="708"/>
          <w:docGrid w:linePitch="360"/>
        </w:sectPr>
      </w:pPr>
    </w:p>
    <w:p w14:paraId="5993800F" w14:textId="77777777" w:rsidR="00960BE9" w:rsidRPr="00055C7A" w:rsidRDefault="00960BE9" w:rsidP="00960BE9">
      <w:pPr>
        <w:spacing w:after="0"/>
        <w:rPr>
          <w:rFonts w:ascii="Times New Roman" w:hAnsi="Times New Roman" w:cs="Times New Roman"/>
          <w:sz w:val="16"/>
        </w:rPr>
        <w:sectPr w:rsidR="00960BE9" w:rsidRPr="00055C7A" w:rsidSect="00960BE9">
          <w:headerReference w:type="default" r:id="rId10"/>
          <w:footerReference w:type="default" r:id="rId11"/>
          <w:type w:val="continuous"/>
          <w:pgSz w:w="12240" w:h="15840"/>
          <w:pgMar w:top="1417" w:right="1701" w:bottom="1417" w:left="1701" w:header="708" w:footer="708" w:gutter="0"/>
          <w:cols w:space="708"/>
          <w:docGrid w:linePitch="360"/>
        </w:sectPr>
      </w:pPr>
    </w:p>
    <w:p w14:paraId="0AA496BF" w14:textId="77777777" w:rsidR="00C66E5B" w:rsidRPr="00055C7A" w:rsidRDefault="00960BE9" w:rsidP="00960BE9">
      <w:pPr>
        <w:pStyle w:val="Sinespaciado"/>
        <w:jc w:val="center"/>
        <w:rPr>
          <w:rFonts w:ascii="Times New Roman" w:hAnsi="Times New Roman" w:cs="Times New Roman"/>
          <w:b/>
          <w:sz w:val="24"/>
          <w:lang w:val="es-MX"/>
        </w:rPr>
      </w:pPr>
      <w:r w:rsidRPr="00055C7A">
        <w:rPr>
          <w:rFonts w:ascii="Times New Roman" w:hAnsi="Times New Roman" w:cs="Times New Roman"/>
          <w:b/>
          <w:sz w:val="24"/>
          <w:lang w:val="es-MX"/>
        </w:rPr>
        <w:t>Resultado Presupuestario</w:t>
      </w:r>
    </w:p>
    <w:p w14:paraId="6737C1F3" w14:textId="77777777" w:rsidR="00960BE9" w:rsidRPr="00055C7A" w:rsidRDefault="00960BE9" w:rsidP="00960BE9">
      <w:pPr>
        <w:pStyle w:val="Sinespaciado"/>
        <w:jc w:val="center"/>
        <w:rPr>
          <w:rFonts w:ascii="Times New Roman" w:hAnsi="Times New Roman" w:cs="Times New Roman"/>
          <w:lang w:val="es-MX"/>
        </w:rPr>
      </w:pPr>
      <w:r w:rsidRPr="00055C7A">
        <w:rPr>
          <w:rFonts w:ascii="Times New Roman" w:hAnsi="Times New Roman" w:cs="Times New Roman"/>
          <w:lang w:val="es-MX"/>
        </w:rPr>
        <w:t>Cifras en millones de quetzales</w:t>
      </w:r>
    </w:p>
    <w:p w14:paraId="611879B1" w14:textId="77777777" w:rsidR="00960BE9" w:rsidRPr="00055C7A" w:rsidRDefault="00960BE9" w:rsidP="00960BE9">
      <w:pPr>
        <w:pStyle w:val="Sinespaciado"/>
        <w:jc w:val="center"/>
        <w:rPr>
          <w:rFonts w:ascii="Times New Roman" w:hAnsi="Times New Roman" w:cs="Times New Roman"/>
          <w:lang w:val="es-MX"/>
        </w:rPr>
      </w:pPr>
      <w:r w:rsidRPr="00055C7A">
        <w:rPr>
          <w:rFonts w:ascii="Times New Roman" w:hAnsi="Times New Roman" w:cs="Times New Roman"/>
          <w:lang w:val="es-MX"/>
        </w:rPr>
        <w:t>Al</w:t>
      </w:r>
      <w:r w:rsidR="00055C7A" w:rsidRPr="00055C7A">
        <w:rPr>
          <w:rFonts w:ascii="Times New Roman" w:hAnsi="Times New Roman" w:cs="Times New Roman"/>
          <w:lang w:val="es-MX"/>
        </w:rPr>
        <w:t xml:space="preserve"> 31</w:t>
      </w:r>
      <w:r w:rsidRPr="00055C7A">
        <w:rPr>
          <w:rFonts w:ascii="Times New Roman" w:hAnsi="Times New Roman" w:cs="Times New Roman"/>
          <w:lang w:val="es-MX"/>
        </w:rPr>
        <w:t xml:space="preserve"> de </w:t>
      </w:r>
      <w:r w:rsidR="00055C7A" w:rsidRPr="00055C7A">
        <w:rPr>
          <w:rFonts w:ascii="Times New Roman" w:hAnsi="Times New Roman" w:cs="Times New Roman"/>
          <w:lang w:val="es-MX"/>
        </w:rPr>
        <w:t>mayo</w:t>
      </w:r>
      <w:r w:rsidRPr="00055C7A">
        <w:rPr>
          <w:rFonts w:ascii="Times New Roman" w:hAnsi="Times New Roman" w:cs="Times New Roman"/>
          <w:lang w:val="es-MX"/>
        </w:rPr>
        <w:t xml:space="preserve"> de cada año</w:t>
      </w:r>
    </w:p>
    <w:p w14:paraId="03016328" w14:textId="77777777" w:rsidR="00283D03" w:rsidRPr="00055C7A" w:rsidRDefault="00055C7A" w:rsidP="00960BE9">
      <w:pPr>
        <w:pStyle w:val="Sinespaciado"/>
        <w:jc w:val="center"/>
        <w:rPr>
          <w:rFonts w:ascii="Times New Roman" w:hAnsi="Times New Roman" w:cs="Times New Roman"/>
          <w:lang w:val="es-MX"/>
        </w:rPr>
      </w:pPr>
      <w:r w:rsidRPr="00055C7A">
        <w:rPr>
          <w:noProof/>
          <w:lang w:eastAsia="es-GT"/>
        </w:rPr>
        <w:drawing>
          <wp:inline distT="0" distB="0" distL="0" distR="0" wp14:anchorId="51B35D39" wp14:editId="690C24C7">
            <wp:extent cx="5612130" cy="2129050"/>
            <wp:effectExtent l="0" t="0" r="7620" b="5080"/>
            <wp:docPr id="6" name="Gráfico 6">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459F90" w14:textId="77777777" w:rsidR="00960BE9" w:rsidRPr="00055C7A" w:rsidRDefault="00960BE9" w:rsidP="00960BE9">
      <w:pPr>
        <w:pStyle w:val="Sinespaciado"/>
        <w:rPr>
          <w:rFonts w:ascii="Times New Roman" w:hAnsi="Times New Roman" w:cs="Times New Roman"/>
          <w:sz w:val="18"/>
          <w:szCs w:val="18"/>
          <w:lang w:val="es-MX"/>
        </w:rPr>
      </w:pPr>
      <w:r w:rsidRPr="00055C7A">
        <w:rPr>
          <w:rFonts w:ascii="Times New Roman" w:hAnsi="Times New Roman" w:cs="Times New Roman"/>
          <w:sz w:val="18"/>
          <w:szCs w:val="18"/>
          <w:lang w:val="es-MX"/>
        </w:rPr>
        <w:t>Fuente: Dirección de Análisis y Política Fiscal.</w:t>
      </w:r>
    </w:p>
    <w:p w14:paraId="750753B1" w14:textId="77777777" w:rsidR="00960BE9" w:rsidRPr="00286DB5" w:rsidRDefault="002C0967"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1" w:name="_Hlk105772220"/>
      <w:r w:rsidRPr="00286DB5">
        <w:rPr>
          <w:rFonts w:ascii="Times New Roman" w:hAnsi="Times New Roman" w:cs="Times New Roman"/>
          <w:b/>
          <w:color w:val="FFFFFF" w:themeColor="background1"/>
          <w:sz w:val="24"/>
          <w:szCs w:val="24"/>
          <w:lang w:val="es-MX"/>
        </w:rPr>
        <w:lastRenderedPageBreak/>
        <w:t>L</w:t>
      </w:r>
      <w:r w:rsidR="00960BE9" w:rsidRPr="00286DB5">
        <w:rPr>
          <w:rFonts w:ascii="Times New Roman" w:hAnsi="Times New Roman" w:cs="Times New Roman"/>
          <w:b/>
          <w:color w:val="FFFFFF" w:themeColor="background1"/>
          <w:sz w:val="24"/>
          <w:szCs w:val="24"/>
          <w:lang w:val="es-MX"/>
        </w:rPr>
        <w:t xml:space="preserve">a </w:t>
      </w:r>
      <w:r w:rsidR="00015E02" w:rsidRPr="00286DB5">
        <w:rPr>
          <w:rFonts w:ascii="Times New Roman" w:hAnsi="Times New Roman" w:cs="Times New Roman"/>
          <w:b/>
          <w:color w:val="FFFFFF" w:themeColor="background1"/>
          <w:sz w:val="24"/>
          <w:szCs w:val="24"/>
          <w:lang w:val="es-MX"/>
        </w:rPr>
        <w:t>brecha de</w:t>
      </w:r>
      <w:r w:rsidR="00960BE9" w:rsidRPr="00286DB5">
        <w:rPr>
          <w:rFonts w:ascii="Times New Roman" w:hAnsi="Times New Roman" w:cs="Times New Roman"/>
          <w:b/>
          <w:color w:val="FFFFFF" w:themeColor="background1"/>
          <w:sz w:val="24"/>
          <w:szCs w:val="24"/>
          <w:lang w:val="es-MX"/>
        </w:rPr>
        <w:t xml:space="preserve"> recaudación </w:t>
      </w:r>
      <w:r w:rsidR="00286DB5" w:rsidRPr="00286DB5">
        <w:rPr>
          <w:rFonts w:ascii="Times New Roman" w:hAnsi="Times New Roman" w:cs="Times New Roman"/>
          <w:b/>
          <w:color w:val="FFFFFF" w:themeColor="background1"/>
          <w:sz w:val="24"/>
          <w:szCs w:val="24"/>
          <w:lang w:val="es-MX"/>
        </w:rPr>
        <w:t>al 31</w:t>
      </w:r>
      <w:r w:rsidR="00015E02" w:rsidRPr="00286DB5">
        <w:rPr>
          <w:rFonts w:ascii="Times New Roman" w:hAnsi="Times New Roman" w:cs="Times New Roman"/>
          <w:b/>
          <w:color w:val="FFFFFF" w:themeColor="background1"/>
          <w:sz w:val="24"/>
          <w:szCs w:val="24"/>
          <w:lang w:val="es-MX"/>
        </w:rPr>
        <w:t xml:space="preserve"> de </w:t>
      </w:r>
      <w:r w:rsidR="00286DB5" w:rsidRPr="00286DB5">
        <w:rPr>
          <w:rFonts w:ascii="Times New Roman" w:hAnsi="Times New Roman" w:cs="Times New Roman"/>
          <w:b/>
          <w:color w:val="FFFFFF" w:themeColor="background1"/>
          <w:sz w:val="24"/>
          <w:szCs w:val="24"/>
          <w:lang w:val="es-MX"/>
        </w:rPr>
        <w:t>mayo</w:t>
      </w:r>
      <w:r w:rsidR="00015E02" w:rsidRPr="00286DB5">
        <w:rPr>
          <w:rFonts w:ascii="Times New Roman" w:hAnsi="Times New Roman" w:cs="Times New Roman"/>
          <w:b/>
          <w:color w:val="FFFFFF" w:themeColor="background1"/>
          <w:sz w:val="24"/>
          <w:szCs w:val="24"/>
          <w:lang w:val="es-MX"/>
        </w:rPr>
        <w:t xml:space="preserve"> </w:t>
      </w:r>
      <w:r w:rsidR="00A02862" w:rsidRPr="00286DB5">
        <w:rPr>
          <w:rFonts w:ascii="Times New Roman" w:hAnsi="Times New Roman" w:cs="Times New Roman"/>
          <w:b/>
          <w:color w:val="FFFFFF" w:themeColor="background1"/>
          <w:sz w:val="24"/>
          <w:szCs w:val="24"/>
          <w:lang w:val="es-MX"/>
        </w:rPr>
        <w:t>continúa ampliándose</w:t>
      </w:r>
    </w:p>
    <w:bookmarkEnd w:id="1"/>
    <w:p w14:paraId="3522B239" w14:textId="77777777" w:rsidR="00960BE9" w:rsidRPr="00515068" w:rsidRDefault="00960BE9" w:rsidP="00960BE9">
      <w:pPr>
        <w:pStyle w:val="Sinespaciado"/>
        <w:rPr>
          <w:rFonts w:ascii="Times New Roman" w:hAnsi="Times New Roman" w:cs="Times New Roman"/>
          <w:color w:val="FF0000"/>
          <w:sz w:val="18"/>
          <w:szCs w:val="18"/>
          <w:lang w:val="es-MX"/>
        </w:rPr>
      </w:pPr>
    </w:p>
    <w:p w14:paraId="0F1C178A" w14:textId="77777777" w:rsidR="00960BE9" w:rsidRPr="00515068" w:rsidRDefault="00960BE9" w:rsidP="00960BE9">
      <w:pPr>
        <w:spacing w:after="0"/>
        <w:rPr>
          <w:rFonts w:ascii="Times New Roman" w:hAnsi="Times New Roman" w:cs="Times New Roman"/>
          <w:color w:val="FF0000"/>
          <w:sz w:val="24"/>
        </w:rPr>
        <w:sectPr w:rsidR="00960BE9" w:rsidRPr="00515068" w:rsidSect="00960BE9">
          <w:headerReference w:type="default" r:id="rId13"/>
          <w:footerReference w:type="default" r:id="rId14"/>
          <w:type w:val="continuous"/>
          <w:pgSz w:w="12240" w:h="15840"/>
          <w:pgMar w:top="1417" w:right="1701" w:bottom="1417" w:left="1701" w:header="708" w:footer="708" w:gutter="0"/>
          <w:cols w:space="708"/>
          <w:docGrid w:linePitch="360"/>
        </w:sectPr>
      </w:pPr>
    </w:p>
    <w:p w14:paraId="43BFD303" w14:textId="77777777" w:rsidR="005E386C" w:rsidRDefault="005E386C" w:rsidP="005E386C">
      <w:pPr>
        <w:spacing w:after="0" w:line="240" w:lineRule="auto"/>
        <w:jc w:val="both"/>
        <w:rPr>
          <w:rFonts w:ascii="Times New Roman" w:hAnsi="Times New Roman" w:cs="Times New Roman"/>
        </w:rPr>
      </w:pPr>
      <w:r>
        <w:rPr>
          <w:rFonts w:ascii="Times New Roman" w:hAnsi="Times New Roman" w:cs="Times New Roman"/>
        </w:rPr>
        <w:t>Mayo, quinto mes del año en el que la recaudación tributaria continúa superando la meta y por lo tanto ampliándose la brecha por una dinámica positiva en el Impuesto Sobre la Renta (ISR), Impuesto de Solidaridad (ISO), e Impuesto al Valor Agregado (IVA), principalmente el asociado al comercio exterior.</w:t>
      </w:r>
    </w:p>
    <w:p w14:paraId="310EF7AD" w14:textId="77777777" w:rsidR="005E386C" w:rsidRDefault="005E386C" w:rsidP="005E386C">
      <w:pPr>
        <w:spacing w:after="0" w:line="240" w:lineRule="auto"/>
        <w:jc w:val="both"/>
        <w:rPr>
          <w:rFonts w:ascii="Times New Roman" w:hAnsi="Times New Roman" w:cs="Times New Roman"/>
        </w:rPr>
      </w:pPr>
    </w:p>
    <w:p w14:paraId="26407CAB" w14:textId="77777777" w:rsidR="005E386C" w:rsidRDefault="005E386C" w:rsidP="005E386C">
      <w:pPr>
        <w:spacing w:after="0" w:line="240" w:lineRule="auto"/>
        <w:jc w:val="both"/>
        <w:rPr>
          <w:rFonts w:ascii="Times New Roman" w:hAnsi="Times New Roman" w:cs="Times New Roman"/>
        </w:rPr>
      </w:pPr>
      <w:r>
        <w:rPr>
          <w:rFonts w:ascii="Times New Roman" w:hAnsi="Times New Roman" w:cs="Times New Roman"/>
        </w:rPr>
        <w:t xml:space="preserve">La evolución de la recaudación tributaria total neta de mayo fue </w:t>
      </w:r>
      <w:r w:rsidRPr="004C1154">
        <w:rPr>
          <w:rFonts w:ascii="Times New Roman" w:hAnsi="Times New Roman" w:cs="Times New Roman"/>
        </w:rPr>
        <w:t>de Q6,200.6</w:t>
      </w:r>
      <w:r>
        <w:rPr>
          <w:rFonts w:ascii="Times New Roman" w:hAnsi="Times New Roman" w:cs="Times New Roman"/>
        </w:rPr>
        <w:t xml:space="preserve"> millones, superior en </w:t>
      </w:r>
      <w:r w:rsidRPr="004C1154">
        <w:rPr>
          <w:rFonts w:ascii="Times New Roman" w:hAnsi="Times New Roman" w:cs="Times New Roman"/>
        </w:rPr>
        <w:t>Q765.9</w:t>
      </w:r>
      <w:r>
        <w:rPr>
          <w:rFonts w:ascii="Times New Roman" w:hAnsi="Times New Roman" w:cs="Times New Roman"/>
        </w:rPr>
        <w:t xml:space="preserve"> millones respecto a lo establecido en la meta que se situaba en Q5,434.7 millones.</w:t>
      </w:r>
      <w:r w:rsidDel="00C835AD">
        <w:rPr>
          <w:rFonts w:ascii="Times New Roman" w:hAnsi="Times New Roman" w:cs="Times New Roman"/>
        </w:rPr>
        <w:t xml:space="preserve"> </w:t>
      </w:r>
    </w:p>
    <w:p w14:paraId="12FB7747" w14:textId="77777777" w:rsidR="005E386C" w:rsidRDefault="005E386C" w:rsidP="005E386C">
      <w:pPr>
        <w:spacing w:after="0" w:line="240" w:lineRule="auto"/>
        <w:jc w:val="both"/>
        <w:rPr>
          <w:rFonts w:ascii="Times New Roman" w:hAnsi="Times New Roman" w:cs="Times New Roman"/>
        </w:rPr>
      </w:pPr>
    </w:p>
    <w:p w14:paraId="541B9963" w14:textId="77777777" w:rsidR="00960BE9" w:rsidRPr="005E386C" w:rsidRDefault="005E386C" w:rsidP="005E386C">
      <w:pPr>
        <w:spacing w:after="0" w:line="240" w:lineRule="auto"/>
        <w:jc w:val="both"/>
        <w:rPr>
          <w:rFonts w:ascii="Times New Roman" w:hAnsi="Times New Roman" w:cs="Times New Roman"/>
          <w:b/>
        </w:rPr>
      </w:pPr>
      <w:r>
        <w:rPr>
          <w:rFonts w:ascii="Times New Roman" w:hAnsi="Times New Roman" w:cs="Times New Roman"/>
        </w:rPr>
        <w:t xml:space="preserve">La recaudación tributaria total neta acumulada a mayo experimentó una brecha positiva acumulada </w:t>
      </w:r>
      <w:r w:rsidRPr="00B10AF8">
        <w:rPr>
          <w:rFonts w:ascii="Times New Roman" w:hAnsi="Times New Roman" w:cs="Times New Roman"/>
        </w:rPr>
        <w:t>de Q4,565.6</w:t>
      </w:r>
      <w:r>
        <w:rPr>
          <w:rFonts w:ascii="Times New Roman" w:hAnsi="Times New Roman" w:cs="Times New Roman"/>
        </w:rPr>
        <w:t xml:space="preserve"> </w:t>
      </w:r>
      <w:r w:rsidRPr="00500AD2">
        <w:rPr>
          <w:rFonts w:ascii="Times New Roman" w:hAnsi="Times New Roman" w:cs="Times New Roman"/>
        </w:rPr>
        <w:t>millones respecto a la meta</w:t>
      </w:r>
      <w:r>
        <w:rPr>
          <w:rFonts w:ascii="Times New Roman" w:hAnsi="Times New Roman" w:cs="Times New Roman"/>
        </w:rPr>
        <w:t>,</w:t>
      </w:r>
      <w:r w:rsidRPr="00500AD2">
        <w:rPr>
          <w:rFonts w:ascii="Times New Roman" w:hAnsi="Times New Roman" w:cs="Times New Roman"/>
        </w:rPr>
        <w:t xml:space="preserve"> </w:t>
      </w:r>
      <w:r>
        <w:rPr>
          <w:rFonts w:ascii="Times New Roman" w:hAnsi="Times New Roman" w:cs="Times New Roman"/>
        </w:rPr>
        <w:t xml:space="preserve">siendo los impuestos que contribuyeron en mayor cuantía </w:t>
      </w:r>
      <w:r w:rsidRPr="00500AD2">
        <w:rPr>
          <w:rFonts w:ascii="Times New Roman" w:hAnsi="Times New Roman" w:cs="Times New Roman"/>
        </w:rPr>
        <w:t xml:space="preserve">el ISR, IVA total, </w:t>
      </w:r>
      <w:r>
        <w:rPr>
          <w:rFonts w:ascii="Times New Roman" w:hAnsi="Times New Roman" w:cs="Times New Roman"/>
        </w:rPr>
        <w:t xml:space="preserve">ISO, </w:t>
      </w:r>
      <w:r w:rsidRPr="00500AD2">
        <w:rPr>
          <w:rFonts w:ascii="Times New Roman" w:hAnsi="Times New Roman" w:cs="Times New Roman"/>
        </w:rPr>
        <w:t>D</w:t>
      </w:r>
      <w:r>
        <w:rPr>
          <w:rFonts w:ascii="Times New Roman" w:hAnsi="Times New Roman" w:cs="Times New Roman"/>
        </w:rPr>
        <w:t xml:space="preserve">erechos </w:t>
      </w:r>
      <w:r w:rsidRPr="00500AD2">
        <w:rPr>
          <w:rFonts w:ascii="Times New Roman" w:hAnsi="Times New Roman" w:cs="Times New Roman"/>
        </w:rPr>
        <w:t>A</w:t>
      </w:r>
      <w:r>
        <w:rPr>
          <w:rFonts w:ascii="Times New Roman" w:hAnsi="Times New Roman" w:cs="Times New Roman"/>
        </w:rPr>
        <w:t xml:space="preserve">rancelarios a la </w:t>
      </w:r>
      <w:r w:rsidRPr="00500AD2">
        <w:rPr>
          <w:rFonts w:ascii="Times New Roman" w:hAnsi="Times New Roman" w:cs="Times New Roman"/>
        </w:rPr>
        <w:t>I</w:t>
      </w:r>
      <w:r>
        <w:rPr>
          <w:rFonts w:ascii="Times New Roman" w:hAnsi="Times New Roman" w:cs="Times New Roman"/>
        </w:rPr>
        <w:t>mportación (DAI)</w:t>
      </w:r>
      <w:r w:rsidRPr="00500AD2">
        <w:rPr>
          <w:rFonts w:ascii="Times New Roman" w:hAnsi="Times New Roman" w:cs="Times New Roman"/>
        </w:rPr>
        <w:t xml:space="preserve">, Circulación de Vehículos </w:t>
      </w:r>
      <w:r>
        <w:rPr>
          <w:rFonts w:ascii="Times New Roman" w:hAnsi="Times New Roman" w:cs="Times New Roman"/>
        </w:rPr>
        <w:t>e</w:t>
      </w:r>
      <w:r w:rsidRPr="00500AD2">
        <w:rPr>
          <w:rFonts w:ascii="Times New Roman" w:hAnsi="Times New Roman" w:cs="Times New Roman"/>
        </w:rPr>
        <w:t xml:space="preserve"> IPRIMA. </w:t>
      </w:r>
      <w:r>
        <w:rPr>
          <w:rFonts w:ascii="Times New Roman" w:hAnsi="Times New Roman" w:cs="Times New Roman"/>
        </w:rPr>
        <w:t xml:space="preserve">El único impuesto que generó una brecha </w:t>
      </w:r>
      <w:r w:rsidRPr="005E386C">
        <w:rPr>
          <w:rFonts w:ascii="Times New Roman" w:hAnsi="Times New Roman" w:cs="Times New Roman"/>
        </w:rPr>
        <w:t>negativa fue el de Derivados del Petróleo (Q23.6 millones).</w:t>
      </w:r>
    </w:p>
    <w:p w14:paraId="41D84674" w14:textId="77777777" w:rsidR="00371E68" w:rsidRPr="005E386C" w:rsidRDefault="00371E68" w:rsidP="00960BE9">
      <w:pPr>
        <w:spacing w:after="0" w:line="240" w:lineRule="auto"/>
        <w:jc w:val="both"/>
        <w:rPr>
          <w:rFonts w:ascii="Times New Roman" w:hAnsi="Times New Roman" w:cs="Times New Roman"/>
          <w:b/>
        </w:rPr>
      </w:pPr>
    </w:p>
    <w:p w14:paraId="2113A1AA" w14:textId="77777777" w:rsidR="00960BE9" w:rsidRPr="005E386C" w:rsidRDefault="00960BE9" w:rsidP="0094241B">
      <w:pPr>
        <w:spacing w:after="0" w:line="240" w:lineRule="auto"/>
        <w:jc w:val="center"/>
        <w:rPr>
          <w:rFonts w:ascii="Times New Roman" w:hAnsi="Times New Roman" w:cs="Times New Roman"/>
          <w:b/>
          <w:sz w:val="24"/>
        </w:rPr>
      </w:pPr>
      <w:r w:rsidRPr="005E386C">
        <w:rPr>
          <w:rFonts w:ascii="Times New Roman" w:hAnsi="Times New Roman" w:cs="Times New Roman"/>
          <w:b/>
          <w:sz w:val="24"/>
        </w:rPr>
        <w:t>Brecha mensual de recaudación respecto a presupuesto</w:t>
      </w:r>
    </w:p>
    <w:p w14:paraId="092DC237" w14:textId="77777777" w:rsidR="00960BE9" w:rsidRPr="005E386C" w:rsidRDefault="00960BE9" w:rsidP="00960BE9">
      <w:pPr>
        <w:spacing w:after="0" w:line="240" w:lineRule="auto"/>
        <w:jc w:val="center"/>
        <w:rPr>
          <w:rFonts w:ascii="Times New Roman" w:hAnsi="Times New Roman" w:cs="Times New Roman"/>
          <w:bCs/>
          <w:szCs w:val="20"/>
        </w:rPr>
      </w:pPr>
      <w:r w:rsidRPr="005E386C">
        <w:rPr>
          <w:rFonts w:ascii="Times New Roman" w:hAnsi="Times New Roman" w:cs="Times New Roman"/>
          <w:bCs/>
          <w:szCs w:val="20"/>
        </w:rPr>
        <w:t>En millones de quetzales</w:t>
      </w:r>
    </w:p>
    <w:p w14:paraId="3B806816" w14:textId="77777777" w:rsidR="00D509EF" w:rsidRPr="005E386C" w:rsidRDefault="005E386C" w:rsidP="00960BE9">
      <w:pPr>
        <w:spacing w:after="0" w:line="240" w:lineRule="auto"/>
        <w:jc w:val="center"/>
        <w:rPr>
          <w:rFonts w:ascii="Times New Roman" w:hAnsi="Times New Roman" w:cs="Times New Roman"/>
          <w:bCs/>
          <w:szCs w:val="20"/>
        </w:rPr>
      </w:pPr>
      <w:r w:rsidRPr="005E386C">
        <w:rPr>
          <w:noProof/>
          <w:lang w:eastAsia="es-GT"/>
        </w:rPr>
        <w:drawing>
          <wp:anchor distT="0" distB="0" distL="114300" distR="114300" simplePos="0" relativeHeight="251798528" behindDoc="0" locked="0" layoutInCell="1" allowOverlap="1" wp14:anchorId="11EBD4AA" wp14:editId="1F4A4697">
            <wp:simplePos x="0" y="0"/>
            <wp:positionH relativeFrom="column">
              <wp:posOffset>0</wp:posOffset>
            </wp:positionH>
            <wp:positionV relativeFrom="paragraph">
              <wp:posOffset>0</wp:posOffset>
            </wp:positionV>
            <wp:extent cx="2631056" cy="2000885"/>
            <wp:effectExtent l="0" t="0" r="0" b="0"/>
            <wp:wrapNone/>
            <wp:docPr id="235" name="Gráfico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4825DEFF" w14:textId="77777777" w:rsidR="00D509EF" w:rsidRPr="005E386C" w:rsidRDefault="00D509EF" w:rsidP="00960BE9">
      <w:pPr>
        <w:spacing w:after="0" w:line="240" w:lineRule="auto"/>
        <w:jc w:val="center"/>
        <w:rPr>
          <w:rFonts w:ascii="Times New Roman" w:hAnsi="Times New Roman" w:cs="Times New Roman"/>
          <w:bCs/>
          <w:szCs w:val="20"/>
        </w:rPr>
      </w:pPr>
    </w:p>
    <w:p w14:paraId="6FE8AFA8" w14:textId="77777777" w:rsidR="00D509EF" w:rsidRPr="005E386C" w:rsidRDefault="00D509EF" w:rsidP="00960BE9">
      <w:pPr>
        <w:spacing w:after="0" w:line="240" w:lineRule="auto"/>
        <w:jc w:val="center"/>
        <w:rPr>
          <w:rFonts w:ascii="Times New Roman" w:hAnsi="Times New Roman" w:cs="Times New Roman"/>
          <w:bCs/>
          <w:szCs w:val="20"/>
        </w:rPr>
      </w:pPr>
    </w:p>
    <w:p w14:paraId="4CA7A3C3" w14:textId="77777777" w:rsidR="00D509EF" w:rsidRPr="005E386C" w:rsidRDefault="00D509EF" w:rsidP="00960BE9">
      <w:pPr>
        <w:spacing w:after="0" w:line="240" w:lineRule="auto"/>
        <w:jc w:val="center"/>
        <w:rPr>
          <w:rFonts w:ascii="Times New Roman" w:hAnsi="Times New Roman" w:cs="Times New Roman"/>
          <w:bCs/>
          <w:szCs w:val="20"/>
        </w:rPr>
      </w:pPr>
    </w:p>
    <w:p w14:paraId="564240B0" w14:textId="77777777" w:rsidR="00960BE9" w:rsidRPr="005E386C" w:rsidRDefault="00960BE9" w:rsidP="00960BE9">
      <w:pPr>
        <w:spacing w:after="0" w:line="240" w:lineRule="auto"/>
        <w:jc w:val="both"/>
        <w:rPr>
          <w:rFonts w:ascii="Times New Roman" w:hAnsi="Times New Roman" w:cs="Times New Roman"/>
        </w:rPr>
      </w:pPr>
    </w:p>
    <w:p w14:paraId="46B87967" w14:textId="77777777" w:rsidR="00D509EF" w:rsidRPr="005E386C" w:rsidRDefault="00D509EF" w:rsidP="00960BE9">
      <w:pPr>
        <w:spacing w:after="0" w:line="240" w:lineRule="auto"/>
        <w:jc w:val="both"/>
        <w:rPr>
          <w:rFonts w:ascii="Times New Roman" w:hAnsi="Times New Roman" w:cs="Times New Roman"/>
        </w:rPr>
      </w:pPr>
    </w:p>
    <w:p w14:paraId="2E16399D" w14:textId="77777777" w:rsidR="00D509EF" w:rsidRPr="005E386C" w:rsidRDefault="00D509EF" w:rsidP="00960BE9">
      <w:pPr>
        <w:spacing w:after="0" w:line="240" w:lineRule="auto"/>
        <w:jc w:val="both"/>
        <w:rPr>
          <w:rFonts w:ascii="Times New Roman" w:hAnsi="Times New Roman" w:cs="Times New Roman"/>
        </w:rPr>
      </w:pPr>
    </w:p>
    <w:p w14:paraId="25AD03AB" w14:textId="77777777" w:rsidR="00D509EF" w:rsidRPr="005E386C" w:rsidRDefault="00D509EF" w:rsidP="00960BE9">
      <w:pPr>
        <w:spacing w:after="0" w:line="240" w:lineRule="auto"/>
        <w:jc w:val="both"/>
        <w:rPr>
          <w:rFonts w:ascii="Times New Roman" w:hAnsi="Times New Roman" w:cs="Times New Roman"/>
        </w:rPr>
      </w:pPr>
    </w:p>
    <w:p w14:paraId="79728378" w14:textId="77777777" w:rsidR="00D509EF" w:rsidRPr="005E386C" w:rsidRDefault="00D509EF" w:rsidP="00960BE9">
      <w:pPr>
        <w:spacing w:after="0" w:line="240" w:lineRule="auto"/>
        <w:jc w:val="both"/>
        <w:rPr>
          <w:rFonts w:ascii="Times New Roman" w:hAnsi="Times New Roman" w:cs="Times New Roman"/>
        </w:rPr>
      </w:pPr>
    </w:p>
    <w:p w14:paraId="392A9652" w14:textId="77777777" w:rsidR="00D509EF" w:rsidRPr="005E386C" w:rsidRDefault="00D509EF" w:rsidP="00960BE9">
      <w:pPr>
        <w:spacing w:after="0" w:line="240" w:lineRule="auto"/>
        <w:jc w:val="both"/>
        <w:rPr>
          <w:rFonts w:ascii="Times New Roman" w:hAnsi="Times New Roman" w:cs="Times New Roman"/>
        </w:rPr>
      </w:pPr>
    </w:p>
    <w:p w14:paraId="31D587DB" w14:textId="77777777" w:rsidR="00D509EF" w:rsidRPr="005E386C" w:rsidRDefault="00D509EF" w:rsidP="00960BE9">
      <w:pPr>
        <w:spacing w:after="0" w:line="240" w:lineRule="auto"/>
        <w:jc w:val="both"/>
        <w:rPr>
          <w:rFonts w:ascii="Times New Roman" w:hAnsi="Times New Roman" w:cs="Times New Roman"/>
        </w:rPr>
      </w:pPr>
    </w:p>
    <w:p w14:paraId="67C99BA5" w14:textId="77777777" w:rsidR="001B456C" w:rsidRPr="005E386C" w:rsidRDefault="001B456C" w:rsidP="00960BE9">
      <w:pPr>
        <w:spacing w:after="0" w:line="240" w:lineRule="auto"/>
        <w:jc w:val="both"/>
        <w:rPr>
          <w:rFonts w:ascii="Times New Roman" w:hAnsi="Times New Roman" w:cs="Times New Roman"/>
          <w:sz w:val="18"/>
        </w:rPr>
      </w:pPr>
    </w:p>
    <w:p w14:paraId="3C6506E5" w14:textId="77777777" w:rsidR="001B456C" w:rsidRPr="005E386C" w:rsidRDefault="001B456C" w:rsidP="00960BE9">
      <w:pPr>
        <w:spacing w:after="0" w:line="240" w:lineRule="auto"/>
        <w:jc w:val="both"/>
        <w:rPr>
          <w:rFonts w:ascii="Times New Roman" w:hAnsi="Times New Roman" w:cs="Times New Roman"/>
          <w:sz w:val="18"/>
        </w:rPr>
      </w:pPr>
    </w:p>
    <w:p w14:paraId="0AC665FF" w14:textId="77777777" w:rsidR="00112F6C" w:rsidRPr="005E386C" w:rsidRDefault="00112F6C" w:rsidP="00112F6C">
      <w:pPr>
        <w:pStyle w:val="Sinespaciado"/>
        <w:rPr>
          <w:rFonts w:ascii="Times New Roman" w:hAnsi="Times New Roman" w:cs="Times New Roman"/>
          <w:sz w:val="16"/>
          <w:szCs w:val="18"/>
          <w:lang w:val="es-MX"/>
        </w:rPr>
      </w:pPr>
      <w:r w:rsidRPr="005E386C">
        <w:rPr>
          <w:rFonts w:ascii="Times New Roman" w:hAnsi="Times New Roman" w:cs="Times New Roman"/>
          <w:sz w:val="16"/>
          <w:szCs w:val="18"/>
          <w:lang w:val="es-MX"/>
        </w:rPr>
        <w:t>Fuente: Dirección de Análisis y Política Fiscal.</w:t>
      </w:r>
    </w:p>
    <w:p w14:paraId="7843A334" w14:textId="77777777" w:rsidR="00960BE9" w:rsidRPr="00515068" w:rsidRDefault="00960BE9" w:rsidP="00960BE9">
      <w:pPr>
        <w:spacing w:after="0" w:line="240" w:lineRule="auto"/>
        <w:jc w:val="both"/>
        <w:rPr>
          <w:rFonts w:ascii="Times New Roman" w:hAnsi="Times New Roman" w:cs="Times New Roman"/>
          <w:color w:val="FF0000"/>
          <w:lang w:val="es-MX"/>
        </w:rPr>
      </w:pPr>
    </w:p>
    <w:p w14:paraId="55D8EB3D" w14:textId="77777777" w:rsidR="00960BE9" w:rsidRDefault="00286DB5" w:rsidP="00960BE9">
      <w:pPr>
        <w:spacing w:after="0" w:line="240" w:lineRule="auto"/>
        <w:jc w:val="both"/>
        <w:rPr>
          <w:rFonts w:ascii="Times New Roman" w:hAnsi="Times New Roman" w:cs="Times New Roman"/>
        </w:rPr>
      </w:pPr>
      <w:r>
        <w:rPr>
          <w:rFonts w:ascii="Times New Roman" w:hAnsi="Times New Roman" w:cs="Times New Roman"/>
        </w:rPr>
        <w:t xml:space="preserve">Las expectativas de cierre para este ejercicio 2022, considerando el esfuerzo administrativo de la SAT constante, promoviendo reducir las brechas de incumplimiento, permitiría que se cumpla al menos con los Q76,314.9 millones, </w:t>
      </w:r>
      <w:r>
        <w:rPr>
          <w:rFonts w:ascii="Times New Roman" w:hAnsi="Times New Roman" w:cs="Times New Roman"/>
        </w:rPr>
        <w:t>que corresponden a la meta establecida en el presupuesto.</w:t>
      </w:r>
    </w:p>
    <w:p w14:paraId="7DC56BFB" w14:textId="77777777" w:rsidR="00286DB5" w:rsidRPr="00515068" w:rsidRDefault="00286DB5" w:rsidP="00960BE9">
      <w:pPr>
        <w:spacing w:after="0" w:line="240" w:lineRule="auto"/>
        <w:jc w:val="both"/>
        <w:rPr>
          <w:rFonts w:ascii="Times New Roman" w:hAnsi="Times New Roman" w:cs="Times New Roman"/>
          <w:color w:val="FF0000"/>
        </w:rPr>
      </w:pPr>
    </w:p>
    <w:p w14:paraId="19CC80CF" w14:textId="77777777" w:rsidR="00960BE9" w:rsidRPr="00286DB5" w:rsidRDefault="00960BE9" w:rsidP="00960BE9">
      <w:pPr>
        <w:spacing w:after="0" w:line="240" w:lineRule="auto"/>
        <w:jc w:val="center"/>
        <w:rPr>
          <w:rFonts w:ascii="Times New Roman" w:hAnsi="Times New Roman" w:cs="Times New Roman"/>
          <w:b/>
          <w:sz w:val="24"/>
        </w:rPr>
      </w:pPr>
      <w:r w:rsidRPr="00286DB5">
        <w:rPr>
          <w:rFonts w:ascii="Times New Roman" w:hAnsi="Times New Roman" w:cs="Times New Roman"/>
          <w:b/>
          <w:sz w:val="24"/>
        </w:rPr>
        <w:t xml:space="preserve">Variación de la recaudación tributaria neta </w:t>
      </w:r>
      <w:r w:rsidR="00286DB5" w:rsidRPr="00286DB5">
        <w:rPr>
          <w:rFonts w:ascii="Times New Roman" w:hAnsi="Times New Roman" w:cs="Times New Roman"/>
          <w:b/>
          <w:sz w:val="24"/>
        </w:rPr>
        <w:t>acumulada de mayo</w:t>
      </w:r>
    </w:p>
    <w:p w14:paraId="55764C28" w14:textId="77777777" w:rsidR="00960BE9" w:rsidRPr="00286DB5" w:rsidRDefault="00960BE9" w:rsidP="00960BE9">
      <w:pPr>
        <w:spacing w:after="0" w:line="240" w:lineRule="auto"/>
        <w:jc w:val="center"/>
        <w:rPr>
          <w:rFonts w:ascii="Times New Roman" w:hAnsi="Times New Roman" w:cs="Times New Roman"/>
        </w:rPr>
      </w:pPr>
      <w:r w:rsidRPr="00286DB5">
        <w:rPr>
          <w:rFonts w:ascii="Times New Roman" w:hAnsi="Times New Roman" w:cs="Times New Roman"/>
        </w:rPr>
        <w:t>Millones de quetzales</w:t>
      </w:r>
    </w:p>
    <w:p w14:paraId="365474E5" w14:textId="77777777" w:rsidR="00F01B17" w:rsidRPr="00286DB5" w:rsidRDefault="00286DB5" w:rsidP="00960BE9">
      <w:pPr>
        <w:spacing w:after="0" w:line="240" w:lineRule="auto"/>
        <w:jc w:val="center"/>
        <w:rPr>
          <w:rFonts w:ascii="Times New Roman" w:hAnsi="Times New Roman" w:cs="Times New Roman"/>
        </w:rPr>
      </w:pPr>
      <w:r w:rsidRPr="00286DB5">
        <w:rPr>
          <w:noProof/>
          <w:lang w:eastAsia="es-GT"/>
        </w:rPr>
        <w:drawing>
          <wp:anchor distT="0" distB="0" distL="114300" distR="114300" simplePos="0" relativeHeight="251800576" behindDoc="0" locked="0" layoutInCell="1" allowOverlap="1" wp14:anchorId="7F82D79B" wp14:editId="599663D2">
            <wp:simplePos x="0" y="0"/>
            <wp:positionH relativeFrom="column">
              <wp:posOffset>0</wp:posOffset>
            </wp:positionH>
            <wp:positionV relativeFrom="paragraph">
              <wp:posOffset>-635</wp:posOffset>
            </wp:positionV>
            <wp:extent cx="2632710" cy="1992702"/>
            <wp:effectExtent l="0" t="0" r="0" b="7620"/>
            <wp:wrapNone/>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1155147" w14:textId="77777777" w:rsidR="00F01B17" w:rsidRPr="00286DB5" w:rsidRDefault="00F01B17" w:rsidP="00960BE9">
      <w:pPr>
        <w:spacing w:after="0" w:line="240" w:lineRule="auto"/>
        <w:jc w:val="center"/>
        <w:rPr>
          <w:rFonts w:ascii="Times New Roman" w:hAnsi="Times New Roman" w:cs="Times New Roman"/>
        </w:rPr>
      </w:pPr>
    </w:p>
    <w:p w14:paraId="09DBF3B4" w14:textId="77777777" w:rsidR="00F01B17" w:rsidRPr="00286DB5" w:rsidRDefault="00F01B17" w:rsidP="00960BE9">
      <w:pPr>
        <w:spacing w:after="0" w:line="240" w:lineRule="auto"/>
        <w:jc w:val="center"/>
        <w:rPr>
          <w:rFonts w:ascii="Times New Roman" w:hAnsi="Times New Roman" w:cs="Times New Roman"/>
        </w:rPr>
      </w:pPr>
    </w:p>
    <w:p w14:paraId="5620EAE0" w14:textId="77777777" w:rsidR="00F01B17" w:rsidRPr="00286DB5" w:rsidRDefault="00F01B17" w:rsidP="00960BE9">
      <w:pPr>
        <w:spacing w:after="0" w:line="240" w:lineRule="auto"/>
        <w:jc w:val="center"/>
        <w:rPr>
          <w:rFonts w:ascii="Times New Roman" w:hAnsi="Times New Roman" w:cs="Times New Roman"/>
        </w:rPr>
      </w:pPr>
    </w:p>
    <w:p w14:paraId="47DF6CD7" w14:textId="77777777" w:rsidR="00F01B17" w:rsidRPr="00286DB5" w:rsidRDefault="00F01B17" w:rsidP="00960BE9">
      <w:pPr>
        <w:spacing w:after="0" w:line="240" w:lineRule="auto"/>
        <w:jc w:val="center"/>
        <w:rPr>
          <w:rFonts w:ascii="Times New Roman" w:hAnsi="Times New Roman" w:cs="Times New Roman"/>
        </w:rPr>
      </w:pPr>
    </w:p>
    <w:p w14:paraId="615F494C" w14:textId="77777777" w:rsidR="00F01B17" w:rsidRPr="00286DB5" w:rsidRDefault="00F01B17" w:rsidP="00960BE9">
      <w:pPr>
        <w:spacing w:after="0" w:line="240" w:lineRule="auto"/>
        <w:jc w:val="center"/>
        <w:rPr>
          <w:rFonts w:ascii="Times New Roman" w:hAnsi="Times New Roman" w:cs="Times New Roman"/>
        </w:rPr>
      </w:pPr>
    </w:p>
    <w:p w14:paraId="1F8BD69B" w14:textId="77777777" w:rsidR="00F01B17" w:rsidRPr="00286DB5" w:rsidRDefault="00F01B17" w:rsidP="00960BE9">
      <w:pPr>
        <w:spacing w:after="0" w:line="240" w:lineRule="auto"/>
        <w:jc w:val="center"/>
        <w:rPr>
          <w:rFonts w:ascii="Times New Roman" w:hAnsi="Times New Roman" w:cs="Times New Roman"/>
        </w:rPr>
      </w:pPr>
    </w:p>
    <w:p w14:paraId="52B4C4A9" w14:textId="77777777" w:rsidR="00F01B17" w:rsidRPr="00286DB5" w:rsidRDefault="00F01B17" w:rsidP="00960BE9">
      <w:pPr>
        <w:spacing w:after="0" w:line="240" w:lineRule="auto"/>
        <w:jc w:val="center"/>
        <w:rPr>
          <w:rFonts w:ascii="Times New Roman" w:hAnsi="Times New Roman" w:cs="Times New Roman"/>
        </w:rPr>
      </w:pPr>
    </w:p>
    <w:p w14:paraId="7BE964C0" w14:textId="77777777" w:rsidR="00F01B17" w:rsidRPr="00286DB5" w:rsidRDefault="00F01B17" w:rsidP="00960BE9">
      <w:pPr>
        <w:spacing w:after="0" w:line="240" w:lineRule="auto"/>
        <w:jc w:val="center"/>
        <w:rPr>
          <w:rFonts w:ascii="Times New Roman" w:hAnsi="Times New Roman" w:cs="Times New Roman"/>
        </w:rPr>
      </w:pPr>
    </w:p>
    <w:p w14:paraId="43CB2664" w14:textId="77777777" w:rsidR="00F01B17" w:rsidRPr="00286DB5" w:rsidRDefault="00F01B17" w:rsidP="00960BE9">
      <w:pPr>
        <w:spacing w:after="0" w:line="240" w:lineRule="auto"/>
        <w:jc w:val="center"/>
        <w:rPr>
          <w:rFonts w:ascii="Times New Roman" w:hAnsi="Times New Roman" w:cs="Times New Roman"/>
        </w:rPr>
      </w:pPr>
    </w:p>
    <w:p w14:paraId="638CA1EB" w14:textId="77777777" w:rsidR="00F01B17" w:rsidRPr="00286DB5" w:rsidRDefault="00F01B17" w:rsidP="00960BE9">
      <w:pPr>
        <w:spacing w:after="0" w:line="240" w:lineRule="auto"/>
        <w:jc w:val="center"/>
        <w:rPr>
          <w:rFonts w:ascii="Times New Roman" w:hAnsi="Times New Roman" w:cs="Times New Roman"/>
        </w:rPr>
      </w:pPr>
    </w:p>
    <w:p w14:paraId="252C9B2D" w14:textId="77777777" w:rsidR="00F01B17" w:rsidRPr="00286DB5" w:rsidRDefault="00F01B17" w:rsidP="00960BE9">
      <w:pPr>
        <w:spacing w:after="0" w:line="240" w:lineRule="auto"/>
        <w:jc w:val="center"/>
        <w:rPr>
          <w:rFonts w:ascii="Times New Roman" w:hAnsi="Times New Roman" w:cs="Times New Roman"/>
        </w:rPr>
      </w:pPr>
    </w:p>
    <w:p w14:paraId="3B49C8EB" w14:textId="77777777" w:rsidR="00F46A2C" w:rsidRPr="00286DB5" w:rsidRDefault="00F46A2C" w:rsidP="00112F6C">
      <w:pPr>
        <w:pStyle w:val="Sinespaciado"/>
        <w:rPr>
          <w:rFonts w:ascii="Times New Roman" w:hAnsi="Times New Roman" w:cs="Times New Roman"/>
          <w:sz w:val="16"/>
          <w:szCs w:val="18"/>
          <w:lang w:val="es-MX"/>
        </w:rPr>
      </w:pPr>
    </w:p>
    <w:p w14:paraId="18ADA25C" w14:textId="77777777" w:rsidR="00112F6C" w:rsidRPr="00286DB5" w:rsidRDefault="00112F6C" w:rsidP="00112F6C">
      <w:pPr>
        <w:pStyle w:val="Sinespaciado"/>
        <w:rPr>
          <w:rFonts w:ascii="Times New Roman" w:hAnsi="Times New Roman" w:cs="Times New Roman"/>
          <w:sz w:val="16"/>
          <w:szCs w:val="18"/>
          <w:lang w:val="es-MX"/>
        </w:rPr>
      </w:pPr>
      <w:r w:rsidRPr="00286DB5">
        <w:rPr>
          <w:rFonts w:ascii="Times New Roman" w:hAnsi="Times New Roman" w:cs="Times New Roman"/>
          <w:sz w:val="16"/>
          <w:szCs w:val="18"/>
          <w:lang w:val="es-MX"/>
        </w:rPr>
        <w:t>Fuente: Dirección de Análisis y Política Fiscal.</w:t>
      </w:r>
    </w:p>
    <w:p w14:paraId="583A65BB" w14:textId="77777777" w:rsidR="00371E68" w:rsidRPr="00515068" w:rsidRDefault="00371E68" w:rsidP="00960BE9">
      <w:pPr>
        <w:spacing w:after="0" w:line="240" w:lineRule="auto"/>
        <w:jc w:val="both"/>
        <w:rPr>
          <w:rFonts w:ascii="Times New Roman" w:hAnsi="Times New Roman" w:cs="Times New Roman"/>
          <w:color w:val="FF0000"/>
          <w:lang w:val="es-MX"/>
        </w:rPr>
      </w:pPr>
    </w:p>
    <w:p w14:paraId="535DAD9F" w14:textId="77777777" w:rsidR="00960BE9" w:rsidRDefault="00286DB5" w:rsidP="00960BE9">
      <w:pPr>
        <w:spacing w:after="0" w:line="240" w:lineRule="auto"/>
        <w:jc w:val="both"/>
        <w:rPr>
          <w:rFonts w:ascii="Times New Roman" w:hAnsi="Times New Roman" w:cs="Times New Roman"/>
          <w:color w:val="FF0000"/>
        </w:rPr>
      </w:pPr>
      <w:r>
        <w:rPr>
          <w:rFonts w:ascii="Times New Roman" w:hAnsi="Times New Roman" w:cs="Times New Roman"/>
        </w:rPr>
        <w:t xml:space="preserve">El ritmo de crecimiento de la recaudación asociada al comercio exterior observada en 2021 se mantiene alta para el presente ejercicio, generándose una brecha positiva acumulada a mayo respecto a la meta de Q2,617.8 millones, y con relación a lo observado en 2021 de Q2,444.3 millones, es decir, 28.1% de forma interanual.  Este  resultado combina por una parte el seguimiento de las medidas implementadas en 2021 en el ramo de aduanas, en donde se continúan implementando acciones para combatir la defraudación y el contrabando que redundaron en mayor eficiencia del control aduanero, seguimiento del plan de combate al contrabando aduanero puesta en marcha a través de puestos de control interinstitucional (a la fecha van 6), a la simplificación, automatización y transparencia en el ingreso y salida de la carga vía aérea, fortalecimiento de la gestión de riesgo, operativos interinstitucionales en aduanas aéreas, terrestres, marítimas, puestos fronterizos, depósitos aduaneros y zonas francas, puesta en marcha del sistema de etiquetas de radiofrecuencia -RFID-, fortalecimiento del intercambio de información con otros Estados Parte, que se han reflejado en acciones a </w:t>
      </w:r>
      <w:r>
        <w:rPr>
          <w:rFonts w:ascii="Times New Roman" w:hAnsi="Times New Roman" w:cs="Times New Roman"/>
        </w:rPr>
        <w:lastRenderedPageBreak/>
        <w:t>empresas que se dedican a la importación de pacas de ropa, fortalecimiento de la valoración aduanera  y a las mejoras en el tiempo de atención de solicitudes entre otras, y también por el efecto del precio de los combustibles y otros productos importados, que siguen una tendencia alcista en sus precios y que impacta en el mismo sentido en la recaudación aduanera asociada con las importaciones.</w:t>
      </w:r>
      <w:r w:rsidR="00960BE9" w:rsidRPr="00515068">
        <w:rPr>
          <w:rFonts w:ascii="Times New Roman" w:hAnsi="Times New Roman" w:cs="Times New Roman"/>
          <w:color w:val="FF0000"/>
        </w:rPr>
        <w:t xml:space="preserve"> </w:t>
      </w:r>
    </w:p>
    <w:p w14:paraId="4BDA7BD0" w14:textId="77777777" w:rsidR="00286DB5" w:rsidRDefault="00286DB5" w:rsidP="00960BE9">
      <w:pPr>
        <w:spacing w:after="0" w:line="240" w:lineRule="auto"/>
        <w:jc w:val="both"/>
        <w:rPr>
          <w:rFonts w:ascii="Times New Roman" w:hAnsi="Times New Roman" w:cs="Times New Roman"/>
          <w:color w:val="FF0000"/>
        </w:rPr>
      </w:pPr>
      <w:r>
        <w:rPr>
          <w:rFonts w:ascii="Times New Roman" w:hAnsi="Times New Roman" w:cs="Times New Roman"/>
          <w:noProof/>
          <w:sz w:val="24"/>
          <w:szCs w:val="24"/>
          <w:lang w:eastAsia="es-GT"/>
        </w:rPr>
        <mc:AlternateContent>
          <mc:Choice Requires="wps">
            <w:drawing>
              <wp:anchor distT="0" distB="0" distL="114300" distR="114300" simplePos="0" relativeHeight="251802624" behindDoc="0" locked="0" layoutInCell="1" allowOverlap="1" wp14:anchorId="79805BB5" wp14:editId="4C4B2896">
                <wp:simplePos x="0" y="0"/>
                <wp:positionH relativeFrom="column">
                  <wp:posOffset>-117968</wp:posOffset>
                </wp:positionH>
                <wp:positionV relativeFrom="paragraph">
                  <wp:posOffset>97259</wp:posOffset>
                </wp:positionV>
                <wp:extent cx="2838735" cy="4230806"/>
                <wp:effectExtent l="0" t="0" r="19050" b="17780"/>
                <wp:wrapNone/>
                <wp:docPr id="247" name="Rectángulo redondeado 247"/>
                <wp:cNvGraphicFramePr/>
                <a:graphic xmlns:a="http://schemas.openxmlformats.org/drawingml/2006/main">
                  <a:graphicData uri="http://schemas.microsoft.com/office/word/2010/wordprocessingShape">
                    <wps:wsp>
                      <wps:cNvSpPr/>
                      <wps:spPr>
                        <a:xfrm>
                          <a:off x="0" y="0"/>
                          <a:ext cx="2838735" cy="4230806"/>
                        </a:xfrm>
                        <a:prstGeom prst="roundRect">
                          <a:avLst>
                            <a:gd name="adj" fmla="val 5854"/>
                          </a:avLst>
                        </a:prstGeom>
                        <a:solidFill>
                          <a:schemeClr val="accent1">
                            <a:alpha val="3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6AE7DC" w14:textId="77777777" w:rsidR="001C5B4A" w:rsidRDefault="001C5B4A" w:rsidP="00286DB5">
                            <w:pPr>
                              <w:spacing w:after="0"/>
                              <w:jc w:val="both"/>
                              <w:rPr>
                                <w:rFonts w:ascii="Times New Roman" w:hAnsi="Times New Roman" w:cs="Times New Roman"/>
                                <w:b/>
                                <w:bCs/>
                                <w:color w:val="000000" w:themeColor="text1"/>
                                <w:sz w:val="17"/>
                                <w:szCs w:val="17"/>
                                <w:u w:val="single"/>
                                <w:lang w:val="es-US"/>
                              </w:rPr>
                            </w:pPr>
                            <w:r>
                              <w:rPr>
                                <w:rFonts w:ascii="Times New Roman" w:hAnsi="Times New Roman" w:cs="Times New Roman"/>
                                <w:b/>
                                <w:bCs/>
                                <w:color w:val="000000" w:themeColor="text1"/>
                                <w:sz w:val="17"/>
                                <w:szCs w:val="17"/>
                                <w:u w:val="single"/>
                                <w:lang w:val="es-US"/>
                              </w:rPr>
                              <w:t>Importaciones de Territorio Aduanero en abril</w:t>
                            </w:r>
                          </w:p>
                          <w:p w14:paraId="7E4DD555" w14:textId="77777777" w:rsidR="001C5B4A" w:rsidRDefault="001C5B4A" w:rsidP="00286DB5">
                            <w:pPr>
                              <w:jc w:val="both"/>
                              <w:rPr>
                                <w:rFonts w:ascii="Times New Roman" w:hAnsi="Times New Roman" w:cs="Times New Roman"/>
                                <w:color w:val="000000" w:themeColor="text1"/>
                                <w:sz w:val="17"/>
                                <w:szCs w:val="17"/>
                                <w:lang w:val="es-US"/>
                              </w:rPr>
                            </w:pPr>
                            <w:r w:rsidRPr="00DD2315">
                              <w:rPr>
                                <w:rFonts w:ascii="Times New Roman" w:hAnsi="Times New Roman" w:cs="Times New Roman"/>
                                <w:color w:val="000000" w:themeColor="text1"/>
                                <w:sz w:val="17"/>
                                <w:szCs w:val="17"/>
                                <w:lang w:val="es-US"/>
                              </w:rPr>
                              <w:t xml:space="preserve">Destaca </w:t>
                            </w:r>
                            <w:r>
                              <w:rPr>
                                <w:rFonts w:ascii="Times New Roman" w:hAnsi="Times New Roman" w:cs="Times New Roman"/>
                                <w:color w:val="000000" w:themeColor="text1"/>
                                <w:sz w:val="17"/>
                                <w:szCs w:val="17"/>
                                <w:lang w:val="es-US"/>
                              </w:rPr>
                              <w:t>que el valor de las importaciones de territorio aduanero a abril tiene un crecimiento 32.5% respecto a lo observado en 2021, siendo los combustibles y lubricantes los que mayor crecimiento reflejaron (57.2%) seguidos por las materias primas y productos intermedios (46.4%), medido respecto al volumen importado los Bienes de Consumo no duraderos crecieron en 14.9% y las Materias Primas y Productos Intermedios para la Industria crecieron en 11.8%, los Materiales de Construcción en 9.5% y por el contrario los Bienes de Capital disminuyeron en 21.7%.</w:t>
                            </w:r>
                          </w:p>
                          <w:p w14:paraId="0AFE2C2C" w14:textId="77777777" w:rsidR="001C5B4A" w:rsidRDefault="001C5B4A" w:rsidP="00286DB5">
                            <w:pPr>
                              <w:jc w:val="both"/>
                              <w:rPr>
                                <w:rFonts w:ascii="Times New Roman" w:hAnsi="Times New Roman" w:cs="Times New Roman"/>
                                <w:b/>
                                <w:bCs/>
                                <w:color w:val="000000" w:themeColor="text1"/>
                                <w:sz w:val="17"/>
                                <w:szCs w:val="17"/>
                                <w:u w:val="single"/>
                                <w:lang w:val="es-US"/>
                              </w:rPr>
                            </w:pPr>
                            <w:r>
                              <w:rPr>
                                <w:rFonts w:ascii="Times New Roman" w:hAnsi="Times New Roman" w:cs="Times New Roman"/>
                                <w:b/>
                                <w:bCs/>
                                <w:color w:val="000000" w:themeColor="text1"/>
                                <w:sz w:val="17"/>
                                <w:szCs w:val="17"/>
                                <w:u w:val="single"/>
                                <w:lang w:val="es-US"/>
                              </w:rPr>
                              <w:t>Principales Importaciones de Zona Franca</w:t>
                            </w:r>
                          </w:p>
                          <w:p w14:paraId="53F14510" w14:textId="28085B88" w:rsidR="001C5B4A" w:rsidRDefault="001C5B4A" w:rsidP="00286DB5">
                            <w:pPr>
                              <w:jc w:val="both"/>
                              <w:rPr>
                                <w:rFonts w:ascii="Times New Roman" w:hAnsi="Times New Roman" w:cs="Times New Roman"/>
                                <w:color w:val="000000" w:themeColor="text1"/>
                                <w:sz w:val="17"/>
                                <w:szCs w:val="17"/>
                                <w:lang w:val="es-US"/>
                              </w:rPr>
                            </w:pPr>
                            <w:r>
                              <w:rPr>
                                <w:rFonts w:ascii="Times New Roman" w:hAnsi="Times New Roman" w:cs="Times New Roman"/>
                                <w:color w:val="000000" w:themeColor="text1"/>
                                <w:sz w:val="17"/>
                                <w:szCs w:val="17"/>
                                <w:lang w:val="es-US"/>
                              </w:rPr>
                              <w:t xml:space="preserve">El valor del total de las importaciones realizadas bajo este régimen refleja un crecimiento interanual a abril de 73.2% explicado principalmente por los Combustibles y Lubricantes que crece en 113.2%, llamando la atención que, aún con el incremento de precio en los combustibles, el almacenamiento en los recintos de estos regímenes sugiere un incremento significativo del consumo.  Seguido por las Materias Primas y Productos Intermedios para la industria que crece en 36.7% y el de </w:t>
                            </w:r>
                            <w:r w:rsidR="0033702C">
                              <w:rPr>
                                <w:rFonts w:ascii="Times New Roman" w:hAnsi="Times New Roman" w:cs="Times New Roman"/>
                                <w:color w:val="000000" w:themeColor="text1"/>
                                <w:sz w:val="17"/>
                                <w:szCs w:val="17"/>
                                <w:lang w:val="es-US"/>
                              </w:rPr>
                              <w:t>B</w:t>
                            </w:r>
                            <w:r>
                              <w:rPr>
                                <w:rFonts w:ascii="Times New Roman" w:hAnsi="Times New Roman" w:cs="Times New Roman"/>
                                <w:color w:val="000000" w:themeColor="text1"/>
                                <w:sz w:val="17"/>
                                <w:szCs w:val="17"/>
                                <w:lang w:val="es-US"/>
                              </w:rPr>
                              <w:t xml:space="preserve">ienes de </w:t>
                            </w:r>
                            <w:r w:rsidR="0033702C">
                              <w:rPr>
                                <w:rFonts w:ascii="Times New Roman" w:hAnsi="Times New Roman" w:cs="Times New Roman"/>
                                <w:color w:val="000000" w:themeColor="text1"/>
                                <w:sz w:val="17"/>
                                <w:szCs w:val="17"/>
                                <w:lang w:val="es-US"/>
                              </w:rPr>
                              <w:t>C</w:t>
                            </w:r>
                            <w:r>
                              <w:rPr>
                                <w:rFonts w:ascii="Times New Roman" w:hAnsi="Times New Roman" w:cs="Times New Roman"/>
                                <w:color w:val="000000" w:themeColor="text1"/>
                                <w:sz w:val="17"/>
                                <w:szCs w:val="17"/>
                                <w:lang w:val="es-US"/>
                              </w:rPr>
                              <w:t>onsumo que crece en 34.6% y el de Bienes de Capital para el Transporte que crece en 227%</w:t>
                            </w:r>
                          </w:p>
                          <w:p w14:paraId="69F34FAD" w14:textId="77777777" w:rsidR="001C5B4A" w:rsidRDefault="001C5B4A" w:rsidP="00286DB5">
                            <w:pPr>
                              <w:jc w:val="both"/>
                              <w:rPr>
                                <w:rFonts w:ascii="Times New Roman" w:hAnsi="Times New Roman" w:cs="Times New Roman"/>
                                <w:color w:val="000000" w:themeColor="text1"/>
                                <w:sz w:val="17"/>
                                <w:szCs w:val="17"/>
                                <w:lang w:val="es-US"/>
                              </w:rPr>
                            </w:pPr>
                            <w:r>
                              <w:rPr>
                                <w:rFonts w:ascii="Times New Roman" w:hAnsi="Times New Roman" w:cs="Times New Roman"/>
                                <w:color w:val="000000" w:themeColor="text1"/>
                                <w:sz w:val="17"/>
                                <w:szCs w:val="17"/>
                                <w:lang w:val="es-US"/>
                              </w:rPr>
                              <w:t>Destaca en las importaciones de estos dos regímenes el comportamiento del volumen de las importaciones de Combustibles y Lubricantes que en territorio aduanero crecen en 8.6% mientras que en las importaciones de Zona Franca crecen en 45.2%.</w:t>
                            </w:r>
                          </w:p>
                          <w:p w14:paraId="36448A06" w14:textId="77777777" w:rsidR="001C5B4A" w:rsidRDefault="001C5B4A" w:rsidP="00286DB5">
                            <w:pPr>
                              <w:pStyle w:val="Sinespaciado"/>
                              <w:rPr>
                                <w:noProof/>
                                <w:sz w:val="20"/>
                                <w:szCs w:val="20"/>
                                <w:lang w:eastAsia="es-GT"/>
                              </w:rPr>
                            </w:pPr>
                          </w:p>
                          <w:p w14:paraId="7E6FCA6A" w14:textId="77777777" w:rsidR="001C5B4A" w:rsidRPr="00112F6C" w:rsidRDefault="001C5B4A" w:rsidP="00286DB5">
                            <w:pPr>
                              <w:pStyle w:val="Sinespaciado"/>
                              <w:rPr>
                                <w:rFonts w:ascii="Times New Roman" w:hAnsi="Times New Roman" w:cs="Times New Roman"/>
                                <w:color w:val="000000" w:themeColor="text1"/>
                                <w:sz w:val="18"/>
                                <w:szCs w:val="18"/>
                                <w:lang w:val="es-MX"/>
                              </w:rPr>
                            </w:pPr>
                            <w:r w:rsidRPr="00112F6C">
                              <w:rPr>
                                <w:rFonts w:ascii="Times New Roman" w:hAnsi="Times New Roman" w:cs="Times New Roman"/>
                                <w:sz w:val="18"/>
                                <w:szCs w:val="18"/>
                                <w:lang w:val="es-MX"/>
                              </w:rPr>
                              <w:t xml:space="preserve"> </w:t>
                            </w:r>
                          </w:p>
                          <w:p w14:paraId="21B5343A" w14:textId="77777777" w:rsidR="001C5B4A" w:rsidRPr="00112F6C" w:rsidRDefault="001C5B4A" w:rsidP="00286DB5">
                            <w:pPr>
                              <w:jc w:val="both"/>
                              <w:rPr>
                                <w:color w:val="000000" w:themeColor="text1"/>
                                <w:sz w:val="18"/>
                                <w:szCs w:val="18"/>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805BB5" id="Rectángulo redondeado 247" o:spid="_x0000_s1026" style="position:absolute;left:0;text-align:left;margin-left:-9.3pt;margin-top:7.65pt;width:223.5pt;height:333.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38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UMvAIAAOAFAAAOAAAAZHJzL2Uyb0RvYy54bWysVM1u2zAMvg/YOwi6r3b+2iyoUwQtOgwo&#10;2qLt0LOin9iDLGqSkjh7mz1LX2yU7DjB2u4wLAeFFMmP5GeR5xdNrclGOl+BKejgJKdEGg6iMquC&#10;fnu6/jSlxAdmBNNgZEF30tOL+ccP51s7k0MoQQvpCIIYP9vagpYh2FmWeV7KmvkTsNKgUYGrWUDV&#10;rTLh2BbRa50N8/w024IT1gGX3uPtVWuk84SvlOThTikvA9EFxdpCOl06l/HM5udstnLMlhXvymD/&#10;UEXNKoNJe6grFhhZu+oVVF1xBx5UOOFQZ6BUxWXqAbsZ5H9081gyK1MvSI63PU3+/8Hy2829I5Uo&#10;6HB8RolhNX6kB6Tt5ZdZrTUQJwUYIZkAEj2Qr631Mwx7tPeu0zyKsflGuTr+Y1ukSRzveo5lEwjH&#10;y+F0ND0bTSjhaBsPR/k0P42o2SHcOh++SKhJFArqYG1ELCkRzDY3PiSmRVctE98pUbXG77Zhmkym&#10;k3EH2Pki9B4yBnrQlbiutE5KfGjyUjuCsQVlnEsTBm0mbUvWXo9y/HWg6WnGiFTzEVgWiWmpSFLY&#10;aRlTaPMgFVIcm0/APcLrnL5kQrbXk3dzJsCIrLCJHrst+h3sluDOP4bKNBt9cP63wtrgPiJlBhP6&#10;4Loy4N4C0Mhkl7n1R8qOqIliaJYNukRxCWKHb9FBO6Te8usKH8AN8+GeOfy6OL+4acIdHkrDtqDQ&#10;SZSU4H6+dR/9cVjQSskWp7yg/seaOUmJ/mpwjD4PxuO4FpIynpwNUXHHluWxxazrS8BXMsCdZnkS&#10;o3/Qe1E5qJ9xIS1iVjQxwzF3QXlwe+UytNsHVxqXi0Vyw1VgWbgxj5ZH8EhwfLBPzTNztpuCgAN0&#10;C/uNwGbpbbfkHnxjpIHFOoCqQjQeeO0UXCPp3XYrL+6pYz15HRbz/DcAAAD//wMAUEsDBBQABgAI&#10;AAAAIQAux4sM3wAAAAoBAAAPAAAAZHJzL2Rvd25yZXYueG1sTI9Ba4NAEIXvhf6HZQq9JasxtWJd&#10;Qwn0lksTKeS20YlKd2fFXY35952e2uPwPt77ptgt1ogZR987UhCvIxBItWt6ahVUp49VBsIHTY02&#10;jlDBHT3syseHQueNu9EnzsfQCi4hn2sFXQhDLqWvO7Tar92AxNnVjVYHPsdWNqO+cbk1chNFqbS6&#10;J17o9ID7Duvv42QV7M10rebT+fULg4yruzmck+Sg1PPT8v4GIuAS/mD41Wd1KNnp4iZqvDAKVnGW&#10;MsrBSwKCge0m24K4KEizOAVZFvL/C+UPAAAA//8DAFBLAQItABQABgAIAAAAIQC2gziS/gAAAOEB&#10;AAATAAAAAAAAAAAAAAAAAAAAAABbQ29udGVudF9UeXBlc10ueG1sUEsBAi0AFAAGAAgAAAAhADj9&#10;If/WAAAAlAEAAAsAAAAAAAAAAAAAAAAALwEAAF9yZWxzLy5yZWxzUEsBAi0AFAAGAAgAAAAhAFWF&#10;dQy8AgAA4AUAAA4AAAAAAAAAAAAAAAAALgIAAGRycy9lMm9Eb2MueG1sUEsBAi0AFAAGAAgAAAAh&#10;AC7HiwzfAAAACgEAAA8AAAAAAAAAAAAAAAAAFgUAAGRycy9kb3ducmV2LnhtbFBLBQYAAAAABAAE&#10;APMAAAAiBgAAAAA=&#10;" fillcolor="#5b9bd5 [3204]" strokecolor="#1f4d78 [1604]" strokeweight="1pt">
                <v:fill opacity="19789f"/>
                <v:stroke joinstyle="miter"/>
                <v:textbox>
                  <w:txbxContent>
                    <w:p w14:paraId="766AE7DC" w14:textId="77777777" w:rsidR="001C5B4A" w:rsidRDefault="001C5B4A" w:rsidP="00286DB5">
                      <w:pPr>
                        <w:spacing w:after="0"/>
                        <w:jc w:val="both"/>
                        <w:rPr>
                          <w:rFonts w:ascii="Times New Roman" w:hAnsi="Times New Roman" w:cs="Times New Roman"/>
                          <w:b/>
                          <w:bCs/>
                          <w:color w:val="000000" w:themeColor="text1"/>
                          <w:sz w:val="17"/>
                          <w:szCs w:val="17"/>
                          <w:u w:val="single"/>
                          <w:lang w:val="es-US"/>
                        </w:rPr>
                      </w:pPr>
                      <w:r>
                        <w:rPr>
                          <w:rFonts w:ascii="Times New Roman" w:hAnsi="Times New Roman" w:cs="Times New Roman"/>
                          <w:b/>
                          <w:bCs/>
                          <w:color w:val="000000" w:themeColor="text1"/>
                          <w:sz w:val="17"/>
                          <w:szCs w:val="17"/>
                          <w:u w:val="single"/>
                          <w:lang w:val="es-US"/>
                        </w:rPr>
                        <w:t>Importaciones de Territorio Aduanero en abril</w:t>
                      </w:r>
                    </w:p>
                    <w:p w14:paraId="7E4DD555" w14:textId="77777777" w:rsidR="001C5B4A" w:rsidRDefault="001C5B4A" w:rsidP="00286DB5">
                      <w:pPr>
                        <w:jc w:val="both"/>
                        <w:rPr>
                          <w:rFonts w:ascii="Times New Roman" w:hAnsi="Times New Roman" w:cs="Times New Roman"/>
                          <w:color w:val="000000" w:themeColor="text1"/>
                          <w:sz w:val="17"/>
                          <w:szCs w:val="17"/>
                          <w:lang w:val="es-US"/>
                        </w:rPr>
                      </w:pPr>
                      <w:r w:rsidRPr="00DD2315">
                        <w:rPr>
                          <w:rFonts w:ascii="Times New Roman" w:hAnsi="Times New Roman" w:cs="Times New Roman"/>
                          <w:color w:val="000000" w:themeColor="text1"/>
                          <w:sz w:val="17"/>
                          <w:szCs w:val="17"/>
                          <w:lang w:val="es-US"/>
                        </w:rPr>
                        <w:t xml:space="preserve">Destaca </w:t>
                      </w:r>
                      <w:r>
                        <w:rPr>
                          <w:rFonts w:ascii="Times New Roman" w:hAnsi="Times New Roman" w:cs="Times New Roman"/>
                          <w:color w:val="000000" w:themeColor="text1"/>
                          <w:sz w:val="17"/>
                          <w:szCs w:val="17"/>
                          <w:lang w:val="es-US"/>
                        </w:rPr>
                        <w:t>que el valor de las importaciones de territorio aduanero a abril tiene un crecimiento 32.5% respecto a lo observado en 2021, siendo los combustibles y lubricantes los que mayor crecimiento reflejaron (57.2%) seguidos por las materias primas y productos intermedios (46.4%), medido respecto al volumen importado los Bienes de Consumo no duraderos crecieron en 14.9% y las Materias Primas y Productos Intermedios para la Industria crecieron en 11.8%, los Materiales de Construcción en 9.5% y por el contrario los Bienes de Capital disminuyeron en 21.7%.</w:t>
                      </w:r>
                    </w:p>
                    <w:p w14:paraId="0AFE2C2C" w14:textId="77777777" w:rsidR="001C5B4A" w:rsidRDefault="001C5B4A" w:rsidP="00286DB5">
                      <w:pPr>
                        <w:jc w:val="both"/>
                        <w:rPr>
                          <w:rFonts w:ascii="Times New Roman" w:hAnsi="Times New Roman" w:cs="Times New Roman"/>
                          <w:b/>
                          <w:bCs/>
                          <w:color w:val="000000" w:themeColor="text1"/>
                          <w:sz w:val="17"/>
                          <w:szCs w:val="17"/>
                          <w:u w:val="single"/>
                          <w:lang w:val="es-US"/>
                        </w:rPr>
                      </w:pPr>
                      <w:r>
                        <w:rPr>
                          <w:rFonts w:ascii="Times New Roman" w:hAnsi="Times New Roman" w:cs="Times New Roman"/>
                          <w:b/>
                          <w:bCs/>
                          <w:color w:val="000000" w:themeColor="text1"/>
                          <w:sz w:val="17"/>
                          <w:szCs w:val="17"/>
                          <w:u w:val="single"/>
                          <w:lang w:val="es-US"/>
                        </w:rPr>
                        <w:t>Principales Importaciones de Zona Franca</w:t>
                      </w:r>
                    </w:p>
                    <w:p w14:paraId="53F14510" w14:textId="28085B88" w:rsidR="001C5B4A" w:rsidRDefault="001C5B4A" w:rsidP="00286DB5">
                      <w:pPr>
                        <w:jc w:val="both"/>
                        <w:rPr>
                          <w:rFonts w:ascii="Times New Roman" w:hAnsi="Times New Roman" w:cs="Times New Roman"/>
                          <w:color w:val="000000" w:themeColor="text1"/>
                          <w:sz w:val="17"/>
                          <w:szCs w:val="17"/>
                          <w:lang w:val="es-US"/>
                        </w:rPr>
                      </w:pPr>
                      <w:r>
                        <w:rPr>
                          <w:rFonts w:ascii="Times New Roman" w:hAnsi="Times New Roman" w:cs="Times New Roman"/>
                          <w:color w:val="000000" w:themeColor="text1"/>
                          <w:sz w:val="17"/>
                          <w:szCs w:val="17"/>
                          <w:lang w:val="es-US"/>
                        </w:rPr>
                        <w:t xml:space="preserve">El valor del total de las importaciones realizadas bajo este régimen refleja un crecimiento interanual a abril de 73.2% explicado principalmente por los Combustibles y Lubricantes que crece en 113.2%, llamando la atención que, aún con el incremento de precio en los combustibles, el almacenamiento en los recintos de estos regímenes sugiere un incremento significativo del consumo.  Seguido por las Materias Primas y Productos Intermedios para la industria que crece en 36.7% y el de </w:t>
                      </w:r>
                      <w:r w:rsidR="0033702C">
                        <w:rPr>
                          <w:rFonts w:ascii="Times New Roman" w:hAnsi="Times New Roman" w:cs="Times New Roman"/>
                          <w:color w:val="000000" w:themeColor="text1"/>
                          <w:sz w:val="17"/>
                          <w:szCs w:val="17"/>
                          <w:lang w:val="es-US"/>
                        </w:rPr>
                        <w:t>B</w:t>
                      </w:r>
                      <w:r>
                        <w:rPr>
                          <w:rFonts w:ascii="Times New Roman" w:hAnsi="Times New Roman" w:cs="Times New Roman"/>
                          <w:color w:val="000000" w:themeColor="text1"/>
                          <w:sz w:val="17"/>
                          <w:szCs w:val="17"/>
                          <w:lang w:val="es-US"/>
                        </w:rPr>
                        <w:t xml:space="preserve">ienes de </w:t>
                      </w:r>
                      <w:r w:rsidR="0033702C">
                        <w:rPr>
                          <w:rFonts w:ascii="Times New Roman" w:hAnsi="Times New Roman" w:cs="Times New Roman"/>
                          <w:color w:val="000000" w:themeColor="text1"/>
                          <w:sz w:val="17"/>
                          <w:szCs w:val="17"/>
                          <w:lang w:val="es-US"/>
                        </w:rPr>
                        <w:t>C</w:t>
                      </w:r>
                      <w:r>
                        <w:rPr>
                          <w:rFonts w:ascii="Times New Roman" w:hAnsi="Times New Roman" w:cs="Times New Roman"/>
                          <w:color w:val="000000" w:themeColor="text1"/>
                          <w:sz w:val="17"/>
                          <w:szCs w:val="17"/>
                          <w:lang w:val="es-US"/>
                        </w:rPr>
                        <w:t>onsumo que crece en 34.6% y el de Bienes de Capital para el Transporte que crece en 227%</w:t>
                      </w:r>
                    </w:p>
                    <w:p w14:paraId="69F34FAD" w14:textId="77777777" w:rsidR="001C5B4A" w:rsidRDefault="001C5B4A" w:rsidP="00286DB5">
                      <w:pPr>
                        <w:jc w:val="both"/>
                        <w:rPr>
                          <w:rFonts w:ascii="Times New Roman" w:hAnsi="Times New Roman" w:cs="Times New Roman"/>
                          <w:color w:val="000000" w:themeColor="text1"/>
                          <w:sz w:val="17"/>
                          <w:szCs w:val="17"/>
                          <w:lang w:val="es-US"/>
                        </w:rPr>
                      </w:pPr>
                      <w:r>
                        <w:rPr>
                          <w:rFonts w:ascii="Times New Roman" w:hAnsi="Times New Roman" w:cs="Times New Roman"/>
                          <w:color w:val="000000" w:themeColor="text1"/>
                          <w:sz w:val="17"/>
                          <w:szCs w:val="17"/>
                          <w:lang w:val="es-US"/>
                        </w:rPr>
                        <w:t>Destaca en las importaciones de estos dos regímenes el comportamiento del volumen de las importaciones de Combustibles y Lubricantes que en territorio aduanero crecen en 8.6% mientras que en las importaciones de Zona Franca crecen en 45.2%.</w:t>
                      </w:r>
                    </w:p>
                    <w:p w14:paraId="36448A06" w14:textId="77777777" w:rsidR="001C5B4A" w:rsidRDefault="001C5B4A" w:rsidP="00286DB5">
                      <w:pPr>
                        <w:pStyle w:val="Sinespaciado"/>
                        <w:rPr>
                          <w:noProof/>
                          <w:sz w:val="20"/>
                          <w:szCs w:val="20"/>
                          <w:lang w:eastAsia="es-GT"/>
                        </w:rPr>
                      </w:pPr>
                    </w:p>
                    <w:p w14:paraId="7E6FCA6A" w14:textId="77777777" w:rsidR="001C5B4A" w:rsidRPr="00112F6C" w:rsidRDefault="001C5B4A" w:rsidP="00286DB5">
                      <w:pPr>
                        <w:pStyle w:val="Sinespaciado"/>
                        <w:rPr>
                          <w:rFonts w:ascii="Times New Roman" w:hAnsi="Times New Roman" w:cs="Times New Roman"/>
                          <w:color w:val="000000" w:themeColor="text1"/>
                          <w:sz w:val="18"/>
                          <w:szCs w:val="18"/>
                          <w:lang w:val="es-MX"/>
                        </w:rPr>
                      </w:pPr>
                      <w:r w:rsidRPr="00112F6C">
                        <w:rPr>
                          <w:rFonts w:ascii="Times New Roman" w:hAnsi="Times New Roman" w:cs="Times New Roman"/>
                          <w:sz w:val="18"/>
                          <w:szCs w:val="18"/>
                          <w:lang w:val="es-MX"/>
                        </w:rPr>
                        <w:t xml:space="preserve"> </w:t>
                      </w:r>
                    </w:p>
                    <w:p w14:paraId="21B5343A" w14:textId="77777777" w:rsidR="001C5B4A" w:rsidRPr="00112F6C" w:rsidRDefault="001C5B4A" w:rsidP="00286DB5">
                      <w:pPr>
                        <w:jc w:val="both"/>
                        <w:rPr>
                          <w:color w:val="000000" w:themeColor="text1"/>
                          <w:sz w:val="18"/>
                          <w:szCs w:val="18"/>
                          <w:lang w:val="es-MX"/>
                        </w:rPr>
                      </w:pPr>
                    </w:p>
                  </w:txbxContent>
                </v:textbox>
              </v:roundrect>
            </w:pict>
          </mc:Fallback>
        </mc:AlternateContent>
      </w:r>
    </w:p>
    <w:p w14:paraId="17CCA63E" w14:textId="77777777" w:rsidR="00286DB5" w:rsidRDefault="00286DB5" w:rsidP="00960BE9">
      <w:pPr>
        <w:spacing w:after="0" w:line="240" w:lineRule="auto"/>
        <w:jc w:val="both"/>
        <w:rPr>
          <w:rFonts w:ascii="Times New Roman" w:hAnsi="Times New Roman" w:cs="Times New Roman"/>
          <w:color w:val="FF0000"/>
        </w:rPr>
      </w:pPr>
    </w:p>
    <w:p w14:paraId="21125D89" w14:textId="77777777" w:rsidR="00286DB5" w:rsidRDefault="00286DB5" w:rsidP="00960BE9">
      <w:pPr>
        <w:spacing w:after="0" w:line="240" w:lineRule="auto"/>
        <w:jc w:val="both"/>
        <w:rPr>
          <w:rFonts w:ascii="Times New Roman" w:hAnsi="Times New Roman" w:cs="Times New Roman"/>
          <w:color w:val="FF0000"/>
        </w:rPr>
      </w:pPr>
    </w:p>
    <w:p w14:paraId="589B0F69" w14:textId="77777777" w:rsidR="00286DB5" w:rsidRDefault="00286DB5" w:rsidP="00960BE9">
      <w:pPr>
        <w:spacing w:after="0" w:line="240" w:lineRule="auto"/>
        <w:jc w:val="both"/>
        <w:rPr>
          <w:rFonts w:ascii="Times New Roman" w:hAnsi="Times New Roman" w:cs="Times New Roman"/>
          <w:color w:val="FF0000"/>
        </w:rPr>
      </w:pPr>
    </w:p>
    <w:p w14:paraId="4FAB034A" w14:textId="77777777" w:rsidR="00286DB5" w:rsidRDefault="00286DB5" w:rsidP="00960BE9">
      <w:pPr>
        <w:spacing w:after="0" w:line="240" w:lineRule="auto"/>
        <w:jc w:val="both"/>
        <w:rPr>
          <w:rFonts w:ascii="Times New Roman" w:hAnsi="Times New Roman" w:cs="Times New Roman"/>
          <w:color w:val="FF0000"/>
        </w:rPr>
      </w:pPr>
    </w:p>
    <w:p w14:paraId="6EAA070C" w14:textId="77777777" w:rsidR="00286DB5" w:rsidRDefault="00286DB5" w:rsidP="00960BE9">
      <w:pPr>
        <w:spacing w:after="0" w:line="240" w:lineRule="auto"/>
        <w:jc w:val="both"/>
        <w:rPr>
          <w:rFonts w:ascii="Times New Roman" w:hAnsi="Times New Roman" w:cs="Times New Roman"/>
          <w:color w:val="FF0000"/>
        </w:rPr>
      </w:pPr>
    </w:p>
    <w:p w14:paraId="0BDD370C" w14:textId="77777777" w:rsidR="00286DB5" w:rsidRDefault="00286DB5" w:rsidP="00960BE9">
      <w:pPr>
        <w:spacing w:after="0" w:line="240" w:lineRule="auto"/>
        <w:jc w:val="both"/>
        <w:rPr>
          <w:rFonts w:ascii="Times New Roman" w:hAnsi="Times New Roman" w:cs="Times New Roman"/>
          <w:color w:val="FF0000"/>
        </w:rPr>
      </w:pPr>
    </w:p>
    <w:p w14:paraId="40957930" w14:textId="77777777" w:rsidR="00286DB5" w:rsidRDefault="00286DB5" w:rsidP="00960BE9">
      <w:pPr>
        <w:spacing w:after="0" w:line="240" w:lineRule="auto"/>
        <w:jc w:val="both"/>
        <w:rPr>
          <w:rFonts w:ascii="Times New Roman" w:hAnsi="Times New Roman" w:cs="Times New Roman"/>
          <w:color w:val="FF0000"/>
        </w:rPr>
      </w:pPr>
    </w:p>
    <w:p w14:paraId="4156F842" w14:textId="77777777" w:rsidR="00286DB5" w:rsidRDefault="00286DB5" w:rsidP="00960BE9">
      <w:pPr>
        <w:spacing w:after="0" w:line="240" w:lineRule="auto"/>
        <w:jc w:val="both"/>
        <w:rPr>
          <w:rFonts w:ascii="Times New Roman" w:hAnsi="Times New Roman" w:cs="Times New Roman"/>
          <w:color w:val="FF0000"/>
        </w:rPr>
      </w:pPr>
    </w:p>
    <w:p w14:paraId="407EE34E" w14:textId="77777777" w:rsidR="00286DB5" w:rsidRDefault="00286DB5" w:rsidP="00960BE9">
      <w:pPr>
        <w:spacing w:after="0" w:line="240" w:lineRule="auto"/>
        <w:jc w:val="both"/>
        <w:rPr>
          <w:rFonts w:ascii="Times New Roman" w:hAnsi="Times New Roman" w:cs="Times New Roman"/>
          <w:color w:val="FF0000"/>
        </w:rPr>
      </w:pPr>
    </w:p>
    <w:p w14:paraId="5EE2ED51" w14:textId="77777777" w:rsidR="00286DB5" w:rsidRDefault="00286DB5" w:rsidP="00960BE9">
      <w:pPr>
        <w:spacing w:after="0" w:line="240" w:lineRule="auto"/>
        <w:jc w:val="both"/>
        <w:rPr>
          <w:rFonts w:ascii="Times New Roman" w:hAnsi="Times New Roman" w:cs="Times New Roman"/>
          <w:color w:val="FF0000"/>
        </w:rPr>
      </w:pPr>
    </w:p>
    <w:p w14:paraId="42B72F4A" w14:textId="77777777" w:rsidR="00286DB5" w:rsidRDefault="00286DB5" w:rsidP="00960BE9">
      <w:pPr>
        <w:spacing w:after="0" w:line="240" w:lineRule="auto"/>
        <w:jc w:val="both"/>
        <w:rPr>
          <w:rFonts w:ascii="Times New Roman" w:hAnsi="Times New Roman" w:cs="Times New Roman"/>
          <w:color w:val="FF0000"/>
        </w:rPr>
      </w:pPr>
    </w:p>
    <w:p w14:paraId="089E152F" w14:textId="77777777" w:rsidR="00286DB5" w:rsidRDefault="00286DB5" w:rsidP="00960BE9">
      <w:pPr>
        <w:spacing w:after="0" w:line="240" w:lineRule="auto"/>
        <w:jc w:val="both"/>
        <w:rPr>
          <w:rFonts w:ascii="Times New Roman" w:hAnsi="Times New Roman" w:cs="Times New Roman"/>
          <w:color w:val="FF0000"/>
        </w:rPr>
      </w:pPr>
    </w:p>
    <w:p w14:paraId="339F63BF" w14:textId="77777777" w:rsidR="00286DB5" w:rsidRDefault="00286DB5" w:rsidP="00960BE9">
      <w:pPr>
        <w:spacing w:after="0" w:line="240" w:lineRule="auto"/>
        <w:jc w:val="both"/>
        <w:rPr>
          <w:rFonts w:ascii="Times New Roman" w:hAnsi="Times New Roman" w:cs="Times New Roman"/>
          <w:color w:val="FF0000"/>
        </w:rPr>
      </w:pPr>
    </w:p>
    <w:p w14:paraId="04C26EA8" w14:textId="77777777" w:rsidR="00286DB5" w:rsidRPr="00515068" w:rsidRDefault="00286DB5" w:rsidP="00960BE9">
      <w:pPr>
        <w:spacing w:after="0" w:line="240" w:lineRule="auto"/>
        <w:jc w:val="both"/>
        <w:rPr>
          <w:rFonts w:ascii="Times New Roman" w:hAnsi="Times New Roman" w:cs="Times New Roman"/>
          <w:color w:val="FF0000"/>
        </w:rPr>
      </w:pPr>
    </w:p>
    <w:p w14:paraId="321BD576" w14:textId="77777777" w:rsidR="00960BE9" w:rsidRPr="00515068" w:rsidRDefault="00960BE9" w:rsidP="00960BE9">
      <w:pPr>
        <w:spacing w:after="0" w:line="240" w:lineRule="auto"/>
        <w:jc w:val="both"/>
        <w:rPr>
          <w:rFonts w:ascii="Times New Roman" w:hAnsi="Times New Roman" w:cs="Times New Roman"/>
          <w:color w:val="FF0000"/>
          <w:sz w:val="20"/>
        </w:rPr>
      </w:pPr>
    </w:p>
    <w:p w14:paraId="70D8CCB5" w14:textId="77777777" w:rsidR="00AE7265" w:rsidRPr="00515068" w:rsidRDefault="00AE7265" w:rsidP="00960BE9">
      <w:pPr>
        <w:spacing w:after="0" w:line="240" w:lineRule="auto"/>
        <w:jc w:val="both"/>
        <w:rPr>
          <w:rFonts w:ascii="Times New Roman" w:hAnsi="Times New Roman" w:cs="Times New Roman"/>
          <w:color w:val="FF0000"/>
          <w:sz w:val="20"/>
        </w:rPr>
      </w:pPr>
    </w:p>
    <w:p w14:paraId="4832287A" w14:textId="77777777" w:rsidR="00AE7265" w:rsidRPr="00515068" w:rsidRDefault="00AE7265" w:rsidP="00960BE9">
      <w:pPr>
        <w:spacing w:after="0" w:line="240" w:lineRule="auto"/>
        <w:jc w:val="both"/>
        <w:rPr>
          <w:rFonts w:ascii="Times New Roman" w:hAnsi="Times New Roman" w:cs="Times New Roman"/>
          <w:color w:val="FF0000"/>
          <w:sz w:val="20"/>
        </w:rPr>
      </w:pPr>
    </w:p>
    <w:p w14:paraId="47479960" w14:textId="77777777" w:rsidR="00AE7265" w:rsidRPr="00515068" w:rsidRDefault="00AE7265" w:rsidP="00960BE9">
      <w:pPr>
        <w:spacing w:after="0" w:line="240" w:lineRule="auto"/>
        <w:jc w:val="both"/>
        <w:rPr>
          <w:rFonts w:ascii="Times New Roman" w:hAnsi="Times New Roman" w:cs="Times New Roman"/>
          <w:color w:val="FF0000"/>
          <w:sz w:val="20"/>
        </w:rPr>
      </w:pPr>
    </w:p>
    <w:p w14:paraId="20D3D58A" w14:textId="77777777" w:rsidR="00AE7265" w:rsidRPr="00515068" w:rsidRDefault="00AE7265" w:rsidP="00960BE9">
      <w:pPr>
        <w:spacing w:after="0" w:line="240" w:lineRule="auto"/>
        <w:jc w:val="both"/>
        <w:rPr>
          <w:rFonts w:ascii="Times New Roman" w:hAnsi="Times New Roman" w:cs="Times New Roman"/>
          <w:color w:val="FF0000"/>
          <w:sz w:val="20"/>
        </w:rPr>
      </w:pPr>
    </w:p>
    <w:p w14:paraId="79B3C48E" w14:textId="77777777" w:rsidR="00AE7265" w:rsidRPr="00515068" w:rsidRDefault="00AE7265" w:rsidP="00960BE9">
      <w:pPr>
        <w:spacing w:after="0" w:line="240" w:lineRule="auto"/>
        <w:jc w:val="both"/>
        <w:rPr>
          <w:rFonts w:ascii="Times New Roman" w:hAnsi="Times New Roman" w:cs="Times New Roman"/>
          <w:color w:val="FF0000"/>
          <w:sz w:val="20"/>
        </w:rPr>
      </w:pPr>
    </w:p>
    <w:p w14:paraId="008868FC" w14:textId="77777777" w:rsidR="00AE7265" w:rsidRPr="00515068" w:rsidRDefault="00AE7265" w:rsidP="00960BE9">
      <w:pPr>
        <w:spacing w:after="0" w:line="240" w:lineRule="auto"/>
        <w:jc w:val="both"/>
        <w:rPr>
          <w:rFonts w:ascii="Times New Roman" w:hAnsi="Times New Roman" w:cs="Times New Roman"/>
          <w:color w:val="FF0000"/>
          <w:sz w:val="20"/>
        </w:rPr>
      </w:pPr>
    </w:p>
    <w:p w14:paraId="0C304685" w14:textId="77777777" w:rsidR="00AE7265" w:rsidRPr="00515068" w:rsidRDefault="00AE7265" w:rsidP="00960BE9">
      <w:pPr>
        <w:spacing w:after="0" w:line="240" w:lineRule="auto"/>
        <w:jc w:val="both"/>
        <w:rPr>
          <w:rFonts w:ascii="Times New Roman" w:hAnsi="Times New Roman" w:cs="Times New Roman"/>
          <w:color w:val="FF0000"/>
          <w:sz w:val="20"/>
        </w:rPr>
      </w:pPr>
    </w:p>
    <w:p w14:paraId="330E0DEC" w14:textId="77777777" w:rsidR="00AE7265" w:rsidRPr="00515068" w:rsidRDefault="00AE7265" w:rsidP="00960BE9">
      <w:pPr>
        <w:spacing w:after="0" w:line="240" w:lineRule="auto"/>
        <w:jc w:val="both"/>
        <w:rPr>
          <w:rFonts w:ascii="Times New Roman" w:hAnsi="Times New Roman" w:cs="Times New Roman"/>
          <w:color w:val="FF0000"/>
          <w:sz w:val="20"/>
        </w:rPr>
      </w:pPr>
    </w:p>
    <w:p w14:paraId="3D38DF27" w14:textId="77777777" w:rsidR="00AE7265" w:rsidRPr="00515068" w:rsidRDefault="00AE7265" w:rsidP="00960BE9">
      <w:pPr>
        <w:spacing w:after="0" w:line="240" w:lineRule="auto"/>
        <w:jc w:val="both"/>
        <w:rPr>
          <w:rFonts w:ascii="Times New Roman" w:hAnsi="Times New Roman" w:cs="Times New Roman"/>
          <w:color w:val="FF0000"/>
          <w:sz w:val="20"/>
        </w:rPr>
      </w:pPr>
    </w:p>
    <w:p w14:paraId="49D5B724" w14:textId="77777777" w:rsidR="006A2A15" w:rsidRPr="00515068" w:rsidRDefault="006A2A15" w:rsidP="00960BE9">
      <w:pPr>
        <w:spacing w:after="0" w:line="240" w:lineRule="auto"/>
        <w:jc w:val="both"/>
        <w:rPr>
          <w:rFonts w:ascii="Times New Roman" w:hAnsi="Times New Roman" w:cs="Times New Roman"/>
          <w:color w:val="FF0000"/>
          <w:sz w:val="20"/>
        </w:rPr>
      </w:pPr>
    </w:p>
    <w:p w14:paraId="26DFCBAD" w14:textId="77777777" w:rsidR="006A2A15" w:rsidRPr="00515068" w:rsidRDefault="006A2A15" w:rsidP="00960BE9">
      <w:pPr>
        <w:spacing w:after="0" w:line="240" w:lineRule="auto"/>
        <w:jc w:val="both"/>
        <w:rPr>
          <w:rFonts w:ascii="Times New Roman" w:hAnsi="Times New Roman" w:cs="Times New Roman"/>
          <w:color w:val="FF0000"/>
          <w:sz w:val="20"/>
        </w:rPr>
      </w:pPr>
    </w:p>
    <w:p w14:paraId="72957F64" w14:textId="77777777" w:rsidR="006A2A15" w:rsidRPr="00515068" w:rsidRDefault="006A2A15" w:rsidP="00960BE9">
      <w:pPr>
        <w:spacing w:after="0" w:line="240" w:lineRule="auto"/>
        <w:jc w:val="both"/>
        <w:rPr>
          <w:rFonts w:ascii="Times New Roman" w:hAnsi="Times New Roman" w:cs="Times New Roman"/>
          <w:color w:val="FF0000"/>
          <w:sz w:val="20"/>
        </w:rPr>
      </w:pPr>
    </w:p>
    <w:p w14:paraId="6C450D78" w14:textId="77777777" w:rsidR="00F46A2C" w:rsidRPr="00515068" w:rsidRDefault="00F46A2C" w:rsidP="00960BE9">
      <w:pPr>
        <w:spacing w:after="0" w:line="240" w:lineRule="auto"/>
        <w:jc w:val="both"/>
        <w:rPr>
          <w:rFonts w:ascii="Times New Roman" w:hAnsi="Times New Roman" w:cs="Times New Roman"/>
          <w:color w:val="FF0000"/>
          <w:sz w:val="20"/>
        </w:rPr>
      </w:pPr>
    </w:p>
    <w:p w14:paraId="3022B566" w14:textId="77777777" w:rsidR="00960BE9" w:rsidRPr="00286DB5" w:rsidRDefault="00960BE9" w:rsidP="00960BE9">
      <w:pPr>
        <w:spacing w:after="0" w:line="240" w:lineRule="auto"/>
        <w:jc w:val="both"/>
        <w:rPr>
          <w:rFonts w:ascii="Times New Roman" w:hAnsi="Times New Roman" w:cs="Times New Roman"/>
          <w:b/>
        </w:rPr>
      </w:pPr>
      <w:r w:rsidRPr="00286DB5">
        <w:rPr>
          <w:rFonts w:ascii="Times New Roman" w:hAnsi="Times New Roman" w:cs="Times New Roman"/>
          <w:b/>
        </w:rPr>
        <w:t>El Impuesto Sobre la Renta y el ISO</w:t>
      </w:r>
    </w:p>
    <w:p w14:paraId="3E95C6D2" w14:textId="77777777" w:rsidR="00960BE9" w:rsidRPr="00515068" w:rsidRDefault="00960BE9" w:rsidP="00960BE9">
      <w:pPr>
        <w:spacing w:after="0" w:line="240" w:lineRule="auto"/>
        <w:jc w:val="both"/>
        <w:rPr>
          <w:rFonts w:ascii="Times New Roman" w:hAnsi="Times New Roman" w:cs="Times New Roman"/>
          <w:b/>
          <w:color w:val="FF0000"/>
          <w:sz w:val="20"/>
        </w:rPr>
      </w:pPr>
    </w:p>
    <w:p w14:paraId="12F94C0B" w14:textId="77777777" w:rsidR="00286DB5" w:rsidRPr="006A2A15" w:rsidRDefault="00286DB5" w:rsidP="00286DB5">
      <w:pPr>
        <w:spacing w:after="0" w:line="240" w:lineRule="auto"/>
        <w:jc w:val="both"/>
        <w:rPr>
          <w:rFonts w:ascii="Times New Roman" w:hAnsi="Times New Roman" w:cs="Times New Roman"/>
        </w:rPr>
      </w:pPr>
      <w:r>
        <w:rPr>
          <w:rFonts w:ascii="Times New Roman" w:hAnsi="Times New Roman" w:cs="Times New Roman"/>
        </w:rPr>
        <w:t xml:space="preserve">En mayo se recaudó por estos dos impuestos Q1,615.0 millones de un estimado de Q1.417.4 millones, lo que generó en este mes una brecha positiva de Q197.6 millones. </w:t>
      </w:r>
    </w:p>
    <w:p w14:paraId="00E70F1A" w14:textId="77777777" w:rsidR="00286DB5" w:rsidRPr="006A2A15" w:rsidRDefault="00286DB5" w:rsidP="00286DB5">
      <w:pPr>
        <w:spacing w:after="0" w:line="240" w:lineRule="auto"/>
        <w:jc w:val="both"/>
        <w:rPr>
          <w:rFonts w:ascii="Times New Roman" w:hAnsi="Times New Roman" w:cs="Times New Roman"/>
        </w:rPr>
      </w:pPr>
    </w:p>
    <w:p w14:paraId="3B3B0866" w14:textId="77777777" w:rsidR="00286DB5" w:rsidRPr="006A2A15" w:rsidRDefault="00286DB5" w:rsidP="00286DB5">
      <w:pPr>
        <w:spacing w:after="0" w:line="240" w:lineRule="auto"/>
        <w:jc w:val="both"/>
        <w:rPr>
          <w:rFonts w:ascii="Times New Roman" w:hAnsi="Times New Roman" w:cs="Times New Roman"/>
        </w:rPr>
      </w:pPr>
      <w:r w:rsidRPr="006A2A15">
        <w:rPr>
          <w:rFonts w:ascii="Times New Roman" w:hAnsi="Times New Roman" w:cs="Times New Roman"/>
        </w:rPr>
        <w:t xml:space="preserve">De manera acumulada estos dos impuestos generan </w:t>
      </w:r>
      <w:r>
        <w:rPr>
          <w:rFonts w:ascii="Times New Roman" w:hAnsi="Times New Roman" w:cs="Times New Roman"/>
        </w:rPr>
        <w:t xml:space="preserve">una </w:t>
      </w:r>
      <w:r w:rsidRPr="006A2A15">
        <w:rPr>
          <w:rFonts w:ascii="Times New Roman" w:hAnsi="Times New Roman" w:cs="Times New Roman"/>
        </w:rPr>
        <w:t>brecha positiva por Q</w:t>
      </w:r>
      <w:r>
        <w:rPr>
          <w:rFonts w:ascii="Times New Roman" w:hAnsi="Times New Roman" w:cs="Times New Roman"/>
        </w:rPr>
        <w:t>1,497.5</w:t>
      </w:r>
      <w:r w:rsidRPr="006A2A15">
        <w:rPr>
          <w:rFonts w:ascii="Times New Roman" w:hAnsi="Times New Roman" w:cs="Times New Roman"/>
        </w:rPr>
        <w:t xml:space="preserve"> millones, la cual está determinada principalmente por </w:t>
      </w:r>
      <w:r>
        <w:rPr>
          <w:rFonts w:ascii="Times New Roman" w:hAnsi="Times New Roman" w:cs="Times New Roman"/>
        </w:rPr>
        <w:t xml:space="preserve">el </w:t>
      </w:r>
      <w:r w:rsidRPr="006A2A15">
        <w:rPr>
          <w:rFonts w:ascii="Times New Roman" w:hAnsi="Times New Roman" w:cs="Times New Roman"/>
        </w:rPr>
        <w:t>ISR que contribuye de manera positiva en Q</w:t>
      </w:r>
      <w:r>
        <w:rPr>
          <w:rFonts w:ascii="Times New Roman" w:hAnsi="Times New Roman" w:cs="Times New Roman"/>
        </w:rPr>
        <w:t xml:space="preserve">1,429.8 </w:t>
      </w:r>
      <w:r w:rsidRPr="006A2A15">
        <w:rPr>
          <w:rFonts w:ascii="Times New Roman" w:hAnsi="Times New Roman" w:cs="Times New Roman"/>
        </w:rPr>
        <w:t>millones.</w:t>
      </w:r>
    </w:p>
    <w:p w14:paraId="3124BFC6" w14:textId="3C1EB4AC" w:rsidR="00672F97" w:rsidRDefault="00286DB5" w:rsidP="00286DB5">
      <w:pPr>
        <w:spacing w:after="0" w:line="240" w:lineRule="auto"/>
        <w:jc w:val="both"/>
        <w:rPr>
          <w:rFonts w:ascii="Times New Roman" w:hAnsi="Times New Roman" w:cs="Times New Roman"/>
        </w:rPr>
      </w:pPr>
      <w:r w:rsidRPr="006A2A15">
        <w:rPr>
          <w:rFonts w:ascii="Times New Roman" w:hAnsi="Times New Roman" w:cs="Times New Roman"/>
        </w:rPr>
        <w:t>Aspectos relevantes que contribuyen con el desempeño del ISR son las medidas que ha venido desarrollando SAT mediante fiscalización por sector económico y la inclusión de nuevos anexos al formulario</w:t>
      </w:r>
      <w:r>
        <w:rPr>
          <w:rFonts w:ascii="Times New Roman" w:hAnsi="Times New Roman" w:cs="Times New Roman"/>
        </w:rPr>
        <w:t xml:space="preserve"> de declaración</w:t>
      </w:r>
      <w:r w:rsidRPr="006A2A15">
        <w:rPr>
          <w:rFonts w:ascii="Times New Roman" w:hAnsi="Times New Roman" w:cs="Times New Roman"/>
        </w:rPr>
        <w:t>.</w:t>
      </w:r>
    </w:p>
    <w:p w14:paraId="781B765D" w14:textId="77777777" w:rsidR="000075D4" w:rsidRPr="00515068" w:rsidRDefault="000075D4" w:rsidP="00960BE9">
      <w:pPr>
        <w:spacing w:after="0" w:line="240" w:lineRule="auto"/>
        <w:jc w:val="both"/>
        <w:rPr>
          <w:rFonts w:ascii="Times New Roman" w:hAnsi="Times New Roman" w:cs="Times New Roman"/>
          <w:b/>
          <w:color w:val="FF0000"/>
        </w:rPr>
      </w:pPr>
    </w:p>
    <w:p w14:paraId="5098D4E1" w14:textId="77777777" w:rsidR="00960BE9" w:rsidRPr="00286DB5" w:rsidRDefault="00960BE9" w:rsidP="00960BE9">
      <w:pPr>
        <w:spacing w:after="0" w:line="240" w:lineRule="auto"/>
        <w:jc w:val="both"/>
        <w:rPr>
          <w:rFonts w:ascii="Times New Roman" w:hAnsi="Times New Roman" w:cs="Times New Roman"/>
          <w:b/>
        </w:rPr>
      </w:pPr>
      <w:r w:rsidRPr="00286DB5">
        <w:rPr>
          <w:rFonts w:ascii="Times New Roman" w:hAnsi="Times New Roman" w:cs="Times New Roman"/>
          <w:b/>
        </w:rPr>
        <w:t>El Impuesto al Valor Agregado</w:t>
      </w:r>
    </w:p>
    <w:p w14:paraId="122BA8C3" w14:textId="77777777" w:rsidR="00960BE9" w:rsidRPr="00515068" w:rsidRDefault="00960BE9" w:rsidP="00960BE9">
      <w:pPr>
        <w:spacing w:after="0" w:line="240" w:lineRule="auto"/>
        <w:jc w:val="both"/>
        <w:rPr>
          <w:rFonts w:ascii="Times New Roman" w:hAnsi="Times New Roman" w:cs="Times New Roman"/>
          <w:color w:val="FF0000"/>
          <w:sz w:val="18"/>
        </w:rPr>
      </w:pPr>
    </w:p>
    <w:p w14:paraId="2FF5FF55" w14:textId="77777777" w:rsidR="00286DB5" w:rsidRDefault="00286DB5" w:rsidP="00286DB5">
      <w:pPr>
        <w:spacing w:after="0" w:line="240" w:lineRule="auto"/>
        <w:jc w:val="both"/>
        <w:rPr>
          <w:rFonts w:ascii="Times New Roman" w:hAnsi="Times New Roman" w:cs="Times New Roman"/>
        </w:rPr>
      </w:pPr>
      <w:r>
        <w:rPr>
          <w:rFonts w:ascii="Times New Roman" w:hAnsi="Times New Roman" w:cs="Times New Roman"/>
        </w:rPr>
        <w:t xml:space="preserve">Este impuesto, en mayo, generó una brecha positiva de Q543.5 millones, los cuales están explicados en su mayoría por el IVA asociado al comercio exterior, el cual mantiene la dinámica observa en 2021, principalmente como reflejo al aumento de precios en los combustibles.  </w:t>
      </w:r>
    </w:p>
    <w:p w14:paraId="0B512617" w14:textId="77777777" w:rsidR="00286DB5" w:rsidRDefault="00286DB5" w:rsidP="00286DB5">
      <w:pPr>
        <w:spacing w:after="0" w:line="240" w:lineRule="auto"/>
        <w:jc w:val="both"/>
        <w:rPr>
          <w:rFonts w:ascii="Times New Roman" w:hAnsi="Times New Roman" w:cs="Times New Roman"/>
        </w:rPr>
      </w:pPr>
    </w:p>
    <w:p w14:paraId="432EFB66" w14:textId="77777777" w:rsidR="00286DB5" w:rsidRDefault="00286DB5" w:rsidP="00286DB5">
      <w:pPr>
        <w:spacing w:after="0" w:line="240" w:lineRule="auto"/>
        <w:jc w:val="both"/>
        <w:rPr>
          <w:rFonts w:ascii="Times New Roman" w:hAnsi="Times New Roman" w:cs="Times New Roman"/>
        </w:rPr>
      </w:pPr>
      <w:r>
        <w:rPr>
          <w:rFonts w:ascii="Times New Roman" w:hAnsi="Times New Roman" w:cs="Times New Roman"/>
        </w:rPr>
        <w:t xml:space="preserve">Como referencia del crecimiento en el IVA de importaciones, se asume el aumento en el precio del barril de petróleo consecuencia del conflicto armado entre Rusia y Ucrania. En mayo 2021 el precio del barril era de US$65.16 dólares y en 2022 se ubica en US$109.26 dólares, según U.S. Energy </w:t>
      </w:r>
      <w:proofErr w:type="spellStart"/>
      <w:r>
        <w:rPr>
          <w:rFonts w:ascii="Times New Roman" w:hAnsi="Times New Roman" w:cs="Times New Roman"/>
        </w:rPr>
        <w:t>Information</w:t>
      </w:r>
      <w:proofErr w:type="spellEnd"/>
      <w:r>
        <w:rPr>
          <w:rFonts w:ascii="Times New Roman" w:hAnsi="Times New Roman" w:cs="Times New Roman"/>
        </w:rPr>
        <w:t xml:space="preserve"> </w:t>
      </w:r>
      <w:proofErr w:type="spellStart"/>
      <w:r>
        <w:rPr>
          <w:rFonts w:ascii="Times New Roman" w:hAnsi="Times New Roman" w:cs="Times New Roman"/>
        </w:rPr>
        <w:t>Administration</w:t>
      </w:r>
      <w:proofErr w:type="spellEnd"/>
      <w:r>
        <w:rPr>
          <w:rFonts w:ascii="Times New Roman" w:hAnsi="Times New Roman" w:cs="Times New Roman"/>
        </w:rPr>
        <w:t>.</w:t>
      </w:r>
    </w:p>
    <w:p w14:paraId="7C6F56FC" w14:textId="77777777" w:rsidR="00286DB5" w:rsidRDefault="00286DB5" w:rsidP="00286DB5">
      <w:pPr>
        <w:spacing w:after="0" w:line="240" w:lineRule="auto"/>
        <w:jc w:val="both"/>
        <w:rPr>
          <w:rFonts w:ascii="Times New Roman" w:hAnsi="Times New Roman" w:cs="Times New Roman"/>
        </w:rPr>
      </w:pPr>
    </w:p>
    <w:p w14:paraId="56690711" w14:textId="77777777" w:rsidR="002C0967" w:rsidRPr="00515068" w:rsidRDefault="00286DB5" w:rsidP="00286DB5">
      <w:pPr>
        <w:spacing w:after="0" w:line="240" w:lineRule="auto"/>
        <w:jc w:val="both"/>
        <w:rPr>
          <w:rFonts w:ascii="Times New Roman" w:hAnsi="Times New Roman" w:cs="Times New Roman"/>
          <w:color w:val="FF0000"/>
        </w:rPr>
      </w:pPr>
      <w:r>
        <w:rPr>
          <w:rFonts w:ascii="Times New Roman" w:hAnsi="Times New Roman" w:cs="Times New Roman"/>
        </w:rPr>
        <w:t>De manera acumulada, el IVA total genera brecha positiva de Q2,614.1 millones respecto a la meta de presupuesto y Q2,490.2 millones respecto a lo observado en 2021, destaca que el IVA asociado al comercio exterior mantiene el mayor aporte, reflejando crecimientos de 33.3% respecto a la meta de presupuesto y 30.4% respecto a lo observado en 2021.</w:t>
      </w:r>
    </w:p>
    <w:p w14:paraId="60F7580D" w14:textId="77777777" w:rsidR="001C5B4A" w:rsidRDefault="001C5B4A" w:rsidP="000075D4">
      <w:pPr>
        <w:spacing w:after="0" w:line="240" w:lineRule="auto"/>
        <w:jc w:val="both"/>
        <w:rPr>
          <w:rFonts w:ascii="Times New Roman" w:hAnsi="Times New Roman" w:cs="Times New Roman"/>
          <w:color w:val="FF0000"/>
        </w:rPr>
      </w:pPr>
    </w:p>
    <w:p w14:paraId="3AF13985" w14:textId="77777777" w:rsidR="00A02862" w:rsidRPr="00286DB5" w:rsidRDefault="00A02862" w:rsidP="00A02862">
      <w:pPr>
        <w:spacing w:after="0" w:line="240" w:lineRule="auto"/>
        <w:jc w:val="both"/>
        <w:rPr>
          <w:rFonts w:ascii="Times New Roman" w:hAnsi="Times New Roman" w:cs="Times New Roman"/>
          <w:b/>
          <w:bCs/>
        </w:rPr>
      </w:pPr>
      <w:r w:rsidRPr="00286DB5">
        <w:rPr>
          <w:rFonts w:ascii="Times New Roman" w:hAnsi="Times New Roman" w:cs="Times New Roman"/>
          <w:b/>
          <w:bCs/>
        </w:rPr>
        <w:t>Los demás impuestos</w:t>
      </w:r>
    </w:p>
    <w:p w14:paraId="533885FF" w14:textId="77777777" w:rsidR="00A02862" w:rsidRPr="00515068" w:rsidRDefault="00A02862" w:rsidP="00A02862">
      <w:pPr>
        <w:spacing w:after="0" w:line="240" w:lineRule="auto"/>
        <w:jc w:val="both"/>
        <w:rPr>
          <w:rFonts w:ascii="Times New Roman" w:hAnsi="Times New Roman" w:cs="Times New Roman"/>
          <w:b/>
          <w:bCs/>
          <w:color w:val="FF0000"/>
          <w:sz w:val="14"/>
        </w:rPr>
      </w:pPr>
    </w:p>
    <w:p w14:paraId="3A7969F1" w14:textId="77777777" w:rsidR="00286DB5" w:rsidRDefault="00286DB5" w:rsidP="00286DB5">
      <w:pPr>
        <w:spacing w:after="0" w:line="240" w:lineRule="auto"/>
        <w:jc w:val="both"/>
        <w:rPr>
          <w:rFonts w:ascii="Times New Roman" w:hAnsi="Times New Roman" w:cs="Times New Roman"/>
        </w:rPr>
      </w:pPr>
      <w:r>
        <w:rPr>
          <w:rFonts w:ascii="Times New Roman" w:hAnsi="Times New Roman" w:cs="Times New Roman"/>
        </w:rPr>
        <w:t>En la recaudación de mayo de los demás impuestos, destaca que el Impuesto a los Derivados del Petróleo -IDP-, el de Circulación de Vehículos y el de Cemento no alcanzaron la meta mensual dejando de percibir en conjunto Q82.1 millones respecto a la meta de presupuesto.</w:t>
      </w:r>
    </w:p>
    <w:p w14:paraId="5EE22860" w14:textId="77777777" w:rsidR="00286DB5" w:rsidRDefault="00286DB5" w:rsidP="00286DB5">
      <w:pPr>
        <w:spacing w:after="0" w:line="240" w:lineRule="auto"/>
        <w:jc w:val="both"/>
        <w:rPr>
          <w:rFonts w:ascii="Times New Roman" w:hAnsi="Times New Roman" w:cs="Times New Roman"/>
        </w:rPr>
      </w:pPr>
    </w:p>
    <w:p w14:paraId="2533E54F" w14:textId="77777777" w:rsidR="00286DB5" w:rsidRDefault="00286DB5" w:rsidP="00286DB5">
      <w:pPr>
        <w:spacing w:after="0" w:line="240" w:lineRule="auto"/>
        <w:jc w:val="both"/>
        <w:rPr>
          <w:rFonts w:ascii="Times New Roman" w:hAnsi="Times New Roman" w:cs="Times New Roman"/>
        </w:rPr>
      </w:pPr>
      <w:r>
        <w:rPr>
          <w:rFonts w:ascii="Times New Roman" w:hAnsi="Times New Roman" w:cs="Times New Roman"/>
        </w:rPr>
        <w:t>De manera acumulada el impuesto a los Derivados del Petróleo genera brecha negativa de Q23.6 millones.</w:t>
      </w:r>
    </w:p>
    <w:p w14:paraId="52F0D9E5" w14:textId="77777777" w:rsidR="001C5B4A" w:rsidRDefault="001C5B4A" w:rsidP="00286DB5">
      <w:pPr>
        <w:spacing w:after="0" w:line="240" w:lineRule="auto"/>
        <w:jc w:val="both"/>
        <w:rPr>
          <w:rFonts w:ascii="Times New Roman" w:hAnsi="Times New Roman" w:cs="Times New Roman"/>
        </w:rPr>
        <w:sectPr w:rsidR="001C5B4A" w:rsidSect="001C5B4A">
          <w:headerReference w:type="default" r:id="rId17"/>
          <w:footerReference w:type="default" r:id="rId18"/>
          <w:type w:val="continuous"/>
          <w:pgSz w:w="12240" w:h="15840"/>
          <w:pgMar w:top="1417" w:right="1701" w:bottom="1417" w:left="1701" w:header="708" w:footer="708" w:gutter="0"/>
          <w:cols w:num="2" w:space="708"/>
          <w:docGrid w:linePitch="360"/>
        </w:sectPr>
      </w:pPr>
    </w:p>
    <w:p w14:paraId="7CE409FE" w14:textId="77777777" w:rsidR="00286DB5" w:rsidRDefault="00286DB5" w:rsidP="00286DB5">
      <w:pPr>
        <w:spacing w:after="0" w:line="240" w:lineRule="auto"/>
        <w:jc w:val="both"/>
        <w:rPr>
          <w:rFonts w:ascii="Times New Roman" w:hAnsi="Times New Roman" w:cs="Times New Roman"/>
        </w:rPr>
      </w:pPr>
    </w:p>
    <w:p w14:paraId="53605360" w14:textId="77777777" w:rsidR="001C5B4A" w:rsidRPr="00515068" w:rsidRDefault="001C5B4A" w:rsidP="001C5B4A">
      <w:pPr>
        <w:spacing w:after="0"/>
        <w:rPr>
          <w:rFonts w:ascii="Times New Roman" w:hAnsi="Times New Roman" w:cs="Times New Roman"/>
          <w:color w:val="FF0000"/>
        </w:rPr>
        <w:sectPr w:rsidR="001C5B4A" w:rsidRPr="00515068" w:rsidSect="00960BE9">
          <w:type w:val="continuous"/>
          <w:pgSz w:w="12240" w:h="15840"/>
          <w:pgMar w:top="1417" w:right="1701" w:bottom="1417" w:left="1701" w:header="708" w:footer="708" w:gutter="0"/>
          <w:cols w:space="708"/>
          <w:docGrid w:linePitch="360"/>
        </w:sectPr>
      </w:pPr>
    </w:p>
    <w:p w14:paraId="3AE3DA8C" w14:textId="63D674E7" w:rsidR="001C5B4A" w:rsidRDefault="001C5B4A" w:rsidP="001C5B4A">
      <w:pPr>
        <w:spacing w:after="0" w:line="240" w:lineRule="auto"/>
        <w:jc w:val="both"/>
        <w:rPr>
          <w:rFonts w:ascii="Times New Roman" w:hAnsi="Times New Roman" w:cs="Times New Roman"/>
          <w:b/>
          <w:bCs/>
        </w:rPr>
      </w:pPr>
      <w:r>
        <w:rPr>
          <w:rFonts w:ascii="Times New Roman" w:hAnsi="Times New Roman" w:cs="Times New Roman"/>
          <w:b/>
          <w:bCs/>
        </w:rPr>
        <w:lastRenderedPageBreak/>
        <w:t>Estructura de la recaudación tributaria acumulada a abril 2022</w:t>
      </w:r>
    </w:p>
    <w:p w14:paraId="524403ED" w14:textId="77777777" w:rsidR="001C5B4A" w:rsidRPr="003B53FC" w:rsidRDefault="001C5B4A" w:rsidP="001C5B4A">
      <w:pPr>
        <w:spacing w:after="0" w:line="240" w:lineRule="auto"/>
        <w:jc w:val="both"/>
        <w:rPr>
          <w:rFonts w:ascii="Times New Roman" w:hAnsi="Times New Roman" w:cs="Times New Roman"/>
          <w:color w:val="FF0000"/>
          <w:sz w:val="16"/>
        </w:rPr>
      </w:pPr>
    </w:p>
    <w:p w14:paraId="1657777D" w14:textId="77777777" w:rsidR="001C5B4A" w:rsidRDefault="001C5B4A" w:rsidP="001C5B4A">
      <w:pPr>
        <w:spacing w:after="0" w:line="240" w:lineRule="auto"/>
        <w:jc w:val="both"/>
        <w:rPr>
          <w:rFonts w:ascii="Times New Roman" w:hAnsi="Times New Roman" w:cs="Times New Roman"/>
        </w:rPr>
      </w:pPr>
      <w:r>
        <w:rPr>
          <w:rFonts w:ascii="Times New Roman" w:hAnsi="Times New Roman" w:cs="Times New Roman"/>
        </w:rPr>
        <w:t>El resultado de la recaudación tributaria 2022 a mayo está explicado principalmente por el desempeño positivo en impuestos como el ISR, el ISO, el IVA.</w:t>
      </w:r>
    </w:p>
    <w:p w14:paraId="348FA877" w14:textId="77777777" w:rsidR="001C5B4A" w:rsidRDefault="001C5B4A" w:rsidP="001C5B4A">
      <w:pPr>
        <w:spacing w:after="0" w:line="240" w:lineRule="auto"/>
        <w:jc w:val="both"/>
        <w:rPr>
          <w:rFonts w:ascii="Times New Roman" w:hAnsi="Times New Roman" w:cs="Times New Roman"/>
        </w:rPr>
      </w:pPr>
    </w:p>
    <w:p w14:paraId="063E9D99" w14:textId="77777777" w:rsidR="001C5B4A" w:rsidRDefault="001C5B4A" w:rsidP="001C5B4A">
      <w:pPr>
        <w:spacing w:after="0" w:line="240" w:lineRule="auto"/>
        <w:jc w:val="center"/>
        <w:rPr>
          <w:rFonts w:ascii="Times New Roman" w:hAnsi="Times New Roman" w:cs="Times New Roman"/>
          <w:b/>
          <w:bCs/>
        </w:rPr>
      </w:pPr>
      <w:r>
        <w:rPr>
          <w:rFonts w:ascii="Times New Roman" w:hAnsi="Times New Roman" w:cs="Times New Roman"/>
          <w:b/>
          <w:bCs/>
        </w:rPr>
        <w:t xml:space="preserve">Aporte por impuesto a la recaudación </w:t>
      </w:r>
    </w:p>
    <w:p w14:paraId="2B30AB2F" w14:textId="77777777" w:rsidR="001C5B4A" w:rsidRDefault="001C5B4A" w:rsidP="001C5B4A">
      <w:pPr>
        <w:spacing w:after="0" w:line="240" w:lineRule="auto"/>
        <w:jc w:val="center"/>
        <w:rPr>
          <w:rFonts w:ascii="Times New Roman" w:hAnsi="Times New Roman" w:cs="Times New Roman"/>
          <w:b/>
          <w:bCs/>
        </w:rPr>
      </w:pPr>
      <w:r>
        <w:rPr>
          <w:rFonts w:ascii="Times New Roman" w:hAnsi="Times New Roman" w:cs="Times New Roman"/>
          <w:b/>
          <w:bCs/>
        </w:rPr>
        <w:t>Tributaria acumulada a mayo 2022</w:t>
      </w:r>
    </w:p>
    <w:p w14:paraId="0523F12F" w14:textId="77777777" w:rsidR="001C5B4A" w:rsidRDefault="001C5B4A" w:rsidP="001C5B4A">
      <w:pPr>
        <w:spacing w:after="0" w:line="240" w:lineRule="auto"/>
        <w:jc w:val="both"/>
        <w:rPr>
          <w:rFonts w:ascii="Times New Roman" w:hAnsi="Times New Roman" w:cs="Times New Roman"/>
        </w:rPr>
      </w:pPr>
      <w:r>
        <w:rPr>
          <w:noProof/>
          <w:lang w:eastAsia="es-GT"/>
        </w:rPr>
        <w:drawing>
          <wp:inline distT="0" distB="0" distL="0" distR="0" wp14:anchorId="634B64B4" wp14:editId="452E4A72">
            <wp:extent cx="2636874" cy="1786270"/>
            <wp:effectExtent l="0" t="0" r="0" b="4445"/>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E85A03" w14:textId="77777777" w:rsidR="001C5B4A" w:rsidRPr="00840733" w:rsidRDefault="001C5B4A" w:rsidP="001C5B4A">
      <w:pPr>
        <w:spacing w:after="0" w:line="240" w:lineRule="auto"/>
        <w:jc w:val="both"/>
        <w:rPr>
          <w:rFonts w:ascii="Times New Roman" w:hAnsi="Times New Roman" w:cs="Times New Roman"/>
          <w:color w:val="000000" w:themeColor="text1"/>
          <w:sz w:val="16"/>
          <w:szCs w:val="16"/>
          <w:lang w:val="es-MX"/>
        </w:rPr>
      </w:pPr>
      <w:r w:rsidRPr="00840733">
        <w:rPr>
          <w:rFonts w:ascii="Times New Roman" w:hAnsi="Times New Roman" w:cs="Times New Roman"/>
          <w:color w:val="000000" w:themeColor="text1"/>
          <w:sz w:val="16"/>
          <w:szCs w:val="16"/>
          <w:lang w:val="es-MX"/>
        </w:rPr>
        <w:t>Fuente: Dirección de Análisis y Política Fiscal.</w:t>
      </w:r>
    </w:p>
    <w:p w14:paraId="42D1F8EF" w14:textId="77777777" w:rsidR="001C5B4A" w:rsidRDefault="001C5B4A" w:rsidP="001C5B4A">
      <w:pPr>
        <w:spacing w:after="0" w:line="240" w:lineRule="auto"/>
        <w:jc w:val="both"/>
        <w:rPr>
          <w:rFonts w:ascii="Times New Roman" w:hAnsi="Times New Roman" w:cs="Times New Roman"/>
        </w:rPr>
      </w:pPr>
    </w:p>
    <w:p w14:paraId="6C0D7A9E" w14:textId="39E50722" w:rsidR="0011046F" w:rsidRDefault="0011046F" w:rsidP="001C5B4A">
      <w:pPr>
        <w:spacing w:after="0" w:line="240" w:lineRule="auto"/>
        <w:jc w:val="both"/>
        <w:rPr>
          <w:rFonts w:ascii="Times New Roman" w:hAnsi="Times New Roman" w:cs="Times New Roman"/>
        </w:rPr>
      </w:pPr>
    </w:p>
    <w:p w14:paraId="0706DB3D" w14:textId="0A866FD9" w:rsidR="0011046F" w:rsidRPr="0011046F" w:rsidRDefault="0011046F" w:rsidP="001C5B4A">
      <w:pPr>
        <w:spacing w:after="0" w:line="240" w:lineRule="auto"/>
        <w:jc w:val="both"/>
        <w:rPr>
          <w:rFonts w:ascii="Times New Roman" w:hAnsi="Times New Roman" w:cs="Times New Roman"/>
          <w:sz w:val="28"/>
        </w:rPr>
      </w:pPr>
    </w:p>
    <w:p w14:paraId="397C547D" w14:textId="77777777" w:rsidR="001C5B4A" w:rsidRDefault="001C5B4A" w:rsidP="001C5B4A">
      <w:pPr>
        <w:spacing w:after="0" w:line="240" w:lineRule="auto"/>
        <w:jc w:val="both"/>
        <w:rPr>
          <w:rFonts w:ascii="Times New Roman" w:hAnsi="Times New Roman" w:cs="Times New Roman"/>
          <w:b/>
          <w:bCs/>
        </w:rPr>
      </w:pPr>
      <w:r>
        <w:rPr>
          <w:rFonts w:ascii="Times New Roman" w:hAnsi="Times New Roman" w:cs="Times New Roman"/>
          <w:b/>
          <w:bCs/>
        </w:rPr>
        <w:t>Expectativas de cierre 2022</w:t>
      </w:r>
    </w:p>
    <w:p w14:paraId="71C21606" w14:textId="77777777" w:rsidR="001C5B4A" w:rsidRDefault="001C5B4A" w:rsidP="001C5B4A">
      <w:pPr>
        <w:spacing w:after="0" w:line="240" w:lineRule="auto"/>
        <w:jc w:val="both"/>
        <w:rPr>
          <w:rFonts w:ascii="Times New Roman" w:hAnsi="Times New Roman" w:cs="Times New Roman"/>
          <w:color w:val="FF0000"/>
          <w:sz w:val="16"/>
        </w:rPr>
      </w:pPr>
    </w:p>
    <w:p w14:paraId="3DD3E37C" w14:textId="77777777" w:rsidR="001C5B4A" w:rsidRDefault="001C5B4A" w:rsidP="001C5B4A">
      <w:pPr>
        <w:spacing w:after="0" w:line="240" w:lineRule="auto"/>
        <w:jc w:val="both"/>
        <w:rPr>
          <w:rFonts w:ascii="Times New Roman" w:hAnsi="Times New Roman" w:cs="Times New Roman"/>
        </w:rPr>
      </w:pPr>
      <w:r>
        <w:rPr>
          <w:rFonts w:ascii="Times New Roman" w:hAnsi="Times New Roman" w:cs="Times New Roman"/>
        </w:rPr>
        <w:t>De conformidad con los resultados obtenidos de recaudación tributaria al mes de mayo y bajo el escenario de pleno cumplimiento de las metas mensuales para el resto del año, el resultado del ejercicio fiscal a diciembre 2022 puede rondar los Q80,880.5 millones, es decir, de junio a diciembre, la meta se cumple en 100% y a ello se adiciona la recaudación observada en la que ya incluye la brecha positiva a mayo por Q4,565.6 millones.</w:t>
      </w:r>
    </w:p>
    <w:p w14:paraId="04CAD6E7" w14:textId="77777777" w:rsidR="001C5B4A" w:rsidRDefault="001C5B4A" w:rsidP="001C5B4A">
      <w:pPr>
        <w:spacing w:after="0" w:line="240" w:lineRule="auto"/>
        <w:jc w:val="both"/>
        <w:rPr>
          <w:rFonts w:ascii="Times New Roman" w:hAnsi="Times New Roman" w:cs="Times New Roman"/>
        </w:rPr>
      </w:pPr>
    </w:p>
    <w:p w14:paraId="74A32100" w14:textId="77777777" w:rsidR="001C5B4A" w:rsidRDefault="001C5B4A" w:rsidP="001C5B4A">
      <w:pPr>
        <w:spacing w:after="0" w:line="240" w:lineRule="auto"/>
        <w:jc w:val="center"/>
        <w:rPr>
          <w:rFonts w:ascii="Times New Roman" w:hAnsi="Times New Roman" w:cs="Times New Roman"/>
          <w:b/>
          <w:bCs/>
        </w:rPr>
      </w:pPr>
      <w:r>
        <w:rPr>
          <w:rFonts w:ascii="Times New Roman" w:hAnsi="Times New Roman" w:cs="Times New Roman"/>
          <w:b/>
          <w:bCs/>
        </w:rPr>
        <w:t>Estimación de ejercicio fiscal 2022</w:t>
      </w:r>
    </w:p>
    <w:p w14:paraId="3135E8F9" w14:textId="77777777" w:rsidR="001C5B4A" w:rsidRPr="00840733" w:rsidRDefault="001C5B4A" w:rsidP="001C5B4A">
      <w:pPr>
        <w:spacing w:after="0" w:line="240" w:lineRule="auto"/>
        <w:jc w:val="center"/>
        <w:rPr>
          <w:rFonts w:ascii="Times New Roman" w:hAnsi="Times New Roman" w:cs="Times New Roman"/>
        </w:rPr>
      </w:pPr>
      <w:r w:rsidRPr="00840733">
        <w:rPr>
          <w:rFonts w:ascii="Times New Roman" w:hAnsi="Times New Roman" w:cs="Times New Roman"/>
        </w:rPr>
        <w:t>Millones de quetzales</w:t>
      </w:r>
    </w:p>
    <w:p w14:paraId="7C37688D" w14:textId="77777777" w:rsidR="001C5B4A" w:rsidRDefault="001C5B4A" w:rsidP="001C5B4A">
      <w:pPr>
        <w:spacing w:after="0" w:line="240" w:lineRule="auto"/>
        <w:jc w:val="both"/>
        <w:rPr>
          <w:rFonts w:ascii="Times New Roman" w:hAnsi="Times New Roman" w:cs="Times New Roman"/>
        </w:rPr>
      </w:pPr>
      <w:r>
        <w:rPr>
          <w:noProof/>
          <w:lang w:eastAsia="es-GT"/>
        </w:rPr>
        <w:drawing>
          <wp:inline distT="0" distB="0" distL="0" distR="0" wp14:anchorId="20E42611" wp14:editId="04BB02F3">
            <wp:extent cx="2673985" cy="1467293"/>
            <wp:effectExtent l="0" t="0" r="0" b="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B2F017" w14:textId="77777777" w:rsidR="000075D4" w:rsidRPr="00515068" w:rsidRDefault="001C5B4A" w:rsidP="001C5B4A">
      <w:pPr>
        <w:spacing w:after="0" w:line="240" w:lineRule="auto"/>
        <w:jc w:val="center"/>
        <w:rPr>
          <w:rFonts w:ascii="Times New Roman" w:hAnsi="Times New Roman" w:cs="Times New Roman"/>
          <w:color w:val="FF0000"/>
          <w:sz w:val="16"/>
          <w:szCs w:val="16"/>
        </w:rPr>
        <w:sectPr w:rsidR="000075D4" w:rsidRPr="00515068" w:rsidSect="00960BE9">
          <w:type w:val="continuous"/>
          <w:pgSz w:w="12240" w:h="15840"/>
          <w:pgMar w:top="1417" w:right="1701" w:bottom="1417" w:left="1701" w:header="708" w:footer="708" w:gutter="0"/>
          <w:cols w:num="2" w:space="708"/>
          <w:docGrid w:linePitch="360"/>
        </w:sectPr>
      </w:pPr>
      <w:r w:rsidRPr="00840733">
        <w:rPr>
          <w:rFonts w:ascii="Times New Roman" w:hAnsi="Times New Roman" w:cs="Times New Roman"/>
          <w:color w:val="000000" w:themeColor="text1"/>
          <w:sz w:val="16"/>
          <w:szCs w:val="16"/>
          <w:lang w:val="es-MX"/>
        </w:rPr>
        <w:t>Fuente: Direcció</w:t>
      </w:r>
      <w:r>
        <w:rPr>
          <w:rFonts w:ascii="Times New Roman" w:hAnsi="Times New Roman" w:cs="Times New Roman"/>
          <w:color w:val="000000" w:themeColor="text1"/>
          <w:sz w:val="16"/>
          <w:szCs w:val="16"/>
          <w:lang w:val="es-MX"/>
        </w:rPr>
        <w:t>n de Análisis y Política Fisc</w:t>
      </w:r>
      <w:r w:rsidR="00556819">
        <w:rPr>
          <w:rFonts w:ascii="Times New Roman" w:hAnsi="Times New Roman" w:cs="Times New Roman"/>
          <w:color w:val="000000" w:themeColor="text1"/>
          <w:sz w:val="16"/>
          <w:szCs w:val="16"/>
          <w:lang w:val="es-MX"/>
        </w:rPr>
        <w:t>al.</w:t>
      </w:r>
    </w:p>
    <w:p w14:paraId="0FB1A0C3" w14:textId="77777777" w:rsidR="00F23E3F" w:rsidRPr="0011046F" w:rsidRDefault="00F23E3F" w:rsidP="0011046F">
      <w:pPr>
        <w:spacing w:after="0" w:line="240" w:lineRule="auto"/>
        <w:rPr>
          <w:rFonts w:ascii="Times New Roman" w:hAnsi="Times New Roman" w:cs="Times New Roman"/>
          <w:color w:val="FF0000"/>
          <w:sz w:val="6"/>
        </w:rPr>
        <w:sectPr w:rsidR="00F23E3F" w:rsidRPr="0011046F" w:rsidSect="00960BE9">
          <w:headerReference w:type="default" r:id="rId21"/>
          <w:footerReference w:type="default" r:id="rId22"/>
          <w:type w:val="continuous"/>
          <w:pgSz w:w="12240" w:h="15840"/>
          <w:pgMar w:top="1417" w:right="1701" w:bottom="1417" w:left="1701" w:header="708" w:footer="708" w:gutter="0"/>
          <w:cols w:space="708"/>
          <w:docGrid w:linePitch="360"/>
        </w:sectPr>
      </w:pPr>
    </w:p>
    <w:p w14:paraId="2C711CCD" w14:textId="77777777" w:rsidR="00960BE9" w:rsidRPr="00285F51" w:rsidRDefault="00285F51"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5772249"/>
      <w:r w:rsidRPr="00285F51">
        <w:rPr>
          <w:rFonts w:ascii="Times New Roman" w:hAnsi="Times New Roman" w:cs="Times New Roman"/>
          <w:b/>
          <w:color w:val="FFFFFF" w:themeColor="background1"/>
          <w:sz w:val="24"/>
          <w:szCs w:val="24"/>
        </w:rPr>
        <w:t>Repunta e</w:t>
      </w:r>
      <w:r w:rsidR="0040097F" w:rsidRPr="00285F51">
        <w:rPr>
          <w:rFonts w:ascii="Times New Roman" w:hAnsi="Times New Roman" w:cs="Times New Roman"/>
          <w:b/>
          <w:color w:val="FFFFFF" w:themeColor="background1"/>
          <w:sz w:val="24"/>
          <w:szCs w:val="24"/>
          <w:lang w:val="es-MX"/>
        </w:rPr>
        <w:t>l</w:t>
      </w:r>
      <w:r w:rsidR="000150E7" w:rsidRPr="00285F51">
        <w:rPr>
          <w:rFonts w:ascii="Times New Roman" w:hAnsi="Times New Roman" w:cs="Times New Roman"/>
          <w:b/>
          <w:color w:val="FFFFFF" w:themeColor="background1"/>
          <w:sz w:val="24"/>
          <w:szCs w:val="24"/>
          <w:lang w:val="es-MX"/>
        </w:rPr>
        <w:t xml:space="preserve"> dinamismo</w:t>
      </w:r>
      <w:r w:rsidR="003854FF" w:rsidRPr="00285F51">
        <w:rPr>
          <w:rFonts w:ascii="Times New Roman" w:hAnsi="Times New Roman" w:cs="Times New Roman"/>
          <w:b/>
          <w:color w:val="FFFFFF" w:themeColor="background1"/>
          <w:sz w:val="24"/>
          <w:szCs w:val="24"/>
          <w:lang w:val="es-MX"/>
        </w:rPr>
        <w:t xml:space="preserve"> en la ejecución</w:t>
      </w:r>
      <w:r w:rsidR="000150E7" w:rsidRPr="00285F51">
        <w:rPr>
          <w:rFonts w:ascii="Times New Roman" w:hAnsi="Times New Roman" w:cs="Times New Roman"/>
          <w:b/>
          <w:color w:val="FFFFFF" w:themeColor="background1"/>
          <w:sz w:val="24"/>
          <w:szCs w:val="24"/>
          <w:lang w:val="es-MX"/>
        </w:rPr>
        <w:t xml:space="preserve"> del </w:t>
      </w:r>
      <w:r w:rsidR="00F23E3F" w:rsidRPr="00285F51">
        <w:rPr>
          <w:rFonts w:ascii="Times New Roman" w:hAnsi="Times New Roman" w:cs="Times New Roman"/>
          <w:b/>
          <w:color w:val="FFFFFF" w:themeColor="background1"/>
          <w:sz w:val="24"/>
          <w:szCs w:val="24"/>
          <w:lang w:val="es-MX"/>
        </w:rPr>
        <w:t xml:space="preserve">gasto </w:t>
      </w:r>
      <w:r w:rsidR="000150E7" w:rsidRPr="00285F51">
        <w:rPr>
          <w:rFonts w:ascii="Times New Roman" w:hAnsi="Times New Roman" w:cs="Times New Roman"/>
          <w:b/>
          <w:color w:val="FFFFFF" w:themeColor="background1"/>
          <w:sz w:val="24"/>
          <w:szCs w:val="24"/>
          <w:lang w:val="es-MX"/>
        </w:rPr>
        <w:t>público</w:t>
      </w:r>
    </w:p>
    <w:bookmarkEnd w:id="2"/>
    <w:p w14:paraId="0A6AB4A6" w14:textId="77777777" w:rsidR="00F23E3F" w:rsidRPr="00515068" w:rsidRDefault="00F23E3F" w:rsidP="00F23E3F">
      <w:pPr>
        <w:pStyle w:val="Sinespaciado"/>
        <w:rPr>
          <w:rFonts w:ascii="Times New Roman" w:hAnsi="Times New Roman" w:cs="Times New Roman"/>
          <w:color w:val="FF0000"/>
          <w:sz w:val="18"/>
          <w:szCs w:val="18"/>
          <w:lang w:val="es-MX"/>
        </w:rPr>
      </w:pPr>
    </w:p>
    <w:p w14:paraId="3AA1056B" w14:textId="77777777" w:rsidR="00F23E3F" w:rsidRPr="00515068" w:rsidRDefault="00F23E3F" w:rsidP="00F23E3F">
      <w:pPr>
        <w:spacing w:after="0"/>
        <w:rPr>
          <w:rFonts w:ascii="Times New Roman" w:hAnsi="Times New Roman" w:cs="Times New Roman"/>
          <w:color w:val="FF0000"/>
          <w:sz w:val="24"/>
        </w:rPr>
        <w:sectPr w:rsidR="00F23E3F" w:rsidRPr="00515068" w:rsidSect="00960BE9">
          <w:headerReference w:type="default" r:id="rId23"/>
          <w:footerReference w:type="default" r:id="rId24"/>
          <w:type w:val="continuous"/>
          <w:pgSz w:w="12240" w:h="15840"/>
          <w:pgMar w:top="1417" w:right="1701" w:bottom="1417" w:left="1701" w:header="708" w:footer="708" w:gutter="0"/>
          <w:cols w:space="708"/>
          <w:docGrid w:linePitch="360"/>
        </w:sectPr>
      </w:pPr>
    </w:p>
    <w:p w14:paraId="4E59ADCA" w14:textId="77777777" w:rsidR="00E02DD8" w:rsidRPr="00515068" w:rsidRDefault="00863E34" w:rsidP="00E02DD8">
      <w:pPr>
        <w:pStyle w:val="Sinespaciado"/>
        <w:jc w:val="both"/>
        <w:rPr>
          <w:rFonts w:ascii="Times New Roman" w:hAnsi="Times New Roman" w:cs="Times New Roman"/>
          <w:color w:val="FF0000"/>
          <w:lang w:val="es-MX"/>
        </w:rPr>
      </w:pPr>
      <w:r>
        <w:rPr>
          <w:rFonts w:ascii="Times New Roman" w:hAnsi="Times New Roman" w:cs="Times New Roman"/>
          <w:lang w:val="es-MX"/>
        </w:rPr>
        <w:t>La ejecución del gasto público a mayo sin incluir las amortizaciones de la deuda pública se ubicó en Q37,699.1 millones, con una variación interanual de 14.6% (equivalente a Q4,793.2 millones). El gasto en mayo es dinámico, se observó una desaceleración en su ritmo durante abril, pero este se aceleró nuevamente, aunque a un ritmo menor al observado entre febrero y marzo.</w:t>
      </w:r>
    </w:p>
    <w:p w14:paraId="616D0901" w14:textId="77777777" w:rsidR="004747BE" w:rsidRPr="00515068" w:rsidRDefault="004747BE" w:rsidP="00E02DD8">
      <w:pPr>
        <w:pStyle w:val="Sinespaciado"/>
        <w:jc w:val="both"/>
        <w:rPr>
          <w:rFonts w:ascii="Times New Roman" w:hAnsi="Times New Roman" w:cs="Times New Roman"/>
          <w:color w:val="FF0000"/>
          <w:lang w:val="es-MX"/>
        </w:rPr>
      </w:pPr>
    </w:p>
    <w:p w14:paraId="2EFF5769" w14:textId="77777777" w:rsidR="00E02DD8" w:rsidRPr="00863E34" w:rsidRDefault="00E02DD8" w:rsidP="00E02DD8">
      <w:pPr>
        <w:pStyle w:val="Sinespaciado"/>
        <w:jc w:val="center"/>
        <w:rPr>
          <w:rFonts w:ascii="Times New Roman" w:hAnsi="Times New Roman" w:cs="Times New Roman"/>
          <w:b/>
          <w:sz w:val="24"/>
          <w:lang w:val="es-MX"/>
        </w:rPr>
      </w:pPr>
      <w:r w:rsidRPr="00863E34">
        <w:rPr>
          <w:rFonts w:ascii="Times New Roman" w:hAnsi="Times New Roman" w:cs="Times New Roman"/>
          <w:b/>
          <w:sz w:val="24"/>
          <w:lang w:val="es-MX"/>
        </w:rPr>
        <w:t>Ritmo de Ejecución del Gasto</w:t>
      </w:r>
    </w:p>
    <w:p w14:paraId="14C92E24" w14:textId="77777777" w:rsidR="00863E34" w:rsidRPr="00863E34" w:rsidRDefault="00863E34" w:rsidP="00863E34">
      <w:pPr>
        <w:pStyle w:val="Sinespaciado"/>
        <w:jc w:val="center"/>
        <w:rPr>
          <w:rFonts w:ascii="Times New Roman" w:hAnsi="Times New Roman" w:cs="Times New Roman"/>
          <w:lang w:val="es-MX"/>
        </w:rPr>
      </w:pPr>
      <w:r w:rsidRPr="00863E34">
        <w:rPr>
          <w:noProof/>
          <w:lang w:eastAsia="es-GT"/>
        </w:rPr>
        <w:drawing>
          <wp:anchor distT="0" distB="0" distL="114300" distR="114300" simplePos="0" relativeHeight="251778048" behindDoc="0" locked="0" layoutInCell="1" allowOverlap="1" wp14:anchorId="54839FF0" wp14:editId="56DE733B">
            <wp:simplePos x="0" y="0"/>
            <wp:positionH relativeFrom="column">
              <wp:posOffset>4386</wp:posOffset>
            </wp:positionH>
            <wp:positionV relativeFrom="paragraph">
              <wp:posOffset>149432</wp:posOffset>
            </wp:positionV>
            <wp:extent cx="2721610" cy="1605516"/>
            <wp:effectExtent l="0" t="0" r="254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E02DD8" w:rsidRPr="00863E34">
        <w:rPr>
          <w:rFonts w:ascii="Times New Roman" w:hAnsi="Times New Roman" w:cs="Times New Roman"/>
          <w:lang w:val="es-MX"/>
        </w:rPr>
        <w:t>Variación Interanual (%)*</w:t>
      </w:r>
    </w:p>
    <w:p w14:paraId="04FBCA23" w14:textId="77777777" w:rsidR="00840733" w:rsidRPr="00863E34" w:rsidRDefault="00840733" w:rsidP="00E02DD8">
      <w:pPr>
        <w:pStyle w:val="Sinespaciado"/>
        <w:jc w:val="center"/>
        <w:rPr>
          <w:rFonts w:ascii="Times New Roman" w:hAnsi="Times New Roman" w:cs="Times New Roman"/>
          <w:lang w:val="es-MX"/>
        </w:rPr>
      </w:pPr>
    </w:p>
    <w:p w14:paraId="4A8656E3" w14:textId="77777777" w:rsidR="00840733" w:rsidRPr="00863E34" w:rsidRDefault="00840733" w:rsidP="00E02DD8">
      <w:pPr>
        <w:pStyle w:val="Sinespaciado"/>
        <w:jc w:val="center"/>
        <w:rPr>
          <w:rFonts w:ascii="Times New Roman" w:hAnsi="Times New Roman" w:cs="Times New Roman"/>
          <w:lang w:val="es-MX"/>
        </w:rPr>
      </w:pPr>
    </w:p>
    <w:p w14:paraId="1EC028D2" w14:textId="77777777" w:rsidR="004747BE" w:rsidRPr="00863E34" w:rsidRDefault="004747BE" w:rsidP="00E02DD8">
      <w:pPr>
        <w:pStyle w:val="Sinespaciado"/>
        <w:jc w:val="center"/>
        <w:rPr>
          <w:rFonts w:ascii="Times New Roman" w:hAnsi="Times New Roman" w:cs="Times New Roman"/>
          <w:lang w:val="es-MX"/>
        </w:rPr>
      </w:pPr>
    </w:p>
    <w:p w14:paraId="4CEAB869" w14:textId="77777777" w:rsidR="004747BE" w:rsidRPr="00863E34" w:rsidRDefault="004747BE" w:rsidP="00E02DD8">
      <w:pPr>
        <w:pStyle w:val="Sinespaciado"/>
        <w:jc w:val="center"/>
        <w:rPr>
          <w:rFonts w:ascii="Times New Roman" w:hAnsi="Times New Roman" w:cs="Times New Roman"/>
          <w:lang w:val="es-MX"/>
        </w:rPr>
      </w:pPr>
    </w:p>
    <w:p w14:paraId="63B16FDB" w14:textId="77777777" w:rsidR="004747BE" w:rsidRPr="00863E34" w:rsidRDefault="004747BE" w:rsidP="00E02DD8">
      <w:pPr>
        <w:pStyle w:val="Sinespaciado"/>
        <w:jc w:val="center"/>
        <w:rPr>
          <w:rFonts w:ascii="Times New Roman" w:hAnsi="Times New Roman" w:cs="Times New Roman"/>
          <w:lang w:val="es-MX"/>
        </w:rPr>
      </w:pPr>
    </w:p>
    <w:p w14:paraId="291D0AFD" w14:textId="77777777" w:rsidR="004747BE" w:rsidRPr="00863E34" w:rsidRDefault="004747BE" w:rsidP="00E02DD8">
      <w:pPr>
        <w:pStyle w:val="Sinespaciado"/>
        <w:jc w:val="center"/>
        <w:rPr>
          <w:rFonts w:ascii="Times New Roman" w:hAnsi="Times New Roman" w:cs="Times New Roman"/>
          <w:lang w:val="es-MX"/>
        </w:rPr>
      </w:pPr>
    </w:p>
    <w:p w14:paraId="5A3B4B00" w14:textId="77777777" w:rsidR="004747BE" w:rsidRPr="00863E34" w:rsidRDefault="004747BE" w:rsidP="00E02DD8">
      <w:pPr>
        <w:pStyle w:val="Sinespaciado"/>
        <w:jc w:val="center"/>
        <w:rPr>
          <w:rFonts w:ascii="Times New Roman" w:hAnsi="Times New Roman" w:cs="Times New Roman"/>
          <w:lang w:val="es-MX"/>
        </w:rPr>
      </w:pPr>
    </w:p>
    <w:p w14:paraId="0A7649B8" w14:textId="700F26ED" w:rsidR="004747BE" w:rsidRPr="00863E34" w:rsidRDefault="004747BE" w:rsidP="0011046F">
      <w:pPr>
        <w:pStyle w:val="Sinespaciado"/>
        <w:rPr>
          <w:rFonts w:ascii="Times New Roman" w:hAnsi="Times New Roman" w:cs="Times New Roman"/>
          <w:lang w:val="es-MX"/>
        </w:rPr>
      </w:pPr>
    </w:p>
    <w:p w14:paraId="76F6DA27" w14:textId="77777777" w:rsidR="004747BE" w:rsidRPr="00863E34" w:rsidRDefault="004747BE" w:rsidP="00E02DD8">
      <w:pPr>
        <w:pStyle w:val="Sinespaciado"/>
        <w:jc w:val="center"/>
        <w:rPr>
          <w:rFonts w:ascii="Times New Roman" w:hAnsi="Times New Roman" w:cs="Times New Roman"/>
          <w:lang w:val="es-MX"/>
        </w:rPr>
      </w:pPr>
    </w:p>
    <w:p w14:paraId="546014CE" w14:textId="77777777" w:rsidR="0011046F" w:rsidRDefault="0011046F" w:rsidP="00863E34">
      <w:pPr>
        <w:pStyle w:val="Sinespaciado"/>
        <w:rPr>
          <w:rFonts w:ascii="Times New Roman" w:hAnsi="Times New Roman" w:cs="Times New Roman"/>
          <w:sz w:val="18"/>
          <w:lang w:val="es-MX"/>
        </w:rPr>
      </w:pPr>
    </w:p>
    <w:p w14:paraId="771C00DA" w14:textId="3A4DC3DF" w:rsidR="00840733" w:rsidRPr="00863E34" w:rsidRDefault="00E02DD8" w:rsidP="00863E34">
      <w:pPr>
        <w:pStyle w:val="Sinespaciado"/>
        <w:rPr>
          <w:rFonts w:ascii="Times New Roman" w:hAnsi="Times New Roman" w:cs="Times New Roman"/>
          <w:sz w:val="18"/>
          <w:lang w:val="es-MX"/>
        </w:rPr>
      </w:pPr>
      <w:r w:rsidRPr="00863E34">
        <w:rPr>
          <w:rFonts w:ascii="Times New Roman" w:hAnsi="Times New Roman" w:cs="Times New Roman"/>
          <w:sz w:val="18"/>
          <w:lang w:val="es-MX"/>
        </w:rPr>
        <w:t>*No incluye amortizaciones de la deuda pública</w:t>
      </w:r>
    </w:p>
    <w:p w14:paraId="0859A09D" w14:textId="77777777" w:rsidR="00E02DD8" w:rsidRPr="00863E34" w:rsidRDefault="00E02DD8" w:rsidP="00E02DD8">
      <w:pPr>
        <w:spacing w:after="0" w:line="240" w:lineRule="auto"/>
        <w:jc w:val="both"/>
        <w:rPr>
          <w:rFonts w:ascii="Times New Roman" w:hAnsi="Times New Roman" w:cs="Times New Roman"/>
          <w:sz w:val="16"/>
          <w:szCs w:val="16"/>
        </w:rPr>
      </w:pPr>
      <w:r w:rsidRPr="00863E34">
        <w:rPr>
          <w:rFonts w:ascii="Times New Roman" w:hAnsi="Times New Roman" w:cs="Times New Roman"/>
          <w:sz w:val="16"/>
          <w:szCs w:val="16"/>
        </w:rPr>
        <w:t>Fuente: Dirección de Análisis y Política Fiscal</w:t>
      </w:r>
      <w:r w:rsidR="00840733" w:rsidRPr="00863E34">
        <w:rPr>
          <w:rFonts w:ascii="Times New Roman" w:hAnsi="Times New Roman" w:cs="Times New Roman"/>
          <w:sz w:val="16"/>
          <w:szCs w:val="16"/>
        </w:rPr>
        <w:t>.</w:t>
      </w:r>
    </w:p>
    <w:p w14:paraId="6F47BD93" w14:textId="43864DDD" w:rsidR="00863E34" w:rsidRDefault="00863E34" w:rsidP="00863E34">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A nivel de rubro de cuenta económica, el mayor crecimiento absoluto se reporta en</w:t>
      </w:r>
      <w:r>
        <w:rPr>
          <w:lang w:val="es-MX"/>
        </w:rPr>
        <w:t xml:space="preserve"> </w:t>
      </w:r>
      <w:r>
        <w:rPr>
          <w:rFonts w:ascii="Times New Roman" w:hAnsi="Times New Roman" w:cs="Times New Roman"/>
          <w:color w:val="000000" w:themeColor="text1"/>
          <w:lang w:val="es-MX"/>
        </w:rPr>
        <w:t xml:space="preserve">las transferencias corrientes estas reportan un crecimiento de 45.8%, equivalente a Q2,574.4 millones. Siendo explicadas en buena medida por </w:t>
      </w:r>
      <w:r w:rsidRPr="004716D6">
        <w:rPr>
          <w:rFonts w:ascii="Times New Roman" w:hAnsi="Times New Roman" w:cs="Times New Roman"/>
          <w:color w:val="000000" w:themeColor="text1"/>
          <w:lang w:val="es-MX"/>
        </w:rPr>
        <w:t>las transferencias al sector privado</w:t>
      </w:r>
      <w:r>
        <w:rPr>
          <w:rFonts w:ascii="Times New Roman" w:hAnsi="Times New Roman" w:cs="Times New Roman"/>
          <w:color w:val="000000" w:themeColor="text1"/>
          <w:lang w:val="es-MX"/>
        </w:rPr>
        <w:t xml:space="preserve">, las cuales se encuentran creciendo en un 90.5%, equivalente a Q1,642.0 millones, debido principalmente por los aportes </w:t>
      </w:r>
      <w:r w:rsidRPr="004716D6">
        <w:rPr>
          <w:rFonts w:ascii="Times New Roman" w:hAnsi="Times New Roman" w:cs="Times New Roman"/>
          <w:color w:val="000000" w:themeColor="text1"/>
          <w:lang w:val="es-MX"/>
        </w:rPr>
        <w:t>que realizan dos Ministerios, siendo</w:t>
      </w:r>
      <w:r>
        <w:rPr>
          <w:rFonts w:ascii="Times New Roman" w:hAnsi="Times New Roman" w:cs="Times New Roman"/>
          <w:color w:val="000000" w:themeColor="text1"/>
          <w:lang w:val="es-MX"/>
        </w:rPr>
        <w:t xml:space="preserve"> el Ministerio de</w:t>
      </w:r>
      <w:r w:rsidRPr="004716D6">
        <w:rPr>
          <w:rFonts w:ascii="Times New Roman" w:hAnsi="Times New Roman" w:cs="Times New Roman"/>
          <w:color w:val="000000" w:themeColor="text1"/>
          <w:lang w:val="es-MX"/>
        </w:rPr>
        <w:t xml:space="preserve"> Educación hacia instituciones sin fines de lucro, las cuales aumentaron Q</w:t>
      </w:r>
      <w:r>
        <w:rPr>
          <w:rFonts w:ascii="Times New Roman" w:hAnsi="Times New Roman" w:cs="Times New Roman"/>
          <w:color w:val="000000" w:themeColor="text1"/>
          <w:lang w:val="es-MX"/>
        </w:rPr>
        <w:t>633.2 millones</w:t>
      </w:r>
      <w:r w:rsidRPr="004716D6">
        <w:rPr>
          <w:rFonts w:ascii="Times New Roman" w:hAnsi="Times New Roman" w:cs="Times New Roman"/>
          <w:color w:val="000000" w:themeColor="text1"/>
          <w:lang w:val="es-MX"/>
        </w:rPr>
        <w:t>, destinadas principalmente a las Organizaciones de Padres de Familia y Consejos Educativos dirigidas al programa de apoyo para el consumo adecuado de alimentos (alimentación escolar).</w:t>
      </w:r>
      <w:r>
        <w:rPr>
          <w:rFonts w:ascii="Times New Roman" w:hAnsi="Times New Roman" w:cs="Times New Roman"/>
          <w:color w:val="000000" w:themeColor="text1"/>
          <w:lang w:val="es-MX"/>
        </w:rPr>
        <w:t xml:space="preserve"> </w:t>
      </w:r>
    </w:p>
    <w:p w14:paraId="2E409170" w14:textId="77777777" w:rsidR="00863E34" w:rsidRDefault="00863E34" w:rsidP="00863E34">
      <w:pPr>
        <w:pStyle w:val="Sinespaciado"/>
        <w:jc w:val="both"/>
        <w:rPr>
          <w:rFonts w:ascii="Times New Roman" w:hAnsi="Times New Roman" w:cs="Times New Roman"/>
          <w:color w:val="000000" w:themeColor="text1"/>
          <w:lang w:val="es-MX"/>
        </w:rPr>
      </w:pPr>
    </w:p>
    <w:p w14:paraId="7E1831DA" w14:textId="77777777" w:rsidR="00863E34" w:rsidRDefault="00863E34" w:rsidP="00863E34">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A</w:t>
      </w:r>
      <w:r w:rsidRPr="004716D6">
        <w:rPr>
          <w:rFonts w:ascii="Times New Roman" w:hAnsi="Times New Roman" w:cs="Times New Roman"/>
          <w:color w:val="000000" w:themeColor="text1"/>
          <w:lang w:val="es-MX"/>
        </w:rPr>
        <w:t>simismo, resalta las transferencias que realizó el Ministerio de Energía y Minas hacia empresas privadas por concepto del subsidio al gas propano</w:t>
      </w:r>
      <w:r>
        <w:rPr>
          <w:rFonts w:ascii="Times New Roman" w:hAnsi="Times New Roman" w:cs="Times New Roman"/>
          <w:color w:val="000000" w:themeColor="text1"/>
          <w:lang w:val="es-MX"/>
        </w:rPr>
        <w:t xml:space="preserve"> y a la gasolina regular y diésel </w:t>
      </w:r>
      <w:r w:rsidRPr="004716D6">
        <w:rPr>
          <w:rFonts w:ascii="Times New Roman" w:hAnsi="Times New Roman" w:cs="Times New Roman"/>
          <w:color w:val="000000" w:themeColor="text1"/>
          <w:lang w:val="es-MX"/>
        </w:rPr>
        <w:t>por Q</w:t>
      </w:r>
      <w:r>
        <w:rPr>
          <w:rFonts w:ascii="Times New Roman" w:hAnsi="Times New Roman" w:cs="Times New Roman"/>
          <w:color w:val="000000" w:themeColor="text1"/>
          <w:lang w:val="es-MX"/>
        </w:rPr>
        <w:t>805</w:t>
      </w:r>
      <w:r w:rsidRPr="004716D6">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3 millones, mientras que en 2021 no se reportaba ningún gasto por este concepto. </w:t>
      </w:r>
      <w:r>
        <w:rPr>
          <w:rFonts w:ascii="Times New Roman" w:hAnsi="Times New Roman" w:cs="Times New Roman"/>
          <w:color w:val="000000" w:themeColor="text1"/>
          <w:lang w:val="es-MX"/>
        </w:rPr>
        <w:lastRenderedPageBreak/>
        <w:t>Estos subsidios corresponden a las medidas temporales de alivio económico que fueron adoptadas y aprobadas por el Congreso de la República ante el incremento de los precios internacionales como consecuencia de la volatilidad producto de la guerra entre Rusia y Ucrania, la cual ya alcanzó los 100 días.</w:t>
      </w:r>
    </w:p>
    <w:p w14:paraId="013D72EF" w14:textId="77777777" w:rsidR="00863E34" w:rsidRDefault="00863E34" w:rsidP="00863E34">
      <w:pPr>
        <w:pStyle w:val="Sinespaciado"/>
        <w:jc w:val="both"/>
        <w:rPr>
          <w:rFonts w:ascii="Times New Roman" w:hAnsi="Times New Roman" w:cs="Times New Roman"/>
          <w:color w:val="000000" w:themeColor="text1"/>
          <w:lang w:val="es-MX"/>
        </w:rPr>
      </w:pPr>
    </w:p>
    <w:p w14:paraId="2D6EDC52" w14:textId="77777777" w:rsidR="00863E34" w:rsidRDefault="00863E34" w:rsidP="00863E34">
      <w:pPr>
        <w:pStyle w:val="Sinespaciado"/>
        <w:jc w:val="both"/>
        <w:rPr>
          <w:rFonts w:ascii="Times New Roman" w:hAnsi="Times New Roman" w:cs="Times New Roman"/>
          <w:color w:val="000000" w:themeColor="text1"/>
          <w:lang w:val="es-MX"/>
        </w:rPr>
      </w:pPr>
      <w:r w:rsidRPr="00771E61">
        <w:rPr>
          <w:rFonts w:ascii="Times New Roman" w:hAnsi="Times New Roman" w:cs="Times New Roman"/>
          <w:color w:val="000000" w:themeColor="text1"/>
          <w:lang w:val="es-MX"/>
        </w:rPr>
        <w:t>Es importante considerar que en mayo fue aprobado el Decreto 28-2022 “Reformas a la Ley de Apoyo</w:t>
      </w:r>
      <w:r>
        <w:rPr>
          <w:rFonts w:ascii="Times New Roman" w:hAnsi="Times New Roman" w:cs="Times New Roman"/>
          <w:color w:val="000000" w:themeColor="text1"/>
          <w:lang w:val="es-MX"/>
        </w:rPr>
        <w:t xml:space="preserve"> </w:t>
      </w:r>
      <w:r w:rsidRPr="00771E61">
        <w:rPr>
          <w:rFonts w:ascii="Times New Roman" w:hAnsi="Times New Roman" w:cs="Times New Roman"/>
          <w:color w:val="000000" w:themeColor="text1"/>
          <w:lang w:val="es-MX"/>
        </w:rPr>
        <w:t>Social Temporal a los Consumidores de Diésel y Gasolina Regular Decreto 20-2022” con este</w:t>
      </w:r>
      <w:r>
        <w:rPr>
          <w:rFonts w:ascii="Times New Roman" w:hAnsi="Times New Roman" w:cs="Times New Roman"/>
          <w:color w:val="000000" w:themeColor="text1"/>
          <w:lang w:val="es-MX"/>
        </w:rPr>
        <w:t xml:space="preserve"> </w:t>
      </w:r>
      <w:r w:rsidRPr="00771E61">
        <w:rPr>
          <w:rFonts w:ascii="Times New Roman" w:hAnsi="Times New Roman" w:cs="Times New Roman"/>
          <w:color w:val="000000" w:themeColor="text1"/>
          <w:lang w:val="es-MX"/>
        </w:rPr>
        <w:t xml:space="preserve">decreto se pretende ampliar a los beneficiarios, ya que </w:t>
      </w:r>
      <w:r>
        <w:rPr>
          <w:rFonts w:ascii="Times New Roman" w:hAnsi="Times New Roman" w:cs="Times New Roman"/>
          <w:color w:val="000000" w:themeColor="text1"/>
          <w:lang w:val="es-MX"/>
        </w:rPr>
        <w:t>pasará</w:t>
      </w:r>
      <w:r w:rsidRPr="00771E61">
        <w:rPr>
          <w:rFonts w:ascii="Times New Roman" w:hAnsi="Times New Roman" w:cs="Times New Roman"/>
          <w:color w:val="000000" w:themeColor="text1"/>
          <w:lang w:val="es-MX"/>
        </w:rPr>
        <w:t xml:space="preserve"> a</w:t>
      </w:r>
      <w:r>
        <w:rPr>
          <w:rFonts w:ascii="Times New Roman" w:hAnsi="Times New Roman" w:cs="Times New Roman"/>
          <w:color w:val="000000" w:themeColor="text1"/>
          <w:lang w:val="es-MX"/>
        </w:rPr>
        <w:t xml:space="preserve"> cubrir además de los</w:t>
      </w:r>
      <w:r w:rsidRPr="00771E61">
        <w:rPr>
          <w:rFonts w:ascii="Times New Roman" w:hAnsi="Times New Roman" w:cs="Times New Roman"/>
          <w:color w:val="000000" w:themeColor="text1"/>
          <w:lang w:val="es-MX"/>
        </w:rPr>
        <w:t xml:space="preserve"> consumidores de diésel y de gasolinas</w:t>
      </w:r>
      <w:r>
        <w:rPr>
          <w:rFonts w:ascii="Times New Roman" w:hAnsi="Times New Roman" w:cs="Times New Roman"/>
          <w:color w:val="000000" w:themeColor="text1"/>
          <w:lang w:val="es-MX"/>
        </w:rPr>
        <w:t xml:space="preserve"> </w:t>
      </w:r>
      <w:r w:rsidRPr="00771E61">
        <w:rPr>
          <w:rFonts w:ascii="Times New Roman" w:hAnsi="Times New Roman" w:cs="Times New Roman"/>
          <w:color w:val="000000" w:themeColor="text1"/>
          <w:lang w:val="es-MX"/>
        </w:rPr>
        <w:t>regular</w:t>
      </w:r>
      <w:r>
        <w:rPr>
          <w:rFonts w:ascii="Times New Roman" w:hAnsi="Times New Roman" w:cs="Times New Roman"/>
          <w:color w:val="000000" w:themeColor="text1"/>
          <w:lang w:val="es-MX"/>
        </w:rPr>
        <w:t>, también a los de gasolina</w:t>
      </w:r>
      <w:r w:rsidRPr="00771E61">
        <w:rPr>
          <w:rFonts w:ascii="Times New Roman" w:hAnsi="Times New Roman" w:cs="Times New Roman"/>
          <w:color w:val="000000" w:themeColor="text1"/>
          <w:lang w:val="es-MX"/>
        </w:rPr>
        <w:t xml:space="preserve"> superior, siendo el apoyo otorgado por dos meses más (en total la medida estaría vigente por</w:t>
      </w:r>
      <w:r>
        <w:rPr>
          <w:rFonts w:ascii="Times New Roman" w:hAnsi="Times New Roman" w:cs="Times New Roman"/>
          <w:color w:val="000000" w:themeColor="text1"/>
          <w:lang w:val="es-MX"/>
        </w:rPr>
        <w:t xml:space="preserve"> </w:t>
      </w:r>
      <w:r w:rsidRPr="00771E61">
        <w:rPr>
          <w:rFonts w:ascii="Times New Roman" w:hAnsi="Times New Roman" w:cs="Times New Roman"/>
          <w:color w:val="000000" w:themeColor="text1"/>
          <w:lang w:val="es-MX"/>
        </w:rPr>
        <w:t>cuatro meses para consumidores de gasolina regular y diésel, mientras que para consumidores de</w:t>
      </w:r>
      <w:r>
        <w:rPr>
          <w:rFonts w:ascii="Times New Roman" w:hAnsi="Times New Roman" w:cs="Times New Roman"/>
          <w:color w:val="000000" w:themeColor="text1"/>
          <w:lang w:val="es-MX"/>
        </w:rPr>
        <w:t xml:space="preserve"> </w:t>
      </w:r>
      <w:r w:rsidRPr="00771E61">
        <w:rPr>
          <w:rFonts w:ascii="Times New Roman" w:hAnsi="Times New Roman" w:cs="Times New Roman"/>
          <w:color w:val="000000" w:themeColor="text1"/>
          <w:lang w:val="es-MX"/>
        </w:rPr>
        <w:t xml:space="preserve">gasolina superior únicamente por dos meses). </w:t>
      </w:r>
      <w:r>
        <w:rPr>
          <w:rFonts w:ascii="Times New Roman" w:hAnsi="Times New Roman" w:cs="Times New Roman"/>
          <w:color w:val="000000" w:themeColor="text1"/>
          <w:lang w:val="es-MX"/>
        </w:rPr>
        <w:t xml:space="preserve">A partir del 31 de mayo el subsidio pasaría de Q5.00 por cada galón de diésel a Q7.00 y de Q2.50 por cada galón de gasolina regular a Q5.00. Mientras que se iniciaría a aplicar el subsidio de Q5.00 para cada galón de gasolina superior. </w:t>
      </w:r>
    </w:p>
    <w:p w14:paraId="1106F0B0" w14:textId="77777777" w:rsidR="00863E34" w:rsidRDefault="00863E34" w:rsidP="00863E34">
      <w:pPr>
        <w:pStyle w:val="Sinespaciado"/>
        <w:jc w:val="both"/>
        <w:rPr>
          <w:rFonts w:ascii="Times New Roman" w:hAnsi="Times New Roman" w:cs="Times New Roman"/>
          <w:color w:val="000000" w:themeColor="text1"/>
          <w:lang w:val="es-MX"/>
        </w:rPr>
      </w:pPr>
    </w:p>
    <w:p w14:paraId="524C4613" w14:textId="77777777" w:rsidR="00863E34" w:rsidRDefault="00863E34" w:rsidP="00863E34">
      <w:pPr>
        <w:pStyle w:val="Sinespaciado"/>
        <w:jc w:val="both"/>
        <w:rPr>
          <w:rFonts w:ascii="Times New Roman" w:hAnsi="Times New Roman" w:cs="Times New Roman"/>
          <w:color w:val="000000" w:themeColor="text1"/>
          <w:lang w:val="es-MX"/>
        </w:rPr>
      </w:pPr>
      <w:r w:rsidRPr="00771E61">
        <w:rPr>
          <w:rFonts w:ascii="Times New Roman" w:hAnsi="Times New Roman" w:cs="Times New Roman"/>
          <w:color w:val="000000" w:themeColor="text1"/>
          <w:lang w:val="es-MX"/>
        </w:rPr>
        <w:t>Derivado de lo anterior, el presupuesto fue ampliado por un monto de Q2,260 millones (incluye los</w:t>
      </w:r>
      <w:r>
        <w:rPr>
          <w:rFonts w:ascii="Times New Roman" w:hAnsi="Times New Roman" w:cs="Times New Roman"/>
          <w:color w:val="000000" w:themeColor="text1"/>
          <w:lang w:val="es-MX"/>
        </w:rPr>
        <w:t xml:space="preserve"> </w:t>
      </w:r>
      <w:r w:rsidRPr="00771E61">
        <w:rPr>
          <w:rFonts w:ascii="Times New Roman" w:hAnsi="Times New Roman" w:cs="Times New Roman"/>
          <w:color w:val="000000" w:themeColor="text1"/>
          <w:lang w:val="es-MX"/>
        </w:rPr>
        <w:t>Q745 millones del decreto 20-2022), siendo la medida financiada con disminución de caja y bancos de</w:t>
      </w:r>
      <w:r>
        <w:rPr>
          <w:rFonts w:ascii="Times New Roman" w:hAnsi="Times New Roman" w:cs="Times New Roman"/>
          <w:color w:val="000000" w:themeColor="text1"/>
          <w:lang w:val="es-MX"/>
        </w:rPr>
        <w:t xml:space="preserve"> </w:t>
      </w:r>
      <w:r w:rsidRPr="00771E61">
        <w:rPr>
          <w:rFonts w:ascii="Times New Roman" w:hAnsi="Times New Roman" w:cs="Times New Roman"/>
          <w:color w:val="000000" w:themeColor="text1"/>
          <w:lang w:val="es-MX"/>
        </w:rPr>
        <w:t>recursos del tesoro.</w:t>
      </w:r>
      <w:r>
        <w:rPr>
          <w:rFonts w:ascii="Times New Roman" w:hAnsi="Times New Roman" w:cs="Times New Roman"/>
          <w:color w:val="000000" w:themeColor="text1"/>
          <w:lang w:val="es-MX"/>
        </w:rPr>
        <w:t xml:space="preserve"> </w:t>
      </w:r>
    </w:p>
    <w:p w14:paraId="53291696" w14:textId="77777777" w:rsidR="00863E34" w:rsidRDefault="00863E34" w:rsidP="00863E34">
      <w:pPr>
        <w:pStyle w:val="Sinespaciado"/>
        <w:jc w:val="both"/>
        <w:rPr>
          <w:rFonts w:ascii="Times New Roman" w:hAnsi="Times New Roman" w:cs="Times New Roman"/>
          <w:color w:val="000000" w:themeColor="text1"/>
          <w:lang w:val="es-MX"/>
        </w:rPr>
      </w:pPr>
    </w:p>
    <w:p w14:paraId="6A546C2E" w14:textId="77777777" w:rsidR="00863E34" w:rsidRDefault="00863E34" w:rsidP="00863E34">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Asimismo, el subsidio del gas propano estaría próximo a concluir (en la primera quincena de junio) por lo tanto, existen iniciativas dentro del Congreso de la República para continuar con este apoyo temporal derivado del constante aumento de los precios del gas licuado de petróleo que incide en los hogares guatemaltecos.  </w:t>
      </w:r>
    </w:p>
    <w:p w14:paraId="43C70BEF" w14:textId="77777777" w:rsidR="00863E34" w:rsidRDefault="00863E34" w:rsidP="00863E34">
      <w:pPr>
        <w:pStyle w:val="Sinespaciado"/>
        <w:jc w:val="both"/>
        <w:rPr>
          <w:rFonts w:ascii="Times New Roman" w:hAnsi="Times New Roman" w:cs="Times New Roman"/>
          <w:color w:val="000000" w:themeColor="text1"/>
          <w:lang w:val="es-MX"/>
        </w:rPr>
      </w:pPr>
    </w:p>
    <w:p w14:paraId="4621A6E4" w14:textId="77777777" w:rsidR="00863E34" w:rsidRDefault="00863E34" w:rsidP="00863E34">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Por lo cual, las transferencias corrientes destinadas al sector privado estarían creciendo de forma importante a lo largo de 2022, siendo este el rubro de gasto con el mayor crecimiento interanual. </w:t>
      </w:r>
    </w:p>
    <w:p w14:paraId="140C5538" w14:textId="77777777" w:rsidR="00863E34" w:rsidRDefault="00863E34" w:rsidP="00863E34">
      <w:pPr>
        <w:pStyle w:val="Sinespaciado"/>
        <w:jc w:val="both"/>
        <w:rPr>
          <w:rFonts w:ascii="Times New Roman" w:hAnsi="Times New Roman" w:cs="Times New Roman"/>
          <w:color w:val="000000" w:themeColor="text1"/>
          <w:lang w:val="es-MX"/>
        </w:rPr>
      </w:pPr>
    </w:p>
    <w:p w14:paraId="382DF766" w14:textId="77777777" w:rsidR="00863E34" w:rsidRDefault="00863E34" w:rsidP="00863E34">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Del lado de las transferencias hacia el sector público, se reporta un crecimiento de 24.3%, equivalente a Q919.0 millones.</w:t>
      </w:r>
    </w:p>
    <w:p w14:paraId="5678C46B" w14:textId="77777777" w:rsidR="00863E34" w:rsidRDefault="00863E34" w:rsidP="00863E34">
      <w:pPr>
        <w:pStyle w:val="Sinespaciado"/>
        <w:jc w:val="both"/>
        <w:rPr>
          <w:rFonts w:ascii="Times New Roman" w:hAnsi="Times New Roman" w:cs="Times New Roman"/>
          <w:color w:val="000000" w:themeColor="text1"/>
          <w:lang w:val="es-MX"/>
        </w:rPr>
      </w:pPr>
    </w:p>
    <w:p w14:paraId="721417D5" w14:textId="77777777" w:rsidR="00863E34" w:rsidRDefault="00863E34" w:rsidP="00863E34">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 xml:space="preserve">En el rubro de las transferencias de capital se reporta un aumento de Q909.1 millones, con un crecimiento interanual de 22.6%, explicado por el alza en las transferencias del sector público, las que corresponden a las municipalidades aumentaron en Q503.3 millones. Las transferencias a los Consejos de Desarrollo Urbano y Rural aumentaron Q165.6 millones. Asimismo, en las transferencias al sector externo se reporta una transferencia hacia gobiernos extranjeros por Q213.9 millones, de parte del Ministerio de Defensa hacia el Servicio de Contabilidad de Finanzas de Defensa (DFAS por sus siglas en inglés), esta transferencia es para dar cumplimiento al convenio de asistencia militar, aprobado en Decreto No.14 de la Asamblea Nacional Constituyente. </w:t>
      </w:r>
    </w:p>
    <w:p w14:paraId="07E333DA" w14:textId="77777777" w:rsidR="00863E34" w:rsidRDefault="00863E34" w:rsidP="00863E34">
      <w:pPr>
        <w:pStyle w:val="Sinespaciado"/>
        <w:jc w:val="both"/>
        <w:rPr>
          <w:rFonts w:ascii="Times New Roman" w:hAnsi="Times New Roman" w:cs="Times New Roman"/>
          <w:color w:val="000000" w:themeColor="text1"/>
        </w:rPr>
      </w:pPr>
    </w:p>
    <w:p w14:paraId="3248F435" w14:textId="77777777" w:rsidR="00863E34" w:rsidRDefault="00863E34" w:rsidP="00863E34">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En lo que respecta a los intereses estos reportan una ejecución mayor en Q508.7 millones, siendo el crecimiento de 11.1%, explicado por los intereses de la deuda externa que crecen en 10.0%, mientras que los intereses de los bonos reportan un crecimiento de 35.1%, derivado de las colocaciones de eurobono realizadas en los últimos años, mientras que los préstamos reportan una contracción en el pago de intereses por 7.7%, como consecuencia de una menor aprobación por parte del Congreso de la República de estos instrumentos de financiamiento en los últimos años por lo cual su costo financiero disminuye.</w:t>
      </w:r>
    </w:p>
    <w:p w14:paraId="33CD7011" w14:textId="77777777" w:rsidR="00863E34" w:rsidRDefault="00863E34" w:rsidP="00863E34">
      <w:pPr>
        <w:pStyle w:val="Sinespaciado"/>
        <w:jc w:val="both"/>
        <w:rPr>
          <w:rFonts w:ascii="Times New Roman" w:hAnsi="Times New Roman" w:cs="Times New Roman"/>
          <w:color w:val="000000" w:themeColor="text1"/>
          <w:lang w:val="es-MX"/>
        </w:rPr>
      </w:pPr>
    </w:p>
    <w:p w14:paraId="6B511BB5" w14:textId="77777777" w:rsidR="00863E34" w:rsidRDefault="00863E34" w:rsidP="00863E34">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Los bienes y servicios reportan una ejecución mayor en Q313.9 millones (equivalente a un crecimiento interanual de 7.3%), explicado por un aumento de Q128.6 millones en el Ministerio de Educación, entre los que resalta las primas y gastos de seguros y fianzas con Q39.8 millones, los útiles deportivos y recreativos con Q30.5 millones y los servicios de capacitación con Q25.0 millones. Mientras que en el Ministerio de Salud Pública y Asistencia Social el aumento es de Q102.4 millones, por los servicios médico-sanitarios </w:t>
      </w:r>
      <w:r>
        <w:rPr>
          <w:rFonts w:ascii="Times New Roman" w:hAnsi="Times New Roman" w:cs="Times New Roman"/>
          <w:color w:val="000000" w:themeColor="text1"/>
          <w:lang w:val="es-MX"/>
        </w:rPr>
        <w:lastRenderedPageBreak/>
        <w:t xml:space="preserve">con Q108.0 millones, los elementos y compuestos químicos con Q102.4 millones y útiles menores, suministros e instrumental médico-quirúrgico con Q60.7 millones.  Por su parte, resalta que los productos medicinales y farmacéuticos reportan una disminución de Q311.8 millones, dado que en 2021 las compras por la vacuna contra el COVID-19 eran mayores mientras que en este ejercicio las compras por este concepto han ido disminuyendo. </w:t>
      </w:r>
    </w:p>
    <w:p w14:paraId="21A0DF4C" w14:textId="77777777" w:rsidR="00863E34" w:rsidRDefault="00863E34" w:rsidP="00863E34">
      <w:pPr>
        <w:pStyle w:val="Sinespaciado"/>
        <w:jc w:val="both"/>
        <w:rPr>
          <w:rFonts w:ascii="Times New Roman" w:hAnsi="Times New Roman" w:cs="Times New Roman"/>
          <w:color w:val="000000" w:themeColor="text1"/>
          <w:lang w:val="es-MX"/>
        </w:rPr>
      </w:pPr>
    </w:p>
    <w:p w14:paraId="33A339DB" w14:textId="77777777" w:rsidR="00863E34" w:rsidRDefault="00863E34" w:rsidP="00863E34">
      <w:pPr>
        <w:spacing w:after="0" w:line="240" w:lineRule="auto"/>
        <w:jc w:val="both"/>
      </w:pPr>
      <w:r w:rsidRPr="00467D68">
        <w:rPr>
          <w:rFonts w:ascii="Times New Roman" w:hAnsi="Times New Roman" w:cs="Times New Roman"/>
          <w:color w:val="000000" w:themeColor="text1"/>
        </w:rPr>
        <w:t>Por su parte, las remuneraciones reportan un aumento de Q</w:t>
      </w:r>
      <w:r>
        <w:rPr>
          <w:rFonts w:ascii="Times New Roman" w:hAnsi="Times New Roman" w:cs="Times New Roman"/>
          <w:color w:val="000000" w:themeColor="text1"/>
        </w:rPr>
        <w:t>191.7</w:t>
      </w:r>
      <w:r w:rsidRPr="00467D68">
        <w:rPr>
          <w:rFonts w:ascii="Times New Roman" w:hAnsi="Times New Roman" w:cs="Times New Roman"/>
          <w:color w:val="000000" w:themeColor="text1"/>
        </w:rPr>
        <w:t xml:space="preserve"> millones (crecimiento interanual de </w:t>
      </w:r>
      <w:r>
        <w:rPr>
          <w:rFonts w:ascii="Times New Roman" w:hAnsi="Times New Roman" w:cs="Times New Roman"/>
          <w:color w:val="000000" w:themeColor="text1"/>
        </w:rPr>
        <w:t>1</w:t>
      </w:r>
      <w:r w:rsidRPr="00467D68">
        <w:rPr>
          <w:rFonts w:ascii="Times New Roman" w:hAnsi="Times New Roman" w:cs="Times New Roman"/>
          <w:color w:val="000000" w:themeColor="text1"/>
        </w:rPr>
        <w:t>.</w:t>
      </w:r>
      <w:r>
        <w:rPr>
          <w:rFonts w:ascii="Times New Roman" w:hAnsi="Times New Roman" w:cs="Times New Roman"/>
          <w:color w:val="000000" w:themeColor="text1"/>
        </w:rPr>
        <w:t>7</w:t>
      </w:r>
      <w:r w:rsidRPr="00467D68">
        <w:rPr>
          <w:rFonts w:ascii="Times New Roman" w:hAnsi="Times New Roman" w:cs="Times New Roman"/>
          <w:color w:val="000000" w:themeColor="text1"/>
        </w:rPr>
        <w:t xml:space="preserve">%).  </w:t>
      </w:r>
    </w:p>
    <w:p w14:paraId="17EF58D5" w14:textId="77777777" w:rsidR="00863E34" w:rsidRDefault="00863E34" w:rsidP="00863E34">
      <w:pPr>
        <w:pStyle w:val="Sinespaciado"/>
        <w:jc w:val="both"/>
        <w:rPr>
          <w:rFonts w:ascii="Times New Roman" w:hAnsi="Times New Roman" w:cs="Times New Roman"/>
          <w:color w:val="000000" w:themeColor="text1"/>
        </w:rPr>
      </w:pPr>
    </w:p>
    <w:p w14:paraId="542FA7CA" w14:textId="77777777" w:rsidR="00863E34" w:rsidRDefault="00863E34" w:rsidP="00863E34">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En la inversión real directa se reporta un aumento de Q169.4 millones y un crecimiento interanual de Q13.7%, la entidad que más suma en este aumento es el Ministerio de Desarrollo Social con Q76.1 millones, por construcciones de bienes de uso común, resalta el mejoramiento de calles pavimentadas, mejoramiento de caminos rurales y sistemas de tratamiento de aguas residuales. Seguidamente el Ministerio de Educación muestra un aumento en su inversión de Q35.5 millones, en la compra de equipo de cómputo. Por su parte, el Ministerio de Comunicaciones, Infraestructura y Vivienda reporta una disminución de Q21.5 millones, situación que podría cambiar sustancialmente en los próximos meses a medida que se ejecuten los Q3,191.2 millones contemplados en el decreto 21-2022 para fortalecer la infraestructura estratégica, beneficiando rutas nacionales y departamentales, adquisición de puentes, construcción y mejoramiento de carreteras, entre otros.</w:t>
      </w:r>
    </w:p>
    <w:p w14:paraId="4344C401" w14:textId="77777777" w:rsidR="00863E34" w:rsidRDefault="00863E34" w:rsidP="00863E34">
      <w:pPr>
        <w:pStyle w:val="Sinespaciado"/>
        <w:jc w:val="both"/>
        <w:rPr>
          <w:rFonts w:ascii="Times New Roman" w:hAnsi="Times New Roman" w:cs="Times New Roman"/>
          <w:color w:val="000000" w:themeColor="text1"/>
          <w:lang w:val="es-MX"/>
        </w:rPr>
      </w:pPr>
    </w:p>
    <w:p w14:paraId="2CD613B4" w14:textId="3A1E0C24" w:rsidR="00863E34" w:rsidRDefault="00863E34" w:rsidP="00863E34">
      <w:pPr>
        <w:spacing w:line="240" w:lineRule="auto"/>
        <w:jc w:val="both"/>
        <w:rPr>
          <w:rFonts w:ascii="Times New Roman" w:hAnsi="Times New Roman" w:cs="Times New Roman"/>
          <w:color w:val="000000" w:themeColor="text1"/>
        </w:rPr>
      </w:pPr>
      <w:r w:rsidRPr="00467D68">
        <w:rPr>
          <w:rFonts w:ascii="Times New Roman" w:hAnsi="Times New Roman" w:cs="Times New Roman"/>
          <w:color w:val="000000" w:themeColor="text1"/>
        </w:rPr>
        <w:t xml:space="preserve">Por último, las prestaciones a la seguridad social reportan un crecimiento de </w:t>
      </w:r>
      <w:r>
        <w:rPr>
          <w:rFonts w:ascii="Times New Roman" w:hAnsi="Times New Roman" w:cs="Times New Roman"/>
          <w:color w:val="000000" w:themeColor="text1"/>
        </w:rPr>
        <w:t>3</w:t>
      </w:r>
      <w:r w:rsidRPr="00467D68">
        <w:rPr>
          <w:rFonts w:ascii="Times New Roman" w:hAnsi="Times New Roman" w:cs="Times New Roman"/>
          <w:color w:val="000000" w:themeColor="text1"/>
        </w:rPr>
        <w:t>.</w:t>
      </w:r>
      <w:r>
        <w:rPr>
          <w:rFonts w:ascii="Times New Roman" w:hAnsi="Times New Roman" w:cs="Times New Roman"/>
          <w:color w:val="000000" w:themeColor="text1"/>
        </w:rPr>
        <w:t>8</w:t>
      </w:r>
      <w:r w:rsidRPr="00467D68">
        <w:rPr>
          <w:rFonts w:ascii="Times New Roman" w:hAnsi="Times New Roman" w:cs="Times New Roman"/>
          <w:color w:val="000000" w:themeColor="text1"/>
        </w:rPr>
        <w:t>%, equivalente a Q</w:t>
      </w:r>
      <w:r>
        <w:rPr>
          <w:rFonts w:ascii="Times New Roman" w:hAnsi="Times New Roman" w:cs="Times New Roman"/>
          <w:color w:val="000000" w:themeColor="text1"/>
        </w:rPr>
        <w:t>80</w:t>
      </w:r>
      <w:r w:rsidRPr="00467D68">
        <w:rPr>
          <w:rFonts w:ascii="Times New Roman" w:hAnsi="Times New Roman" w:cs="Times New Roman"/>
          <w:color w:val="000000" w:themeColor="text1"/>
        </w:rPr>
        <w:t>.</w:t>
      </w:r>
      <w:r>
        <w:rPr>
          <w:rFonts w:ascii="Times New Roman" w:hAnsi="Times New Roman" w:cs="Times New Roman"/>
          <w:color w:val="000000" w:themeColor="text1"/>
        </w:rPr>
        <w:t>2</w:t>
      </w:r>
      <w:r w:rsidRPr="00467D68">
        <w:rPr>
          <w:rFonts w:ascii="Times New Roman" w:hAnsi="Times New Roman" w:cs="Times New Roman"/>
          <w:color w:val="000000" w:themeColor="text1"/>
        </w:rPr>
        <w:t xml:space="preserve"> millones.</w:t>
      </w:r>
    </w:p>
    <w:p w14:paraId="2DC48111" w14:textId="3A8BAD6B" w:rsidR="0011046F" w:rsidRDefault="0011046F" w:rsidP="00863E34">
      <w:pPr>
        <w:spacing w:line="240" w:lineRule="auto"/>
        <w:jc w:val="both"/>
        <w:rPr>
          <w:rFonts w:ascii="Times New Roman" w:hAnsi="Times New Roman" w:cs="Times New Roman"/>
          <w:color w:val="000000" w:themeColor="text1"/>
        </w:rPr>
      </w:pPr>
    </w:p>
    <w:p w14:paraId="1B88B857" w14:textId="1D5357CC" w:rsidR="0011046F" w:rsidRDefault="0011046F" w:rsidP="00863E34">
      <w:pPr>
        <w:spacing w:line="240" w:lineRule="auto"/>
        <w:jc w:val="both"/>
        <w:rPr>
          <w:rFonts w:ascii="Times New Roman" w:hAnsi="Times New Roman" w:cs="Times New Roman"/>
          <w:color w:val="000000" w:themeColor="text1"/>
        </w:rPr>
      </w:pPr>
    </w:p>
    <w:p w14:paraId="215BFCFC" w14:textId="736E6E71" w:rsidR="0011046F" w:rsidRDefault="0011046F" w:rsidP="00863E34">
      <w:pPr>
        <w:spacing w:line="240" w:lineRule="auto"/>
        <w:jc w:val="both"/>
        <w:rPr>
          <w:rFonts w:ascii="Times New Roman" w:hAnsi="Times New Roman" w:cs="Times New Roman"/>
          <w:color w:val="000000" w:themeColor="text1"/>
        </w:rPr>
      </w:pPr>
    </w:p>
    <w:p w14:paraId="6E8FCEEC" w14:textId="77777777" w:rsidR="0011046F" w:rsidRPr="0011046F" w:rsidRDefault="0011046F" w:rsidP="00863E34">
      <w:pPr>
        <w:spacing w:line="240" w:lineRule="auto"/>
        <w:jc w:val="both"/>
        <w:rPr>
          <w:rFonts w:ascii="Times New Roman" w:hAnsi="Times New Roman" w:cs="Times New Roman"/>
          <w:color w:val="000000" w:themeColor="text1"/>
        </w:rPr>
      </w:pPr>
    </w:p>
    <w:p w14:paraId="2BBEB5E3" w14:textId="77777777" w:rsidR="00E02DD8" w:rsidRPr="00863E34" w:rsidRDefault="00E02DD8" w:rsidP="00E02DD8">
      <w:pPr>
        <w:pStyle w:val="Sinespaciado"/>
        <w:jc w:val="center"/>
        <w:rPr>
          <w:sz w:val="24"/>
        </w:rPr>
      </w:pPr>
      <w:r w:rsidRPr="00863E34">
        <w:rPr>
          <w:rFonts w:ascii="Times New Roman" w:hAnsi="Times New Roman" w:cs="Times New Roman"/>
          <w:b/>
          <w:sz w:val="24"/>
          <w:lang w:val="es-MX"/>
        </w:rPr>
        <w:t>Ejecución por rubro de Cuenta Económica</w:t>
      </w:r>
    </w:p>
    <w:p w14:paraId="4E54829B" w14:textId="77777777" w:rsidR="00840733" w:rsidRPr="00863E34" w:rsidRDefault="00E02DD8" w:rsidP="00863E34">
      <w:pPr>
        <w:pStyle w:val="Sinespaciado"/>
        <w:jc w:val="center"/>
        <w:rPr>
          <w:rFonts w:ascii="Times New Roman" w:hAnsi="Times New Roman" w:cs="Times New Roman"/>
          <w:szCs w:val="18"/>
          <w:lang w:val="es-MX"/>
        </w:rPr>
      </w:pPr>
      <w:r w:rsidRPr="00863E34">
        <w:rPr>
          <w:rFonts w:ascii="Times New Roman" w:hAnsi="Times New Roman" w:cs="Times New Roman"/>
          <w:szCs w:val="18"/>
          <w:lang w:val="es-MX"/>
        </w:rPr>
        <w:t>2022 – 2021</w:t>
      </w:r>
    </w:p>
    <w:p w14:paraId="1B23568B" w14:textId="5772327D" w:rsidR="00E02DD8" w:rsidRPr="00863E34" w:rsidRDefault="0011046F" w:rsidP="00E02DD8">
      <w:pPr>
        <w:pStyle w:val="Sinespaciado"/>
        <w:jc w:val="center"/>
        <w:rPr>
          <w:rFonts w:ascii="Times New Roman" w:hAnsi="Times New Roman" w:cs="Times New Roman"/>
          <w:lang w:val="es-MX"/>
        </w:rPr>
      </w:pPr>
      <w:r w:rsidRPr="00863E34">
        <w:rPr>
          <w:noProof/>
          <w:lang w:eastAsia="es-GT"/>
        </w:rPr>
        <w:drawing>
          <wp:anchor distT="0" distB="0" distL="114300" distR="114300" simplePos="0" relativeHeight="251780096" behindDoc="0" locked="0" layoutInCell="1" allowOverlap="1" wp14:anchorId="6345A551" wp14:editId="53BB3BAD">
            <wp:simplePos x="0" y="0"/>
            <wp:positionH relativeFrom="column">
              <wp:posOffset>3810</wp:posOffset>
            </wp:positionH>
            <wp:positionV relativeFrom="paragraph">
              <wp:posOffset>155575</wp:posOffset>
            </wp:positionV>
            <wp:extent cx="2777490" cy="3689498"/>
            <wp:effectExtent l="0" t="0" r="3810" b="635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E02DD8" w:rsidRPr="00863E34">
        <w:rPr>
          <w:rFonts w:ascii="Times New Roman" w:hAnsi="Times New Roman" w:cs="Times New Roman"/>
          <w:lang w:val="es-MX"/>
        </w:rPr>
        <w:t>Variación absoluta interanual</w:t>
      </w:r>
    </w:p>
    <w:p w14:paraId="35BBCAFE" w14:textId="36257E7C" w:rsidR="004747BE" w:rsidRPr="00863E34" w:rsidRDefault="004747BE" w:rsidP="00E02DD8">
      <w:pPr>
        <w:pStyle w:val="Sinespaciado"/>
        <w:jc w:val="center"/>
        <w:rPr>
          <w:rFonts w:ascii="Times New Roman" w:hAnsi="Times New Roman" w:cs="Times New Roman"/>
          <w:lang w:val="es-MX"/>
        </w:rPr>
      </w:pPr>
    </w:p>
    <w:p w14:paraId="00674A78" w14:textId="77777777" w:rsidR="004747BE" w:rsidRPr="00863E34" w:rsidRDefault="004747BE" w:rsidP="00E02DD8">
      <w:pPr>
        <w:pStyle w:val="Sinespaciado"/>
        <w:jc w:val="center"/>
        <w:rPr>
          <w:rFonts w:ascii="Times New Roman" w:hAnsi="Times New Roman" w:cs="Times New Roman"/>
          <w:lang w:val="es-MX"/>
        </w:rPr>
      </w:pPr>
    </w:p>
    <w:p w14:paraId="15A0890E" w14:textId="77777777" w:rsidR="004747BE" w:rsidRPr="00863E34" w:rsidRDefault="004747BE" w:rsidP="00E02DD8">
      <w:pPr>
        <w:pStyle w:val="Sinespaciado"/>
        <w:jc w:val="center"/>
        <w:rPr>
          <w:rFonts w:ascii="Times New Roman" w:hAnsi="Times New Roman" w:cs="Times New Roman"/>
          <w:lang w:val="es-MX"/>
        </w:rPr>
      </w:pPr>
    </w:p>
    <w:p w14:paraId="4AB69F0D" w14:textId="77777777" w:rsidR="004747BE" w:rsidRPr="00863E34" w:rsidRDefault="004747BE" w:rsidP="00E02DD8">
      <w:pPr>
        <w:pStyle w:val="Sinespaciado"/>
        <w:jc w:val="center"/>
        <w:rPr>
          <w:rFonts w:ascii="Times New Roman" w:hAnsi="Times New Roman" w:cs="Times New Roman"/>
          <w:lang w:val="es-MX"/>
        </w:rPr>
      </w:pPr>
    </w:p>
    <w:p w14:paraId="5B008A12" w14:textId="77777777" w:rsidR="004747BE" w:rsidRPr="00863E34" w:rsidRDefault="004747BE" w:rsidP="00E02DD8">
      <w:pPr>
        <w:pStyle w:val="Sinespaciado"/>
        <w:jc w:val="center"/>
        <w:rPr>
          <w:rFonts w:ascii="Times New Roman" w:hAnsi="Times New Roman" w:cs="Times New Roman"/>
          <w:lang w:val="es-MX"/>
        </w:rPr>
      </w:pPr>
    </w:p>
    <w:p w14:paraId="3EBDCA7A" w14:textId="77777777" w:rsidR="004747BE" w:rsidRPr="00863E34" w:rsidRDefault="004747BE" w:rsidP="00E02DD8">
      <w:pPr>
        <w:pStyle w:val="Sinespaciado"/>
        <w:jc w:val="center"/>
        <w:rPr>
          <w:rFonts w:ascii="Times New Roman" w:hAnsi="Times New Roman" w:cs="Times New Roman"/>
          <w:lang w:val="es-MX"/>
        </w:rPr>
      </w:pPr>
    </w:p>
    <w:p w14:paraId="120D806B" w14:textId="77777777" w:rsidR="004747BE" w:rsidRPr="00863E34" w:rsidRDefault="004747BE" w:rsidP="00E02DD8">
      <w:pPr>
        <w:pStyle w:val="Sinespaciado"/>
        <w:jc w:val="center"/>
        <w:rPr>
          <w:rFonts w:ascii="Times New Roman" w:hAnsi="Times New Roman" w:cs="Times New Roman"/>
          <w:lang w:val="es-MX"/>
        </w:rPr>
      </w:pPr>
    </w:p>
    <w:p w14:paraId="2B043109" w14:textId="77777777" w:rsidR="004747BE" w:rsidRPr="00863E34" w:rsidRDefault="004747BE" w:rsidP="00E02DD8">
      <w:pPr>
        <w:pStyle w:val="Sinespaciado"/>
        <w:jc w:val="center"/>
        <w:rPr>
          <w:rFonts w:ascii="Times New Roman" w:hAnsi="Times New Roman" w:cs="Times New Roman"/>
          <w:lang w:val="es-MX"/>
        </w:rPr>
      </w:pPr>
    </w:p>
    <w:p w14:paraId="5AD9E788" w14:textId="77777777" w:rsidR="004747BE" w:rsidRPr="00863E34" w:rsidRDefault="004747BE" w:rsidP="00E02DD8">
      <w:pPr>
        <w:pStyle w:val="Sinespaciado"/>
        <w:jc w:val="center"/>
        <w:rPr>
          <w:rFonts w:ascii="Times New Roman" w:hAnsi="Times New Roman" w:cs="Times New Roman"/>
          <w:lang w:val="es-MX"/>
        </w:rPr>
      </w:pPr>
    </w:p>
    <w:p w14:paraId="74942E42" w14:textId="77777777" w:rsidR="004747BE" w:rsidRPr="00863E34" w:rsidRDefault="004747BE" w:rsidP="00E02DD8">
      <w:pPr>
        <w:pStyle w:val="Sinespaciado"/>
        <w:jc w:val="center"/>
        <w:rPr>
          <w:rFonts w:ascii="Times New Roman" w:hAnsi="Times New Roman" w:cs="Times New Roman"/>
          <w:lang w:val="es-MX"/>
        </w:rPr>
      </w:pPr>
    </w:p>
    <w:p w14:paraId="73BFA2B8" w14:textId="77777777" w:rsidR="004747BE" w:rsidRPr="00863E34" w:rsidRDefault="004747BE" w:rsidP="00E02DD8">
      <w:pPr>
        <w:pStyle w:val="Sinespaciado"/>
        <w:jc w:val="center"/>
        <w:rPr>
          <w:rFonts w:ascii="Times New Roman" w:hAnsi="Times New Roman" w:cs="Times New Roman"/>
          <w:lang w:val="es-MX"/>
        </w:rPr>
      </w:pPr>
    </w:p>
    <w:p w14:paraId="19D259B8" w14:textId="77777777" w:rsidR="004747BE" w:rsidRPr="00863E34" w:rsidRDefault="004747BE" w:rsidP="00E02DD8">
      <w:pPr>
        <w:pStyle w:val="Sinespaciado"/>
        <w:jc w:val="center"/>
        <w:rPr>
          <w:rFonts w:ascii="Times New Roman" w:hAnsi="Times New Roman" w:cs="Times New Roman"/>
          <w:lang w:val="es-MX"/>
        </w:rPr>
      </w:pPr>
    </w:p>
    <w:p w14:paraId="35C89879" w14:textId="77777777" w:rsidR="004747BE" w:rsidRPr="00863E34" w:rsidRDefault="004747BE" w:rsidP="00E02DD8">
      <w:pPr>
        <w:pStyle w:val="Sinespaciado"/>
        <w:jc w:val="center"/>
        <w:rPr>
          <w:rFonts w:ascii="Times New Roman" w:hAnsi="Times New Roman" w:cs="Times New Roman"/>
          <w:lang w:val="es-MX"/>
        </w:rPr>
      </w:pPr>
    </w:p>
    <w:p w14:paraId="6B8E2F5F" w14:textId="77777777" w:rsidR="004747BE" w:rsidRPr="00863E34" w:rsidRDefault="004747BE" w:rsidP="00E02DD8">
      <w:pPr>
        <w:pStyle w:val="Sinespaciado"/>
        <w:jc w:val="center"/>
        <w:rPr>
          <w:rFonts w:ascii="Times New Roman" w:hAnsi="Times New Roman" w:cs="Times New Roman"/>
          <w:lang w:val="es-MX"/>
        </w:rPr>
      </w:pPr>
    </w:p>
    <w:p w14:paraId="48BC5269" w14:textId="77777777" w:rsidR="004747BE" w:rsidRPr="00863E34" w:rsidRDefault="004747BE" w:rsidP="00E02DD8">
      <w:pPr>
        <w:pStyle w:val="Sinespaciado"/>
        <w:jc w:val="center"/>
        <w:rPr>
          <w:rFonts w:ascii="Times New Roman" w:hAnsi="Times New Roman" w:cs="Times New Roman"/>
          <w:lang w:val="es-MX"/>
        </w:rPr>
      </w:pPr>
    </w:p>
    <w:p w14:paraId="7BB26C91" w14:textId="77777777" w:rsidR="00E02DD8" w:rsidRPr="00863E34" w:rsidRDefault="00E02DD8" w:rsidP="00E02DD8">
      <w:pPr>
        <w:pStyle w:val="Sinespaciado"/>
        <w:jc w:val="center"/>
        <w:rPr>
          <w:rFonts w:ascii="Times New Roman" w:hAnsi="Times New Roman" w:cs="Times New Roman"/>
          <w:sz w:val="18"/>
          <w:lang w:val="es-MX"/>
        </w:rPr>
      </w:pPr>
    </w:p>
    <w:p w14:paraId="06FC027F" w14:textId="77777777" w:rsidR="00467154" w:rsidRPr="00863E34" w:rsidRDefault="00467154" w:rsidP="00E02DD8">
      <w:pPr>
        <w:spacing w:after="0" w:line="240" w:lineRule="auto"/>
        <w:jc w:val="both"/>
        <w:rPr>
          <w:rFonts w:ascii="Times New Roman" w:hAnsi="Times New Roman" w:cs="Times New Roman"/>
          <w:sz w:val="18"/>
        </w:rPr>
      </w:pPr>
    </w:p>
    <w:p w14:paraId="0CF87385" w14:textId="555559C3" w:rsidR="00467154" w:rsidRDefault="00467154" w:rsidP="00E02DD8">
      <w:pPr>
        <w:spacing w:after="0" w:line="240" w:lineRule="auto"/>
        <w:jc w:val="both"/>
        <w:rPr>
          <w:rFonts w:ascii="Times New Roman" w:hAnsi="Times New Roman" w:cs="Times New Roman"/>
          <w:sz w:val="18"/>
        </w:rPr>
      </w:pPr>
    </w:p>
    <w:p w14:paraId="466165E1" w14:textId="56157B56" w:rsidR="0011046F" w:rsidRDefault="0011046F" w:rsidP="00E02DD8">
      <w:pPr>
        <w:spacing w:after="0" w:line="240" w:lineRule="auto"/>
        <w:jc w:val="both"/>
        <w:rPr>
          <w:rFonts w:ascii="Times New Roman" w:hAnsi="Times New Roman" w:cs="Times New Roman"/>
          <w:sz w:val="18"/>
        </w:rPr>
      </w:pPr>
    </w:p>
    <w:p w14:paraId="11296E55" w14:textId="7428D7D0" w:rsidR="0011046F" w:rsidRDefault="0011046F" w:rsidP="00E02DD8">
      <w:pPr>
        <w:spacing w:after="0" w:line="240" w:lineRule="auto"/>
        <w:jc w:val="both"/>
        <w:rPr>
          <w:rFonts w:ascii="Times New Roman" w:hAnsi="Times New Roman" w:cs="Times New Roman"/>
          <w:sz w:val="18"/>
        </w:rPr>
      </w:pPr>
    </w:p>
    <w:p w14:paraId="5DEC3B4D" w14:textId="67E9652E" w:rsidR="0011046F" w:rsidRDefault="0011046F" w:rsidP="00E02DD8">
      <w:pPr>
        <w:spacing w:after="0" w:line="240" w:lineRule="auto"/>
        <w:jc w:val="both"/>
        <w:rPr>
          <w:rFonts w:ascii="Times New Roman" w:hAnsi="Times New Roman" w:cs="Times New Roman"/>
          <w:sz w:val="18"/>
        </w:rPr>
      </w:pPr>
    </w:p>
    <w:p w14:paraId="7FDB91F0" w14:textId="7EBB3CDC" w:rsidR="0011046F" w:rsidRDefault="0011046F" w:rsidP="00E02DD8">
      <w:pPr>
        <w:spacing w:after="0" w:line="240" w:lineRule="auto"/>
        <w:jc w:val="both"/>
        <w:rPr>
          <w:rFonts w:ascii="Times New Roman" w:hAnsi="Times New Roman" w:cs="Times New Roman"/>
          <w:sz w:val="18"/>
        </w:rPr>
      </w:pPr>
    </w:p>
    <w:p w14:paraId="701ABAAE" w14:textId="0B8EFF36" w:rsidR="0011046F" w:rsidRDefault="0011046F" w:rsidP="00E02DD8">
      <w:pPr>
        <w:spacing w:after="0" w:line="240" w:lineRule="auto"/>
        <w:jc w:val="both"/>
        <w:rPr>
          <w:rFonts w:ascii="Times New Roman" w:hAnsi="Times New Roman" w:cs="Times New Roman"/>
          <w:sz w:val="18"/>
        </w:rPr>
      </w:pPr>
    </w:p>
    <w:p w14:paraId="07E1791D" w14:textId="3DBD3DE5" w:rsidR="0011046F" w:rsidRDefault="0011046F" w:rsidP="00E02DD8">
      <w:pPr>
        <w:spacing w:after="0" w:line="240" w:lineRule="auto"/>
        <w:jc w:val="both"/>
        <w:rPr>
          <w:rFonts w:ascii="Times New Roman" w:hAnsi="Times New Roman" w:cs="Times New Roman"/>
          <w:sz w:val="18"/>
        </w:rPr>
      </w:pPr>
    </w:p>
    <w:p w14:paraId="1FFC5BC0" w14:textId="77777777" w:rsidR="0011046F" w:rsidRPr="00863E34" w:rsidRDefault="0011046F" w:rsidP="00E02DD8">
      <w:pPr>
        <w:spacing w:after="0" w:line="240" w:lineRule="auto"/>
        <w:jc w:val="both"/>
        <w:rPr>
          <w:rFonts w:ascii="Times New Roman" w:hAnsi="Times New Roman" w:cs="Times New Roman"/>
          <w:sz w:val="18"/>
        </w:rPr>
      </w:pPr>
    </w:p>
    <w:p w14:paraId="32745D54" w14:textId="77777777" w:rsidR="00E02DD8" w:rsidRPr="00863E34" w:rsidRDefault="00E02DD8" w:rsidP="00E02DD8">
      <w:pPr>
        <w:spacing w:after="0" w:line="240" w:lineRule="auto"/>
        <w:jc w:val="both"/>
        <w:rPr>
          <w:rFonts w:ascii="Times New Roman" w:hAnsi="Times New Roman" w:cs="Times New Roman"/>
          <w:sz w:val="16"/>
        </w:rPr>
      </w:pPr>
      <w:r w:rsidRPr="00863E34">
        <w:rPr>
          <w:rFonts w:ascii="Times New Roman" w:hAnsi="Times New Roman" w:cs="Times New Roman"/>
          <w:sz w:val="16"/>
        </w:rPr>
        <w:t>Fuente: Dirección de Análisis y Política Fiscal</w:t>
      </w:r>
      <w:r w:rsidR="00AD7C37" w:rsidRPr="00863E34">
        <w:rPr>
          <w:rFonts w:ascii="Times New Roman" w:hAnsi="Times New Roman" w:cs="Times New Roman"/>
          <w:sz w:val="16"/>
        </w:rPr>
        <w:t>.</w:t>
      </w:r>
    </w:p>
    <w:p w14:paraId="352D3935" w14:textId="77777777" w:rsidR="0002331B" w:rsidRPr="00863E34" w:rsidRDefault="0002331B" w:rsidP="0067690E">
      <w:pPr>
        <w:pStyle w:val="Sinespaciado"/>
        <w:jc w:val="both"/>
        <w:rPr>
          <w:rFonts w:ascii="Times New Roman" w:hAnsi="Times New Roman" w:cs="Times New Roman"/>
          <w:lang w:val="es-MX"/>
        </w:rPr>
      </w:pPr>
    </w:p>
    <w:p w14:paraId="22F869FE" w14:textId="77777777" w:rsidR="00E02DD8" w:rsidRPr="00863E34" w:rsidRDefault="00863E34" w:rsidP="0067690E">
      <w:pPr>
        <w:pStyle w:val="Sinespaciado"/>
        <w:jc w:val="both"/>
        <w:rPr>
          <w:rFonts w:ascii="Times New Roman" w:hAnsi="Times New Roman" w:cs="Times New Roman"/>
          <w:lang w:val="es-MX"/>
        </w:rPr>
      </w:pPr>
      <w:r w:rsidRPr="00863E34">
        <w:rPr>
          <w:rFonts w:ascii="Times New Roman" w:hAnsi="Times New Roman" w:cs="Times New Roman"/>
          <w:lang w:val="es-MX"/>
        </w:rPr>
        <w:t>Al eliminar el gasto relacionado a la pandemia del COVID-19, tanto en 2022 como en 2021, la ejecución del gasto público a mayo sin incluir las amortizaciones de la deuda pública se ubicaría en Q37,094.5 millones, con un crecimiento interanual de 16.6% (equivalente a Q5,288.4 millones). Mientras que en 2021 el gasto público hubiera tenido una variación interanual de 10.4%, aunque es importante tomar en consideración que en 2020 el gasto relacionado a COVID-19 representaba una proporción importante del gasto público total, en 2021 este gasto fue importante por los procesos relacionados a la compra de la vacuna, mientras que en 2022 estos gastos han sido menores.</w:t>
      </w:r>
      <w:r w:rsidR="00E02DD8" w:rsidRPr="00863E34">
        <w:rPr>
          <w:rFonts w:ascii="Times New Roman" w:hAnsi="Times New Roman" w:cs="Times New Roman"/>
          <w:lang w:val="es-MX"/>
        </w:rPr>
        <w:t xml:space="preserve"> </w:t>
      </w:r>
    </w:p>
    <w:p w14:paraId="2F06F08B" w14:textId="77777777" w:rsidR="0067690E" w:rsidRDefault="0067690E" w:rsidP="004747BE">
      <w:pPr>
        <w:spacing w:after="0" w:line="240" w:lineRule="auto"/>
        <w:rPr>
          <w:rFonts w:ascii="Times New Roman" w:hAnsi="Times New Roman" w:cs="Times New Roman"/>
          <w:b/>
          <w:lang w:val="es-MX"/>
        </w:rPr>
      </w:pPr>
    </w:p>
    <w:p w14:paraId="3846D1F9" w14:textId="77777777" w:rsidR="001042A3" w:rsidRDefault="001042A3" w:rsidP="004747BE">
      <w:pPr>
        <w:spacing w:after="0" w:line="240" w:lineRule="auto"/>
        <w:rPr>
          <w:rFonts w:ascii="Times New Roman" w:hAnsi="Times New Roman" w:cs="Times New Roman"/>
          <w:b/>
          <w:lang w:val="es-MX"/>
        </w:rPr>
      </w:pPr>
    </w:p>
    <w:p w14:paraId="0FF21042" w14:textId="77777777" w:rsidR="001042A3" w:rsidRDefault="001042A3" w:rsidP="004747BE">
      <w:pPr>
        <w:spacing w:after="0" w:line="240" w:lineRule="auto"/>
        <w:rPr>
          <w:rFonts w:ascii="Times New Roman" w:hAnsi="Times New Roman" w:cs="Times New Roman"/>
          <w:b/>
          <w:lang w:val="es-MX"/>
        </w:rPr>
      </w:pPr>
    </w:p>
    <w:p w14:paraId="54665C70" w14:textId="77777777" w:rsidR="001042A3" w:rsidRDefault="001042A3" w:rsidP="004747BE">
      <w:pPr>
        <w:spacing w:after="0" w:line="240" w:lineRule="auto"/>
        <w:rPr>
          <w:rFonts w:ascii="Times New Roman" w:hAnsi="Times New Roman" w:cs="Times New Roman"/>
          <w:b/>
          <w:lang w:val="es-MX"/>
        </w:rPr>
      </w:pPr>
    </w:p>
    <w:p w14:paraId="75F511D2" w14:textId="77777777" w:rsidR="001042A3" w:rsidRDefault="001042A3" w:rsidP="004747BE">
      <w:pPr>
        <w:spacing w:after="0" w:line="240" w:lineRule="auto"/>
        <w:rPr>
          <w:rFonts w:ascii="Times New Roman" w:hAnsi="Times New Roman" w:cs="Times New Roman"/>
          <w:b/>
          <w:lang w:val="es-MX"/>
        </w:rPr>
      </w:pPr>
    </w:p>
    <w:p w14:paraId="6ECAAFCC" w14:textId="16F67418" w:rsidR="006302AC" w:rsidRPr="00863E34" w:rsidRDefault="006302AC" w:rsidP="004747BE">
      <w:pPr>
        <w:spacing w:after="0" w:line="240" w:lineRule="auto"/>
        <w:rPr>
          <w:rFonts w:ascii="Times New Roman" w:hAnsi="Times New Roman" w:cs="Times New Roman"/>
          <w:b/>
          <w:lang w:val="es-MX"/>
        </w:rPr>
      </w:pPr>
    </w:p>
    <w:p w14:paraId="70C71EF1" w14:textId="77777777" w:rsidR="00E02DD8" w:rsidRPr="00863E34" w:rsidRDefault="006302AC" w:rsidP="00E02DD8">
      <w:pPr>
        <w:spacing w:after="0" w:line="240" w:lineRule="auto"/>
        <w:jc w:val="center"/>
        <w:rPr>
          <w:rFonts w:ascii="Times New Roman" w:hAnsi="Times New Roman" w:cs="Times New Roman"/>
          <w:b/>
          <w:lang w:val="es-MX"/>
        </w:rPr>
      </w:pPr>
      <w:r w:rsidRPr="00863E34">
        <w:rPr>
          <w:rFonts w:ascii="Times New Roman" w:hAnsi="Times New Roman" w:cs="Times New Roman"/>
          <w:b/>
          <w:lang w:val="es-MX"/>
        </w:rPr>
        <w:lastRenderedPageBreak/>
        <w:t>Ritmo de Ejecución del Gasto sin COVID-19</w:t>
      </w:r>
    </w:p>
    <w:p w14:paraId="21FAEAE1" w14:textId="77777777" w:rsidR="00E02DD8" w:rsidRPr="00863E34" w:rsidRDefault="006302AC" w:rsidP="00E02DD8">
      <w:pPr>
        <w:pStyle w:val="Sinespaciado"/>
        <w:jc w:val="center"/>
        <w:rPr>
          <w:rFonts w:ascii="Times New Roman" w:hAnsi="Times New Roman" w:cs="Times New Roman"/>
          <w:szCs w:val="18"/>
          <w:lang w:val="es-MX"/>
        </w:rPr>
      </w:pPr>
      <w:r w:rsidRPr="00863E34">
        <w:rPr>
          <w:rFonts w:ascii="Times New Roman" w:hAnsi="Times New Roman" w:cs="Times New Roman"/>
          <w:szCs w:val="18"/>
          <w:lang w:val="es-MX"/>
        </w:rPr>
        <w:t>Variación interanual (%)*</w:t>
      </w:r>
    </w:p>
    <w:p w14:paraId="32117FCC" w14:textId="77777777" w:rsidR="004747BE" w:rsidRPr="00863E34" w:rsidRDefault="00863E34" w:rsidP="00E02DD8">
      <w:pPr>
        <w:pStyle w:val="Sinespaciado"/>
        <w:jc w:val="center"/>
        <w:rPr>
          <w:rFonts w:ascii="Times New Roman" w:hAnsi="Times New Roman" w:cs="Times New Roman"/>
          <w:szCs w:val="18"/>
          <w:lang w:val="es-MX"/>
        </w:rPr>
      </w:pPr>
      <w:r w:rsidRPr="00863E34">
        <w:rPr>
          <w:rFonts w:ascii="Times New Roman" w:hAnsi="Times New Roman" w:cs="Times New Roman"/>
          <w:noProof/>
          <w:lang w:eastAsia="es-GT"/>
        </w:rPr>
        <w:drawing>
          <wp:inline distT="0" distB="0" distL="0" distR="0" wp14:anchorId="237A12DF" wp14:editId="1D32C890">
            <wp:extent cx="2581275" cy="2094277"/>
            <wp:effectExtent l="0" t="0" r="0" b="127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4608894" w14:textId="77777777" w:rsidR="006302AC" w:rsidRPr="00863E34" w:rsidRDefault="006302AC" w:rsidP="006302AC">
      <w:pPr>
        <w:pStyle w:val="Sinespaciado"/>
        <w:jc w:val="both"/>
        <w:rPr>
          <w:rFonts w:ascii="Times New Roman" w:hAnsi="Times New Roman" w:cs="Times New Roman"/>
          <w:sz w:val="18"/>
          <w:lang w:val="es-MX"/>
        </w:rPr>
      </w:pPr>
      <w:r w:rsidRPr="00863E34">
        <w:rPr>
          <w:rFonts w:ascii="Times New Roman" w:hAnsi="Times New Roman" w:cs="Times New Roman"/>
          <w:sz w:val="18"/>
          <w:lang w:val="es-MX"/>
        </w:rPr>
        <w:t>*No incluye amortizaciones de la deuda pública</w:t>
      </w:r>
    </w:p>
    <w:p w14:paraId="66647CF1" w14:textId="77777777" w:rsidR="006302AC" w:rsidRPr="00515068" w:rsidRDefault="006302AC" w:rsidP="006302AC">
      <w:pPr>
        <w:pStyle w:val="Sinespaciado"/>
        <w:jc w:val="both"/>
        <w:rPr>
          <w:rFonts w:ascii="Times New Roman" w:hAnsi="Times New Roman" w:cs="Times New Roman"/>
          <w:color w:val="FF0000"/>
          <w:sz w:val="16"/>
          <w:szCs w:val="16"/>
          <w:lang w:val="es-MX"/>
        </w:rPr>
      </w:pPr>
      <w:r w:rsidRPr="00863E34">
        <w:rPr>
          <w:rFonts w:ascii="Times New Roman" w:hAnsi="Times New Roman" w:cs="Times New Roman"/>
          <w:sz w:val="16"/>
          <w:szCs w:val="16"/>
          <w:lang w:val="es-MX"/>
        </w:rPr>
        <w:t>Fuente: Dirección de Análisis y Política Fiscal</w:t>
      </w:r>
    </w:p>
    <w:p w14:paraId="381A07F6" w14:textId="77777777" w:rsidR="00E02DD8" w:rsidRPr="00515068" w:rsidRDefault="00E02DD8" w:rsidP="00E02DD8">
      <w:pPr>
        <w:pStyle w:val="Sinespaciado"/>
        <w:jc w:val="both"/>
        <w:rPr>
          <w:rFonts w:ascii="Times New Roman" w:hAnsi="Times New Roman" w:cs="Times New Roman"/>
          <w:color w:val="FF0000"/>
        </w:rPr>
      </w:pPr>
    </w:p>
    <w:p w14:paraId="59B03D1C" w14:textId="77777777" w:rsidR="0024077F" w:rsidRPr="00515068" w:rsidRDefault="00863E34" w:rsidP="0024077F">
      <w:pPr>
        <w:pStyle w:val="Sinespaciado"/>
        <w:jc w:val="both"/>
        <w:rPr>
          <w:rFonts w:ascii="Times New Roman" w:hAnsi="Times New Roman" w:cs="Times New Roman"/>
          <w:color w:val="FF0000"/>
          <w:lang w:val="es-MX"/>
        </w:rPr>
      </w:pPr>
      <w:r>
        <w:rPr>
          <w:rFonts w:ascii="Times New Roman" w:hAnsi="Times New Roman" w:cs="Times New Roman"/>
          <w:lang w:val="es-MX"/>
        </w:rPr>
        <w:t>En cuanto al gasto total, el cual incluye amortizaciones de la deuda pública, se situó en Q39,073.1 millones, con un grado de ejecución de 35.3% y una variación interanual de 13.7%. Este grado de ejecución se encuentra por arriba de la ejecución promedio de los últimos 5 años (32.9%) y es superior a la reportada en cada uno de los años anteriores, a excepción de 2019 cuando la ejecución fue de 35.2%.</w:t>
      </w:r>
    </w:p>
    <w:p w14:paraId="592545B8" w14:textId="77777777" w:rsidR="006302AC" w:rsidRPr="00863E34" w:rsidRDefault="006302AC" w:rsidP="0024077F">
      <w:pPr>
        <w:pStyle w:val="Sinespaciado"/>
        <w:jc w:val="both"/>
        <w:rPr>
          <w:rFonts w:ascii="Times New Roman" w:hAnsi="Times New Roman" w:cs="Times New Roman"/>
          <w:lang w:val="es-MX"/>
        </w:rPr>
      </w:pPr>
    </w:p>
    <w:p w14:paraId="05F088ED" w14:textId="77777777" w:rsidR="006302AC" w:rsidRPr="00863E34" w:rsidRDefault="006302AC" w:rsidP="006302AC">
      <w:pPr>
        <w:spacing w:after="0" w:line="240" w:lineRule="auto"/>
        <w:jc w:val="center"/>
        <w:rPr>
          <w:rFonts w:ascii="Times New Roman" w:hAnsi="Times New Roman" w:cs="Times New Roman"/>
          <w:b/>
          <w:lang w:val="es-MX"/>
        </w:rPr>
      </w:pPr>
      <w:r w:rsidRPr="00863E34">
        <w:rPr>
          <w:rFonts w:ascii="Times New Roman" w:hAnsi="Times New Roman" w:cs="Times New Roman"/>
          <w:b/>
          <w:lang w:val="es-MX"/>
        </w:rPr>
        <w:t>Grado de Ejecución de los últimos 5 años</w:t>
      </w:r>
    </w:p>
    <w:p w14:paraId="77C1A0D8" w14:textId="77777777" w:rsidR="006302AC" w:rsidRPr="00863E34" w:rsidRDefault="00863E34" w:rsidP="006302AC">
      <w:pPr>
        <w:pStyle w:val="Sinespaciado"/>
        <w:jc w:val="center"/>
        <w:rPr>
          <w:rFonts w:ascii="Times New Roman" w:hAnsi="Times New Roman" w:cs="Times New Roman"/>
          <w:szCs w:val="18"/>
          <w:lang w:val="es-MX"/>
        </w:rPr>
      </w:pPr>
      <w:r w:rsidRPr="00863E34">
        <w:rPr>
          <w:rFonts w:ascii="Times New Roman" w:hAnsi="Times New Roman" w:cs="Times New Roman"/>
          <w:szCs w:val="18"/>
          <w:lang w:val="es-MX"/>
        </w:rPr>
        <w:t>Al 31</w:t>
      </w:r>
      <w:r w:rsidR="006302AC" w:rsidRPr="00863E34">
        <w:rPr>
          <w:rFonts w:ascii="Times New Roman" w:hAnsi="Times New Roman" w:cs="Times New Roman"/>
          <w:szCs w:val="18"/>
          <w:lang w:val="es-MX"/>
        </w:rPr>
        <w:t xml:space="preserve"> de </w:t>
      </w:r>
      <w:r w:rsidRPr="00863E34">
        <w:rPr>
          <w:rFonts w:ascii="Times New Roman" w:hAnsi="Times New Roman" w:cs="Times New Roman"/>
          <w:szCs w:val="18"/>
          <w:lang w:val="es-MX"/>
        </w:rPr>
        <w:t>mayo</w:t>
      </w:r>
      <w:r w:rsidR="006302AC" w:rsidRPr="00863E34">
        <w:rPr>
          <w:rFonts w:ascii="Times New Roman" w:hAnsi="Times New Roman" w:cs="Times New Roman"/>
          <w:szCs w:val="18"/>
          <w:lang w:val="es-MX"/>
        </w:rPr>
        <w:t xml:space="preserve"> de cada año</w:t>
      </w:r>
    </w:p>
    <w:p w14:paraId="5A4479E0" w14:textId="77777777" w:rsidR="006302AC" w:rsidRPr="00863E34" w:rsidRDefault="006302AC" w:rsidP="006302AC">
      <w:pPr>
        <w:pStyle w:val="Sinespaciado"/>
        <w:jc w:val="center"/>
        <w:rPr>
          <w:rFonts w:ascii="Times New Roman" w:hAnsi="Times New Roman" w:cs="Times New Roman"/>
          <w:szCs w:val="18"/>
          <w:lang w:val="es-MX"/>
        </w:rPr>
      </w:pPr>
      <w:r w:rsidRPr="00863E34">
        <w:rPr>
          <w:rFonts w:ascii="Times New Roman" w:hAnsi="Times New Roman" w:cs="Times New Roman"/>
          <w:szCs w:val="18"/>
          <w:lang w:val="es-MX"/>
        </w:rPr>
        <w:t>Cifras en porcentajes</w:t>
      </w:r>
    </w:p>
    <w:p w14:paraId="10046683" w14:textId="77777777" w:rsidR="00863E34" w:rsidRPr="00863E34" w:rsidRDefault="00863E34" w:rsidP="006302AC">
      <w:pPr>
        <w:pStyle w:val="Sinespaciado"/>
        <w:jc w:val="center"/>
        <w:rPr>
          <w:rFonts w:ascii="Times New Roman" w:hAnsi="Times New Roman" w:cs="Times New Roman"/>
          <w:szCs w:val="18"/>
          <w:lang w:val="es-MX"/>
        </w:rPr>
      </w:pPr>
      <w:r w:rsidRPr="00863E34">
        <w:rPr>
          <w:noProof/>
          <w:lang w:eastAsia="es-GT"/>
        </w:rPr>
        <w:drawing>
          <wp:anchor distT="0" distB="0" distL="114300" distR="114300" simplePos="0" relativeHeight="251782144" behindDoc="0" locked="0" layoutInCell="1" allowOverlap="1" wp14:anchorId="4044F4BC" wp14:editId="306DA185">
            <wp:simplePos x="0" y="0"/>
            <wp:positionH relativeFrom="column">
              <wp:posOffset>0</wp:posOffset>
            </wp:positionH>
            <wp:positionV relativeFrom="paragraph">
              <wp:posOffset>-635</wp:posOffset>
            </wp:positionV>
            <wp:extent cx="2570480" cy="1622066"/>
            <wp:effectExtent l="0" t="0" r="1270" b="0"/>
            <wp:wrapNone/>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13DD64CB" w14:textId="77777777" w:rsidR="006302AC" w:rsidRPr="00863E34" w:rsidRDefault="006302AC" w:rsidP="006302AC">
      <w:pPr>
        <w:pStyle w:val="Sinespaciado"/>
        <w:jc w:val="center"/>
        <w:rPr>
          <w:rFonts w:ascii="Times New Roman" w:hAnsi="Times New Roman" w:cs="Times New Roman"/>
          <w:szCs w:val="18"/>
          <w:lang w:val="es-MX"/>
        </w:rPr>
      </w:pPr>
    </w:p>
    <w:p w14:paraId="2F7071E0" w14:textId="77777777" w:rsidR="006302AC" w:rsidRPr="00863E34" w:rsidRDefault="006302AC" w:rsidP="006302AC">
      <w:pPr>
        <w:pStyle w:val="Sinespaciado"/>
        <w:jc w:val="center"/>
        <w:rPr>
          <w:rFonts w:ascii="Times New Roman" w:hAnsi="Times New Roman" w:cs="Times New Roman"/>
          <w:szCs w:val="18"/>
          <w:lang w:val="es-MX"/>
        </w:rPr>
      </w:pPr>
    </w:p>
    <w:p w14:paraId="07CD65B6" w14:textId="77777777" w:rsidR="006302AC" w:rsidRPr="00863E34" w:rsidRDefault="006302AC" w:rsidP="006302AC">
      <w:pPr>
        <w:pStyle w:val="Sinespaciado"/>
        <w:jc w:val="center"/>
        <w:rPr>
          <w:rFonts w:ascii="Times New Roman" w:hAnsi="Times New Roman" w:cs="Times New Roman"/>
          <w:szCs w:val="18"/>
          <w:lang w:val="es-MX"/>
        </w:rPr>
      </w:pPr>
    </w:p>
    <w:p w14:paraId="6DC3A798" w14:textId="77777777" w:rsidR="006302AC" w:rsidRPr="00863E34" w:rsidRDefault="006302AC" w:rsidP="006302AC">
      <w:pPr>
        <w:pStyle w:val="Sinespaciado"/>
        <w:jc w:val="center"/>
        <w:rPr>
          <w:rFonts w:ascii="Times New Roman" w:hAnsi="Times New Roman" w:cs="Times New Roman"/>
          <w:szCs w:val="18"/>
          <w:lang w:val="es-MX"/>
        </w:rPr>
      </w:pPr>
    </w:p>
    <w:p w14:paraId="06016011" w14:textId="77777777" w:rsidR="006302AC" w:rsidRPr="00863E34" w:rsidRDefault="006302AC" w:rsidP="006302AC">
      <w:pPr>
        <w:pStyle w:val="Sinespaciado"/>
        <w:jc w:val="center"/>
        <w:rPr>
          <w:rFonts w:ascii="Times New Roman" w:hAnsi="Times New Roman" w:cs="Times New Roman"/>
          <w:szCs w:val="18"/>
          <w:lang w:val="es-MX"/>
        </w:rPr>
      </w:pPr>
    </w:p>
    <w:p w14:paraId="7DCF2ABD" w14:textId="77777777" w:rsidR="006302AC" w:rsidRPr="00863E34" w:rsidRDefault="006302AC" w:rsidP="006302AC">
      <w:pPr>
        <w:pStyle w:val="Sinespaciado"/>
        <w:jc w:val="center"/>
        <w:rPr>
          <w:rFonts w:ascii="Times New Roman" w:hAnsi="Times New Roman" w:cs="Times New Roman"/>
          <w:szCs w:val="18"/>
          <w:lang w:val="es-MX"/>
        </w:rPr>
      </w:pPr>
    </w:p>
    <w:p w14:paraId="0FA78834" w14:textId="77777777" w:rsidR="006302AC" w:rsidRPr="00863E34" w:rsidRDefault="006302AC" w:rsidP="006302AC">
      <w:pPr>
        <w:pStyle w:val="Sinespaciado"/>
        <w:jc w:val="center"/>
        <w:rPr>
          <w:rFonts w:ascii="Times New Roman" w:hAnsi="Times New Roman" w:cs="Times New Roman"/>
          <w:szCs w:val="18"/>
          <w:lang w:val="es-MX"/>
        </w:rPr>
      </w:pPr>
    </w:p>
    <w:p w14:paraId="2920E9F7" w14:textId="77777777" w:rsidR="006302AC" w:rsidRPr="00863E34" w:rsidRDefault="006302AC" w:rsidP="006302AC">
      <w:pPr>
        <w:pStyle w:val="Sinespaciado"/>
        <w:jc w:val="center"/>
        <w:rPr>
          <w:rFonts w:ascii="Times New Roman" w:hAnsi="Times New Roman" w:cs="Times New Roman"/>
          <w:szCs w:val="18"/>
          <w:lang w:val="es-MX"/>
        </w:rPr>
      </w:pPr>
    </w:p>
    <w:p w14:paraId="6EBC6F9C" w14:textId="77777777" w:rsidR="006302AC" w:rsidRPr="00863E34" w:rsidRDefault="006302AC" w:rsidP="006302AC">
      <w:pPr>
        <w:pStyle w:val="Sinespaciado"/>
        <w:jc w:val="center"/>
        <w:rPr>
          <w:rFonts w:ascii="Times New Roman" w:hAnsi="Times New Roman" w:cs="Times New Roman"/>
          <w:szCs w:val="18"/>
          <w:lang w:val="es-MX"/>
        </w:rPr>
      </w:pPr>
    </w:p>
    <w:p w14:paraId="4E12AD6E" w14:textId="77777777" w:rsidR="006302AC" w:rsidRPr="00863E34" w:rsidRDefault="006302AC" w:rsidP="006302AC">
      <w:pPr>
        <w:pStyle w:val="Sinespaciado"/>
        <w:jc w:val="center"/>
        <w:rPr>
          <w:rFonts w:ascii="Times New Roman" w:hAnsi="Times New Roman" w:cs="Times New Roman"/>
          <w:szCs w:val="18"/>
          <w:lang w:val="es-MX"/>
        </w:rPr>
      </w:pPr>
    </w:p>
    <w:p w14:paraId="3D94353F" w14:textId="77777777" w:rsidR="006302AC" w:rsidRPr="00863E34" w:rsidRDefault="006302AC" w:rsidP="006302AC">
      <w:pPr>
        <w:spacing w:after="0" w:line="240" w:lineRule="auto"/>
        <w:jc w:val="both"/>
        <w:rPr>
          <w:rFonts w:ascii="Times New Roman" w:hAnsi="Times New Roman" w:cs="Times New Roman"/>
          <w:sz w:val="16"/>
          <w:szCs w:val="16"/>
        </w:rPr>
      </w:pPr>
      <w:r w:rsidRPr="00863E34">
        <w:rPr>
          <w:rFonts w:ascii="Times New Roman" w:hAnsi="Times New Roman" w:cs="Times New Roman"/>
          <w:sz w:val="16"/>
          <w:szCs w:val="16"/>
        </w:rPr>
        <w:t>Fuente: Dirección de Análisis y Política Fiscal.</w:t>
      </w:r>
    </w:p>
    <w:p w14:paraId="79CB7505" w14:textId="77777777" w:rsidR="006302AC" w:rsidRPr="00515068" w:rsidRDefault="006302AC" w:rsidP="0024077F">
      <w:pPr>
        <w:pStyle w:val="Sinespaciado"/>
        <w:jc w:val="both"/>
        <w:rPr>
          <w:rFonts w:ascii="Times New Roman" w:hAnsi="Times New Roman" w:cs="Times New Roman"/>
          <w:color w:val="FF0000"/>
          <w:sz w:val="18"/>
        </w:rPr>
      </w:pPr>
    </w:p>
    <w:p w14:paraId="0D55376E" w14:textId="77777777" w:rsidR="00863E34" w:rsidRDefault="00863E34" w:rsidP="00863E34">
      <w:pPr>
        <w:pStyle w:val="Sinespaciado"/>
        <w:jc w:val="both"/>
        <w:rPr>
          <w:rFonts w:ascii="Times New Roman" w:hAnsi="Times New Roman" w:cs="Times New Roman"/>
        </w:rPr>
      </w:pPr>
      <w:r>
        <w:rPr>
          <w:rFonts w:ascii="Times New Roman" w:hAnsi="Times New Roman" w:cs="Times New Roman"/>
        </w:rPr>
        <w:t>A nivel del gasto público por entidades, las que muestran el mayor nivel de ejecución son: Energía y Minas (76.0%), Deuda Pública (42.1%), PGN (39.4%), Educación (38.3%), Presidencia (37.4%), Defensa (37</w:t>
      </w:r>
      <w:r w:rsidRPr="00661C9A">
        <w:rPr>
          <w:rFonts w:ascii="Times New Roman" w:hAnsi="Times New Roman" w:cs="Times New Roman"/>
        </w:rPr>
        <w:t>.</w:t>
      </w:r>
      <w:r>
        <w:rPr>
          <w:rFonts w:ascii="Times New Roman" w:hAnsi="Times New Roman" w:cs="Times New Roman"/>
        </w:rPr>
        <w:t>0</w:t>
      </w:r>
      <w:r w:rsidRPr="00661C9A">
        <w:rPr>
          <w:rFonts w:ascii="Times New Roman" w:hAnsi="Times New Roman" w:cs="Times New Roman"/>
        </w:rPr>
        <w:t>%),</w:t>
      </w:r>
      <w:r>
        <w:rPr>
          <w:rFonts w:ascii="Times New Roman" w:hAnsi="Times New Roman" w:cs="Times New Roman"/>
        </w:rPr>
        <w:t xml:space="preserve"> Trabajo (36.1%) y Relaciones Exteriores </w:t>
      </w:r>
      <w:r>
        <w:rPr>
          <w:rFonts w:ascii="Times New Roman" w:hAnsi="Times New Roman" w:cs="Times New Roman"/>
        </w:rPr>
        <w:t>(35.7%),</w:t>
      </w:r>
      <w:r>
        <w:t xml:space="preserve"> </w:t>
      </w:r>
      <w:r>
        <w:rPr>
          <w:rFonts w:ascii="Times New Roman" w:hAnsi="Times New Roman" w:cs="Times New Roman"/>
        </w:rPr>
        <w:t>todas estas entidades se encuentran por arriba de la ejecución institucional total (35.3%).</w:t>
      </w:r>
    </w:p>
    <w:p w14:paraId="193C3F1F" w14:textId="77777777" w:rsidR="00863E34" w:rsidRDefault="00863E34" w:rsidP="00863E34">
      <w:pPr>
        <w:pStyle w:val="Sinespaciado"/>
        <w:jc w:val="both"/>
        <w:rPr>
          <w:rFonts w:ascii="Times New Roman" w:hAnsi="Times New Roman" w:cs="Times New Roman"/>
          <w:sz w:val="18"/>
        </w:rPr>
      </w:pPr>
    </w:p>
    <w:p w14:paraId="374E38AB" w14:textId="77777777" w:rsidR="00863E34" w:rsidRDefault="00863E34" w:rsidP="00863E34">
      <w:pPr>
        <w:pStyle w:val="Sinespaciado"/>
        <w:jc w:val="both"/>
        <w:rPr>
          <w:rFonts w:ascii="Times New Roman" w:hAnsi="Times New Roman" w:cs="Times New Roman"/>
        </w:rPr>
      </w:pPr>
      <w:r>
        <w:rPr>
          <w:rFonts w:ascii="Times New Roman" w:hAnsi="Times New Roman" w:cs="Times New Roman"/>
        </w:rPr>
        <w:t xml:space="preserve">Resalta el caso del Ministerio de Energía y Minas, cuyo presupuesto y nivel de ejecución se espera continúe siendo alto dado que es la entidad que concentra el subsidio a las empresas que distribuyen gas propano y gasolina superior, regular y diésel, se considera importante señalar que, a partir de junio esta entidad reportará un nuevo incremento en su presupuesto por Q1,515.0 millones derivado de la ampliación del subsidio a la gasolina regular y diésel, así como la incorporación de la gasolina superior dentro del subsidio. </w:t>
      </w:r>
    </w:p>
    <w:p w14:paraId="4EE0B8A2" w14:textId="77777777" w:rsidR="00863E34" w:rsidRDefault="00863E34" w:rsidP="00863E34">
      <w:pPr>
        <w:pStyle w:val="Sinespaciado"/>
        <w:jc w:val="both"/>
        <w:rPr>
          <w:rFonts w:ascii="Times New Roman" w:hAnsi="Times New Roman" w:cs="Times New Roman"/>
        </w:rPr>
      </w:pPr>
    </w:p>
    <w:p w14:paraId="1E1807C1" w14:textId="77777777" w:rsidR="00E02DD8" w:rsidRPr="00515068" w:rsidRDefault="00863E34" w:rsidP="00863E34">
      <w:pPr>
        <w:pStyle w:val="Sinespaciado"/>
        <w:jc w:val="both"/>
        <w:rPr>
          <w:rFonts w:ascii="Times New Roman" w:hAnsi="Times New Roman" w:cs="Times New Roman"/>
          <w:color w:val="FF0000"/>
        </w:rPr>
      </w:pPr>
      <w:r>
        <w:rPr>
          <w:rFonts w:ascii="Times New Roman" w:hAnsi="Times New Roman" w:cs="Times New Roman"/>
        </w:rPr>
        <w:t>Por su parte, el resto de las entidades se encuentran por debajo de la ejecución total, el caso más destacado es el de</w:t>
      </w:r>
      <w:r w:rsidRPr="00393220">
        <w:rPr>
          <w:rFonts w:ascii="Times New Roman" w:hAnsi="Times New Roman" w:cs="Times New Roman"/>
        </w:rPr>
        <w:t xml:space="preserve"> </w:t>
      </w:r>
      <w:r>
        <w:rPr>
          <w:rFonts w:ascii="Times New Roman" w:hAnsi="Times New Roman" w:cs="Times New Roman"/>
        </w:rPr>
        <w:t>Ambiente y Recursos Naturales (27.0%), Economía (22.8%) y Comunicaciones (22.8%).</w:t>
      </w:r>
      <w:r w:rsidR="0024077F" w:rsidRPr="00515068">
        <w:rPr>
          <w:rFonts w:ascii="Times New Roman" w:hAnsi="Times New Roman" w:cs="Times New Roman"/>
          <w:color w:val="FF0000"/>
        </w:rPr>
        <w:t xml:space="preserve"> </w:t>
      </w:r>
      <w:r w:rsidR="00E02DD8" w:rsidRPr="00515068">
        <w:rPr>
          <w:rFonts w:ascii="Times New Roman" w:hAnsi="Times New Roman" w:cs="Times New Roman"/>
          <w:color w:val="FF0000"/>
        </w:rPr>
        <w:t xml:space="preserve"> </w:t>
      </w:r>
    </w:p>
    <w:p w14:paraId="1AEE35FB" w14:textId="77777777" w:rsidR="00E02DD8" w:rsidRPr="00863E34" w:rsidRDefault="00E02DD8" w:rsidP="00E02DD8">
      <w:pPr>
        <w:pStyle w:val="Sinespaciado"/>
        <w:jc w:val="both"/>
        <w:rPr>
          <w:rFonts w:ascii="Times New Roman" w:hAnsi="Times New Roman" w:cs="Times New Roman"/>
          <w:sz w:val="18"/>
        </w:rPr>
      </w:pPr>
    </w:p>
    <w:p w14:paraId="3F99A0DF" w14:textId="77777777" w:rsidR="00E02DD8" w:rsidRPr="00863E34" w:rsidRDefault="00E02DD8" w:rsidP="00E02DD8">
      <w:pPr>
        <w:spacing w:after="0" w:line="240" w:lineRule="auto"/>
        <w:jc w:val="center"/>
        <w:rPr>
          <w:rFonts w:ascii="Times New Roman" w:hAnsi="Times New Roman" w:cs="Times New Roman"/>
          <w:b/>
          <w:sz w:val="24"/>
          <w:lang w:val="es-MX"/>
        </w:rPr>
      </w:pPr>
      <w:r w:rsidRPr="00863E34">
        <w:rPr>
          <w:rFonts w:ascii="Times New Roman" w:hAnsi="Times New Roman" w:cs="Times New Roman"/>
          <w:b/>
          <w:sz w:val="24"/>
          <w:lang w:val="es-MX"/>
        </w:rPr>
        <w:t>Grado de Ejecución por Entidad</w:t>
      </w:r>
    </w:p>
    <w:p w14:paraId="03BD57D1" w14:textId="7EE963A9" w:rsidR="00E02DD8" w:rsidRPr="00863E34" w:rsidRDefault="00863E34" w:rsidP="00E02DD8">
      <w:pPr>
        <w:spacing w:after="0" w:line="240" w:lineRule="auto"/>
        <w:jc w:val="center"/>
        <w:rPr>
          <w:rFonts w:ascii="Times New Roman" w:hAnsi="Times New Roman" w:cs="Times New Roman"/>
          <w:szCs w:val="18"/>
          <w:lang w:val="es-MX"/>
        </w:rPr>
      </w:pPr>
      <w:r w:rsidRPr="00863E34">
        <w:rPr>
          <w:rFonts w:ascii="Times New Roman" w:hAnsi="Times New Roman" w:cs="Times New Roman"/>
          <w:szCs w:val="18"/>
          <w:lang w:val="es-MX"/>
        </w:rPr>
        <w:t>Al 31</w:t>
      </w:r>
      <w:r w:rsidR="0067690E" w:rsidRPr="00863E34">
        <w:rPr>
          <w:rFonts w:ascii="Times New Roman" w:hAnsi="Times New Roman" w:cs="Times New Roman"/>
          <w:szCs w:val="18"/>
          <w:lang w:val="es-MX"/>
        </w:rPr>
        <w:t xml:space="preserve"> </w:t>
      </w:r>
      <w:r w:rsidR="00E02DD8" w:rsidRPr="00863E34">
        <w:rPr>
          <w:rFonts w:ascii="Times New Roman" w:hAnsi="Times New Roman" w:cs="Times New Roman"/>
          <w:szCs w:val="18"/>
          <w:lang w:val="es-MX"/>
        </w:rPr>
        <w:t xml:space="preserve">de </w:t>
      </w:r>
      <w:r w:rsidRPr="00863E34">
        <w:rPr>
          <w:rFonts w:ascii="Times New Roman" w:hAnsi="Times New Roman" w:cs="Times New Roman"/>
          <w:szCs w:val="18"/>
          <w:lang w:val="es-MX"/>
        </w:rPr>
        <w:t>mayo</w:t>
      </w:r>
      <w:r w:rsidR="003E7E07">
        <w:rPr>
          <w:rFonts w:ascii="Times New Roman" w:hAnsi="Times New Roman" w:cs="Times New Roman"/>
          <w:szCs w:val="18"/>
          <w:lang w:val="es-MX"/>
        </w:rPr>
        <w:t xml:space="preserve"> del 2022</w:t>
      </w:r>
    </w:p>
    <w:p w14:paraId="11DEA75F" w14:textId="77777777" w:rsidR="00E02DD8" w:rsidRPr="00863E34" w:rsidRDefault="00E02DD8" w:rsidP="00E02DD8">
      <w:pPr>
        <w:spacing w:after="0" w:line="240" w:lineRule="auto"/>
        <w:jc w:val="center"/>
        <w:rPr>
          <w:rFonts w:ascii="Times New Roman" w:hAnsi="Times New Roman" w:cs="Times New Roman"/>
          <w:szCs w:val="18"/>
          <w:lang w:val="es-MX"/>
        </w:rPr>
      </w:pPr>
      <w:r w:rsidRPr="00863E34">
        <w:rPr>
          <w:rFonts w:ascii="Times New Roman" w:hAnsi="Times New Roman" w:cs="Times New Roman"/>
          <w:szCs w:val="18"/>
          <w:lang w:val="es-MX"/>
        </w:rPr>
        <w:t>En porcentajes</w:t>
      </w:r>
    </w:p>
    <w:p w14:paraId="25C7B510" w14:textId="77777777" w:rsidR="00840733" w:rsidRPr="00863E34" w:rsidRDefault="00863E34" w:rsidP="00E02DD8">
      <w:pPr>
        <w:spacing w:after="0" w:line="240" w:lineRule="auto"/>
        <w:jc w:val="center"/>
        <w:rPr>
          <w:rFonts w:ascii="Times New Roman" w:hAnsi="Times New Roman" w:cs="Times New Roman"/>
          <w:szCs w:val="18"/>
          <w:lang w:val="es-MX"/>
        </w:rPr>
      </w:pPr>
      <w:r w:rsidRPr="00863E34">
        <w:rPr>
          <w:noProof/>
          <w:lang w:eastAsia="es-GT"/>
        </w:rPr>
        <w:drawing>
          <wp:anchor distT="0" distB="0" distL="114300" distR="114300" simplePos="0" relativeHeight="251784192" behindDoc="0" locked="0" layoutInCell="1" allowOverlap="1" wp14:anchorId="78DA4142" wp14:editId="680667ED">
            <wp:simplePos x="0" y="0"/>
            <wp:positionH relativeFrom="column">
              <wp:posOffset>0</wp:posOffset>
            </wp:positionH>
            <wp:positionV relativeFrom="paragraph">
              <wp:posOffset>0</wp:posOffset>
            </wp:positionV>
            <wp:extent cx="2581275" cy="2855343"/>
            <wp:effectExtent l="0" t="0" r="0" b="254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797A0093" w14:textId="77777777" w:rsidR="00840733" w:rsidRPr="00863E34" w:rsidRDefault="00840733" w:rsidP="00E02DD8">
      <w:pPr>
        <w:spacing w:after="0" w:line="240" w:lineRule="auto"/>
        <w:jc w:val="center"/>
        <w:rPr>
          <w:rFonts w:ascii="Times New Roman" w:hAnsi="Times New Roman" w:cs="Times New Roman"/>
          <w:szCs w:val="18"/>
          <w:lang w:val="es-MX"/>
        </w:rPr>
      </w:pPr>
    </w:p>
    <w:p w14:paraId="5874F878" w14:textId="77777777" w:rsidR="0024077F" w:rsidRPr="00863E34" w:rsidRDefault="0024077F" w:rsidP="00E02DD8">
      <w:pPr>
        <w:spacing w:after="0" w:line="240" w:lineRule="auto"/>
        <w:jc w:val="center"/>
        <w:rPr>
          <w:rFonts w:ascii="Times New Roman" w:hAnsi="Times New Roman" w:cs="Times New Roman"/>
          <w:szCs w:val="18"/>
          <w:lang w:val="es-MX"/>
        </w:rPr>
      </w:pPr>
    </w:p>
    <w:p w14:paraId="1A6CF12F" w14:textId="77777777" w:rsidR="0024077F" w:rsidRPr="00863E34" w:rsidRDefault="0024077F" w:rsidP="00E02DD8">
      <w:pPr>
        <w:spacing w:after="0" w:line="240" w:lineRule="auto"/>
        <w:jc w:val="center"/>
        <w:rPr>
          <w:rFonts w:ascii="Times New Roman" w:hAnsi="Times New Roman" w:cs="Times New Roman"/>
          <w:szCs w:val="18"/>
          <w:lang w:val="es-MX"/>
        </w:rPr>
      </w:pPr>
    </w:p>
    <w:p w14:paraId="606D4687" w14:textId="77777777" w:rsidR="0024077F" w:rsidRPr="00863E34" w:rsidRDefault="0024077F" w:rsidP="00E02DD8">
      <w:pPr>
        <w:spacing w:after="0" w:line="240" w:lineRule="auto"/>
        <w:jc w:val="center"/>
        <w:rPr>
          <w:rFonts w:ascii="Times New Roman" w:hAnsi="Times New Roman" w:cs="Times New Roman"/>
          <w:szCs w:val="18"/>
          <w:lang w:val="es-MX"/>
        </w:rPr>
      </w:pPr>
    </w:p>
    <w:p w14:paraId="5B379A8F" w14:textId="77777777" w:rsidR="0024077F" w:rsidRPr="00863E34" w:rsidRDefault="0024077F" w:rsidP="00E02DD8">
      <w:pPr>
        <w:spacing w:after="0" w:line="240" w:lineRule="auto"/>
        <w:jc w:val="center"/>
        <w:rPr>
          <w:rFonts w:ascii="Times New Roman" w:hAnsi="Times New Roman" w:cs="Times New Roman"/>
          <w:szCs w:val="18"/>
          <w:lang w:val="es-MX"/>
        </w:rPr>
      </w:pPr>
    </w:p>
    <w:p w14:paraId="7F3140E7" w14:textId="77777777" w:rsidR="0024077F" w:rsidRPr="00863E34" w:rsidRDefault="0024077F" w:rsidP="00E02DD8">
      <w:pPr>
        <w:spacing w:after="0" w:line="240" w:lineRule="auto"/>
        <w:jc w:val="center"/>
        <w:rPr>
          <w:rFonts w:ascii="Times New Roman" w:hAnsi="Times New Roman" w:cs="Times New Roman"/>
          <w:szCs w:val="18"/>
          <w:lang w:val="es-MX"/>
        </w:rPr>
      </w:pPr>
    </w:p>
    <w:p w14:paraId="1F93DFC5" w14:textId="77777777" w:rsidR="0024077F" w:rsidRPr="00863E34" w:rsidRDefault="0024077F" w:rsidP="00E02DD8">
      <w:pPr>
        <w:spacing w:after="0" w:line="240" w:lineRule="auto"/>
        <w:jc w:val="center"/>
        <w:rPr>
          <w:rFonts w:ascii="Times New Roman" w:hAnsi="Times New Roman" w:cs="Times New Roman"/>
          <w:szCs w:val="18"/>
          <w:lang w:val="es-MX"/>
        </w:rPr>
      </w:pPr>
    </w:p>
    <w:p w14:paraId="06FC5A2B" w14:textId="77777777" w:rsidR="0024077F" w:rsidRPr="00863E34" w:rsidRDefault="0024077F" w:rsidP="00E02DD8">
      <w:pPr>
        <w:spacing w:after="0" w:line="240" w:lineRule="auto"/>
        <w:jc w:val="center"/>
        <w:rPr>
          <w:rFonts w:ascii="Times New Roman" w:hAnsi="Times New Roman" w:cs="Times New Roman"/>
          <w:szCs w:val="18"/>
          <w:lang w:val="es-MX"/>
        </w:rPr>
      </w:pPr>
    </w:p>
    <w:p w14:paraId="1A1BCFAE" w14:textId="77777777" w:rsidR="0024077F" w:rsidRPr="00863E34" w:rsidRDefault="0024077F" w:rsidP="00E02DD8">
      <w:pPr>
        <w:spacing w:after="0" w:line="240" w:lineRule="auto"/>
        <w:jc w:val="center"/>
        <w:rPr>
          <w:rFonts w:ascii="Times New Roman" w:hAnsi="Times New Roman" w:cs="Times New Roman"/>
          <w:szCs w:val="18"/>
          <w:lang w:val="es-MX"/>
        </w:rPr>
      </w:pPr>
    </w:p>
    <w:p w14:paraId="37FB188F" w14:textId="77777777" w:rsidR="0024077F" w:rsidRPr="00863E34" w:rsidRDefault="0024077F" w:rsidP="00E02DD8">
      <w:pPr>
        <w:spacing w:after="0" w:line="240" w:lineRule="auto"/>
        <w:jc w:val="center"/>
        <w:rPr>
          <w:rFonts w:ascii="Times New Roman" w:hAnsi="Times New Roman" w:cs="Times New Roman"/>
          <w:szCs w:val="18"/>
          <w:lang w:val="es-MX"/>
        </w:rPr>
      </w:pPr>
    </w:p>
    <w:p w14:paraId="36E9F154" w14:textId="77777777" w:rsidR="0024077F" w:rsidRPr="00863E34" w:rsidRDefault="0024077F" w:rsidP="00E02DD8">
      <w:pPr>
        <w:spacing w:after="0" w:line="240" w:lineRule="auto"/>
        <w:jc w:val="center"/>
        <w:rPr>
          <w:rFonts w:ascii="Times New Roman" w:hAnsi="Times New Roman" w:cs="Times New Roman"/>
          <w:szCs w:val="18"/>
          <w:lang w:val="es-MX"/>
        </w:rPr>
      </w:pPr>
    </w:p>
    <w:p w14:paraId="47DBF304" w14:textId="77777777" w:rsidR="0024077F" w:rsidRPr="00863E34" w:rsidRDefault="0024077F" w:rsidP="00E02DD8">
      <w:pPr>
        <w:spacing w:after="0" w:line="240" w:lineRule="auto"/>
        <w:jc w:val="center"/>
        <w:rPr>
          <w:rFonts w:ascii="Times New Roman" w:hAnsi="Times New Roman" w:cs="Times New Roman"/>
          <w:szCs w:val="18"/>
          <w:lang w:val="es-MX"/>
        </w:rPr>
      </w:pPr>
    </w:p>
    <w:p w14:paraId="5C06AF93" w14:textId="77777777" w:rsidR="0024077F" w:rsidRPr="00863E34" w:rsidRDefault="0024077F" w:rsidP="00E02DD8">
      <w:pPr>
        <w:spacing w:after="0" w:line="240" w:lineRule="auto"/>
        <w:jc w:val="center"/>
        <w:rPr>
          <w:rFonts w:ascii="Times New Roman" w:hAnsi="Times New Roman" w:cs="Times New Roman"/>
          <w:szCs w:val="18"/>
          <w:lang w:val="es-MX"/>
        </w:rPr>
      </w:pPr>
    </w:p>
    <w:p w14:paraId="078A936A" w14:textId="77777777" w:rsidR="0024077F" w:rsidRPr="00863E34" w:rsidRDefault="0024077F" w:rsidP="00E02DD8">
      <w:pPr>
        <w:spacing w:after="0" w:line="240" w:lineRule="auto"/>
        <w:jc w:val="center"/>
        <w:rPr>
          <w:rFonts w:ascii="Times New Roman" w:hAnsi="Times New Roman" w:cs="Times New Roman"/>
          <w:szCs w:val="18"/>
          <w:lang w:val="es-MX"/>
        </w:rPr>
      </w:pPr>
    </w:p>
    <w:p w14:paraId="6A460A65" w14:textId="77777777" w:rsidR="0024077F" w:rsidRPr="00863E34" w:rsidRDefault="0024077F" w:rsidP="00E02DD8">
      <w:pPr>
        <w:spacing w:after="0" w:line="240" w:lineRule="auto"/>
        <w:jc w:val="center"/>
        <w:rPr>
          <w:rFonts w:ascii="Times New Roman" w:hAnsi="Times New Roman" w:cs="Times New Roman"/>
          <w:szCs w:val="18"/>
          <w:lang w:val="es-MX"/>
        </w:rPr>
      </w:pPr>
    </w:p>
    <w:p w14:paraId="1C09AA12" w14:textId="77777777" w:rsidR="0024077F" w:rsidRPr="00863E34" w:rsidRDefault="0024077F" w:rsidP="00E02DD8">
      <w:pPr>
        <w:spacing w:after="0" w:line="240" w:lineRule="auto"/>
        <w:jc w:val="center"/>
        <w:rPr>
          <w:rFonts w:ascii="Times New Roman" w:hAnsi="Times New Roman" w:cs="Times New Roman"/>
          <w:szCs w:val="18"/>
          <w:lang w:val="es-MX"/>
        </w:rPr>
      </w:pPr>
    </w:p>
    <w:p w14:paraId="39CE452A" w14:textId="77777777" w:rsidR="00F979D8" w:rsidRPr="00863E34" w:rsidRDefault="00F979D8" w:rsidP="00E02DD8">
      <w:pPr>
        <w:spacing w:after="0" w:line="240" w:lineRule="auto"/>
        <w:jc w:val="both"/>
        <w:rPr>
          <w:rFonts w:ascii="Times New Roman" w:hAnsi="Times New Roman" w:cs="Times New Roman"/>
          <w:sz w:val="16"/>
          <w:szCs w:val="16"/>
        </w:rPr>
      </w:pPr>
    </w:p>
    <w:p w14:paraId="394020D1" w14:textId="77777777" w:rsidR="00E02DD8" w:rsidRPr="00863E34" w:rsidRDefault="00E02DD8" w:rsidP="00E02DD8">
      <w:pPr>
        <w:spacing w:after="0" w:line="240" w:lineRule="auto"/>
        <w:jc w:val="both"/>
        <w:rPr>
          <w:rFonts w:ascii="Times New Roman" w:hAnsi="Times New Roman" w:cs="Times New Roman"/>
          <w:sz w:val="16"/>
          <w:szCs w:val="16"/>
        </w:rPr>
      </w:pPr>
      <w:r w:rsidRPr="00863E34">
        <w:rPr>
          <w:rFonts w:ascii="Times New Roman" w:hAnsi="Times New Roman" w:cs="Times New Roman"/>
          <w:sz w:val="16"/>
          <w:szCs w:val="16"/>
        </w:rPr>
        <w:t>Fuente: Dirección de Análisis y Política Fiscal</w:t>
      </w:r>
      <w:r w:rsidR="00AD7C37" w:rsidRPr="00863E34">
        <w:rPr>
          <w:rFonts w:ascii="Times New Roman" w:hAnsi="Times New Roman" w:cs="Times New Roman"/>
          <w:sz w:val="16"/>
          <w:szCs w:val="16"/>
        </w:rPr>
        <w:t>.</w:t>
      </w:r>
    </w:p>
    <w:p w14:paraId="6C37D37B" w14:textId="77777777" w:rsidR="00DF6AE8" w:rsidRPr="00515068" w:rsidRDefault="00DF6AE8" w:rsidP="00E02DD8">
      <w:pPr>
        <w:pStyle w:val="Sinespaciado"/>
        <w:jc w:val="both"/>
        <w:rPr>
          <w:rFonts w:ascii="Times New Roman" w:hAnsi="Times New Roman" w:cs="Times New Roman"/>
          <w:color w:val="FF0000"/>
          <w:lang w:val="es-MX"/>
        </w:rPr>
      </w:pPr>
    </w:p>
    <w:p w14:paraId="34B9028E" w14:textId="77777777" w:rsidR="00863E34" w:rsidRDefault="00863E34" w:rsidP="00863E34">
      <w:pPr>
        <w:pStyle w:val="Sinespaciado"/>
        <w:jc w:val="both"/>
        <w:rPr>
          <w:rFonts w:ascii="Times New Roman" w:hAnsi="Times New Roman" w:cs="Times New Roman"/>
          <w:lang w:val="es-MX"/>
        </w:rPr>
      </w:pPr>
      <w:r>
        <w:rPr>
          <w:rFonts w:ascii="Times New Roman" w:hAnsi="Times New Roman" w:cs="Times New Roman"/>
          <w:lang w:val="es-MX"/>
        </w:rPr>
        <w:t xml:space="preserve">En lo que respecta al Ministerio de Comunicaciones, Infraestructura y Vivienda, su bajo grado de ejecución se debe a que su presupuesto tuvo un aumento de Q3,191.2 millones, correspondientes al </w:t>
      </w:r>
      <w:r w:rsidRPr="00393220">
        <w:rPr>
          <w:rFonts w:ascii="Times New Roman" w:hAnsi="Times New Roman" w:cs="Times New Roman"/>
          <w:lang w:val="es-MX"/>
        </w:rPr>
        <w:t xml:space="preserve">Decreto 21-2022 </w:t>
      </w:r>
      <w:r w:rsidRPr="00393220">
        <w:rPr>
          <w:rFonts w:ascii="Times New Roman" w:hAnsi="Times New Roman" w:cs="Times New Roman"/>
          <w:lang w:val="es-MX"/>
        </w:rPr>
        <w:lastRenderedPageBreak/>
        <w:t>“Ley para fortalecer el Mantenimiento y Construcción de Infraestructura Estratégica”</w:t>
      </w:r>
      <w:r>
        <w:rPr>
          <w:rFonts w:ascii="Times New Roman" w:hAnsi="Times New Roman" w:cs="Times New Roman"/>
          <w:lang w:val="es-MX"/>
        </w:rPr>
        <w:t xml:space="preserve">, del cual aún no se reporta ejecución. En los próximos meses, </w:t>
      </w:r>
      <w:r w:rsidR="001042A3">
        <w:rPr>
          <w:rFonts w:ascii="Times New Roman" w:hAnsi="Times New Roman" w:cs="Times New Roman"/>
          <w:lang w:val="es-MX"/>
        </w:rPr>
        <w:t>a</w:t>
      </w:r>
      <w:r>
        <w:rPr>
          <w:rFonts w:ascii="Times New Roman" w:hAnsi="Times New Roman" w:cs="Times New Roman"/>
          <w:lang w:val="es-MX"/>
        </w:rPr>
        <w:t xml:space="preserve"> medida que se dinamice la ejecución de los recursos, se esperaría un incremento en el rubro de la inversión real directa y el nivel de ejecución de este Ministerio.</w:t>
      </w:r>
    </w:p>
    <w:p w14:paraId="38A3D894" w14:textId="77777777" w:rsidR="00863E34" w:rsidRDefault="00863E34" w:rsidP="00863E34">
      <w:pPr>
        <w:pStyle w:val="Sinespaciado"/>
        <w:jc w:val="both"/>
        <w:rPr>
          <w:rFonts w:ascii="Times New Roman" w:hAnsi="Times New Roman" w:cs="Times New Roman"/>
          <w:lang w:val="es-MX"/>
        </w:rPr>
      </w:pPr>
    </w:p>
    <w:p w14:paraId="126C307C" w14:textId="77777777" w:rsidR="00863E34" w:rsidRDefault="00863E34" w:rsidP="00863E34">
      <w:pPr>
        <w:pStyle w:val="Sinespaciado"/>
        <w:jc w:val="both"/>
        <w:rPr>
          <w:rFonts w:ascii="Times New Roman" w:hAnsi="Times New Roman" w:cs="Times New Roman"/>
          <w:szCs w:val="24"/>
        </w:rPr>
      </w:pPr>
      <w:r w:rsidRPr="00553F17">
        <w:rPr>
          <w:rFonts w:ascii="Times New Roman" w:hAnsi="Times New Roman" w:cs="Times New Roman"/>
          <w:szCs w:val="24"/>
        </w:rPr>
        <w:t>En mayo</w:t>
      </w:r>
      <w:r>
        <w:rPr>
          <w:rFonts w:ascii="Times New Roman" w:hAnsi="Times New Roman" w:cs="Times New Roman"/>
          <w:szCs w:val="24"/>
        </w:rPr>
        <w:t xml:space="preserve"> se emitieron disposiciones presidenciales para la eficiencia, control y priorización del gasto público para el ejercicio fiscal 2022 (cobraran vigencia a partir del 01 de junio hasta el 31 de diciembre), al respecto se informó </w:t>
      </w:r>
      <w:r w:rsidR="001042A3">
        <w:rPr>
          <w:rFonts w:ascii="Times New Roman" w:hAnsi="Times New Roman" w:cs="Times New Roman"/>
          <w:szCs w:val="24"/>
        </w:rPr>
        <w:t>que,</w:t>
      </w:r>
      <w:r>
        <w:rPr>
          <w:rFonts w:ascii="Times New Roman" w:hAnsi="Times New Roman" w:cs="Times New Roman"/>
          <w:szCs w:val="24"/>
        </w:rPr>
        <w:t xml:space="preserve"> derivado de los factores geopolíticos, se puede producir una posible ralentización en la recuperación del crecimiento económico.</w:t>
      </w:r>
    </w:p>
    <w:p w14:paraId="5B8CC2B6" w14:textId="77777777" w:rsidR="00863E34" w:rsidRDefault="00863E34" w:rsidP="00863E34">
      <w:pPr>
        <w:pStyle w:val="Sinespaciado"/>
        <w:jc w:val="both"/>
        <w:rPr>
          <w:rFonts w:ascii="Times New Roman" w:hAnsi="Times New Roman" w:cs="Times New Roman"/>
          <w:szCs w:val="24"/>
        </w:rPr>
      </w:pPr>
    </w:p>
    <w:p w14:paraId="4216ACC3" w14:textId="77777777" w:rsidR="00863E34" w:rsidRDefault="00863E34" w:rsidP="00863E34">
      <w:pPr>
        <w:pStyle w:val="Sinespaciado"/>
        <w:jc w:val="both"/>
        <w:rPr>
          <w:rFonts w:ascii="Times New Roman" w:hAnsi="Times New Roman" w:cs="Times New Roman"/>
          <w:szCs w:val="24"/>
        </w:rPr>
      </w:pPr>
      <w:r>
        <w:rPr>
          <w:rFonts w:ascii="Times New Roman" w:hAnsi="Times New Roman" w:cs="Times New Roman"/>
          <w:szCs w:val="24"/>
        </w:rPr>
        <w:t xml:space="preserve">En ese sentido, podría existir un impacto negativo en el crecimiento económico de Guatemala, con una incidencia directa en la recaudación tributaria y, por lo tanto, en la disponibilidad de recursos que percibiría el Estado. </w:t>
      </w:r>
    </w:p>
    <w:p w14:paraId="7AEE9D36" w14:textId="77777777" w:rsidR="00863E34" w:rsidRDefault="00863E34" w:rsidP="00863E34">
      <w:pPr>
        <w:pStyle w:val="Sinespaciado"/>
        <w:jc w:val="both"/>
        <w:rPr>
          <w:rFonts w:ascii="Times New Roman" w:hAnsi="Times New Roman" w:cs="Times New Roman"/>
          <w:szCs w:val="24"/>
        </w:rPr>
      </w:pPr>
    </w:p>
    <w:p w14:paraId="2F1221CB" w14:textId="77777777" w:rsidR="00863E34" w:rsidRDefault="00863E34" w:rsidP="00863E34">
      <w:pPr>
        <w:pStyle w:val="Sinespaciado"/>
        <w:jc w:val="both"/>
        <w:rPr>
          <w:rFonts w:ascii="Times New Roman" w:hAnsi="Times New Roman" w:cs="Times New Roman"/>
          <w:szCs w:val="24"/>
        </w:rPr>
      </w:pPr>
      <w:r>
        <w:rPr>
          <w:rFonts w:ascii="Times New Roman" w:hAnsi="Times New Roman" w:cs="Times New Roman"/>
          <w:szCs w:val="24"/>
        </w:rPr>
        <w:t>Por ello se estableció que las cuotas financieras de origen tributario estarán sujetas   a la disponibilidad financiera, de acuerdo al comportamiento de la recaudación tributaria y los lineamientos establecidos.</w:t>
      </w:r>
    </w:p>
    <w:p w14:paraId="65A74847" w14:textId="77777777" w:rsidR="00863E34" w:rsidRDefault="00863E34" w:rsidP="00863E34">
      <w:pPr>
        <w:pStyle w:val="Sinespaciado"/>
        <w:jc w:val="both"/>
        <w:rPr>
          <w:rFonts w:ascii="Times New Roman" w:hAnsi="Times New Roman" w:cs="Times New Roman"/>
          <w:szCs w:val="24"/>
        </w:rPr>
      </w:pPr>
    </w:p>
    <w:p w14:paraId="5D8CBC55" w14:textId="77777777" w:rsidR="00863E34" w:rsidRDefault="00863E34" w:rsidP="00863E34">
      <w:pPr>
        <w:pStyle w:val="Sinespaciado"/>
        <w:jc w:val="both"/>
        <w:rPr>
          <w:rFonts w:ascii="Times New Roman" w:hAnsi="Times New Roman" w:cs="Times New Roman"/>
          <w:szCs w:val="24"/>
        </w:rPr>
      </w:pPr>
      <w:r>
        <w:rPr>
          <w:rFonts w:ascii="Times New Roman" w:hAnsi="Times New Roman" w:cs="Times New Roman"/>
          <w:szCs w:val="24"/>
        </w:rPr>
        <w:t xml:space="preserve">En este contexto es necesario un manejo prudente de las finanzas públicas, por ello entre las disposiciones presidenciales para priorizar y controlar el gasto resaltan: restricción para crear bonos únicos o incremento en los bonos existentes, se restringe la creación, reasignación o reclasificación de puestos, abstención en incrementar el monto institucional de las asignaciones presupuestarias que sean destinadas a la contratación de servicios técnicos y profesionales, se limita la </w:t>
      </w:r>
      <w:r>
        <w:rPr>
          <w:rFonts w:ascii="Times New Roman" w:hAnsi="Times New Roman" w:cs="Times New Roman"/>
          <w:szCs w:val="24"/>
        </w:rPr>
        <w:t xml:space="preserve">realización de nuevos procesos de adquisición financiado con fuentes de origen tributario, se limita la compra de alimentos y los gastos de viáticos, entre otros. </w:t>
      </w:r>
    </w:p>
    <w:p w14:paraId="7B220256" w14:textId="77777777" w:rsidR="00863E34" w:rsidRDefault="00863E34" w:rsidP="00863E34">
      <w:pPr>
        <w:pStyle w:val="Sinespaciado"/>
        <w:jc w:val="both"/>
        <w:rPr>
          <w:rFonts w:ascii="Times New Roman" w:hAnsi="Times New Roman" w:cs="Times New Roman"/>
          <w:lang w:val="es-MX"/>
        </w:rPr>
      </w:pPr>
    </w:p>
    <w:p w14:paraId="62C087F0" w14:textId="77777777" w:rsidR="00863E34" w:rsidRDefault="00863E34" w:rsidP="00863E34">
      <w:pPr>
        <w:pStyle w:val="Sinespaciado"/>
        <w:jc w:val="both"/>
        <w:rPr>
          <w:rFonts w:ascii="Times New Roman" w:hAnsi="Times New Roman" w:cs="Times New Roman"/>
          <w:lang w:val="es-MX"/>
        </w:rPr>
      </w:pPr>
      <w:r>
        <w:rPr>
          <w:rFonts w:ascii="Times New Roman" w:hAnsi="Times New Roman" w:cs="Times New Roman"/>
          <w:lang w:val="es-MX"/>
        </w:rPr>
        <w:t>Un componente importante del gasto es la ejecución del gasto social, este reporta un desempeño dinámico respecto a mayo del año previo, con un crecimiento interanual de 13.6%, equivalente a Q2,293.6 millones. A excepción de Vivienda y Seguridad Interna, el resto de los sectores del gasto social se encuentran creciendo en términos interanuales.</w:t>
      </w:r>
    </w:p>
    <w:p w14:paraId="0F2BF535" w14:textId="77777777" w:rsidR="00863E34" w:rsidRDefault="00863E34" w:rsidP="00863E34">
      <w:pPr>
        <w:pStyle w:val="Sinespaciado"/>
        <w:jc w:val="both"/>
        <w:rPr>
          <w:rFonts w:ascii="Times New Roman" w:hAnsi="Times New Roman" w:cs="Times New Roman"/>
          <w:lang w:val="es-MX"/>
        </w:rPr>
      </w:pPr>
    </w:p>
    <w:p w14:paraId="246A9EC3" w14:textId="77777777" w:rsidR="00863E34" w:rsidRPr="00737678" w:rsidRDefault="00863E34" w:rsidP="00863E34">
      <w:pPr>
        <w:pStyle w:val="Sinespaciado"/>
        <w:jc w:val="both"/>
        <w:rPr>
          <w:rFonts w:ascii="Times New Roman" w:hAnsi="Times New Roman" w:cs="Times New Roman"/>
          <w:lang w:val="es-MX"/>
        </w:rPr>
      </w:pPr>
      <w:r>
        <w:rPr>
          <w:rFonts w:ascii="Times New Roman" w:hAnsi="Times New Roman" w:cs="Times New Roman"/>
          <w:lang w:val="es-MX"/>
        </w:rPr>
        <w:t>Resalta el</w:t>
      </w:r>
      <w:r w:rsidRPr="00737678">
        <w:t xml:space="preserve"> </w:t>
      </w:r>
      <w:r w:rsidRPr="00737678">
        <w:rPr>
          <w:rFonts w:ascii="Times New Roman" w:hAnsi="Times New Roman" w:cs="Times New Roman"/>
          <w:lang w:val="es-MX"/>
        </w:rPr>
        <w:t xml:space="preserve">sector </w:t>
      </w:r>
      <w:r>
        <w:rPr>
          <w:rFonts w:ascii="Times New Roman" w:hAnsi="Times New Roman" w:cs="Times New Roman"/>
          <w:lang w:val="es-MX"/>
        </w:rPr>
        <w:t>de Salud y Asistencia Social</w:t>
      </w:r>
      <w:r w:rsidRPr="00737678">
        <w:rPr>
          <w:rFonts w:ascii="Times New Roman" w:hAnsi="Times New Roman" w:cs="Times New Roman"/>
          <w:lang w:val="es-MX"/>
        </w:rPr>
        <w:t xml:space="preserve"> </w:t>
      </w:r>
      <w:r>
        <w:rPr>
          <w:rFonts w:ascii="Times New Roman" w:hAnsi="Times New Roman" w:cs="Times New Roman"/>
          <w:lang w:val="es-MX"/>
        </w:rPr>
        <w:t>con</w:t>
      </w:r>
      <w:r w:rsidRPr="00737678">
        <w:rPr>
          <w:rFonts w:ascii="Times New Roman" w:hAnsi="Times New Roman" w:cs="Times New Roman"/>
          <w:lang w:val="es-MX"/>
        </w:rPr>
        <w:t xml:space="preserve"> un crecimiento de </w:t>
      </w:r>
      <w:r>
        <w:rPr>
          <w:rFonts w:ascii="Times New Roman" w:hAnsi="Times New Roman" w:cs="Times New Roman"/>
          <w:lang w:val="es-MX"/>
        </w:rPr>
        <w:t>14</w:t>
      </w:r>
      <w:r w:rsidRPr="00737678">
        <w:rPr>
          <w:rFonts w:ascii="Times New Roman" w:hAnsi="Times New Roman" w:cs="Times New Roman"/>
          <w:lang w:val="es-MX"/>
        </w:rPr>
        <w:t>.</w:t>
      </w:r>
      <w:r>
        <w:rPr>
          <w:rFonts w:ascii="Times New Roman" w:hAnsi="Times New Roman" w:cs="Times New Roman"/>
          <w:lang w:val="es-MX"/>
        </w:rPr>
        <w:t>8</w:t>
      </w:r>
      <w:r w:rsidRPr="00737678">
        <w:rPr>
          <w:rFonts w:ascii="Times New Roman" w:hAnsi="Times New Roman" w:cs="Times New Roman"/>
          <w:lang w:val="es-MX"/>
        </w:rPr>
        <w:t>%, equivalente a Q7</w:t>
      </w:r>
      <w:r>
        <w:rPr>
          <w:rFonts w:ascii="Times New Roman" w:hAnsi="Times New Roman" w:cs="Times New Roman"/>
          <w:lang w:val="es-MX"/>
        </w:rPr>
        <w:t xml:space="preserve">12.2 millones y Educación, Ciencia y Cultura con un crecimiento de 13.2% equivalente a Q1,093.0 millones. </w:t>
      </w:r>
    </w:p>
    <w:p w14:paraId="295974A2" w14:textId="77777777" w:rsidR="00863E34" w:rsidRDefault="00863E34" w:rsidP="00863E34">
      <w:pPr>
        <w:pStyle w:val="Sinespaciado"/>
        <w:jc w:val="both"/>
        <w:rPr>
          <w:rFonts w:ascii="Times New Roman" w:hAnsi="Times New Roman" w:cs="Times New Roman"/>
          <w:lang w:val="es-MX"/>
        </w:rPr>
      </w:pPr>
    </w:p>
    <w:p w14:paraId="67DC43DD" w14:textId="77777777" w:rsidR="006302AC" w:rsidRPr="00515068" w:rsidRDefault="00863E34" w:rsidP="00863E34">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Por su parte, el aporte que se le entrega al Ministerio Público, se encuentra creciendo en 69.2%, equivalente a Q430.9 millones, derivado que el presupuesto de dicha entidad creció de forma importante para el ejercicio 2022. Mientras las transferencias de las entidades de justicia, el aporte al OJ y CC </w:t>
      </w:r>
      <w:r w:rsidRPr="00546C8F">
        <w:rPr>
          <w:rFonts w:ascii="Times New Roman" w:hAnsi="Times New Roman" w:cs="Times New Roman"/>
          <w:lang w:val="es-MX"/>
        </w:rPr>
        <w:t xml:space="preserve">están creciendo </w:t>
      </w:r>
      <w:r>
        <w:rPr>
          <w:rFonts w:ascii="Times New Roman" w:hAnsi="Times New Roman" w:cs="Times New Roman"/>
          <w:lang w:val="es-MX"/>
        </w:rPr>
        <w:t>en 23.4%, equivalente a Q193.0 millones</w:t>
      </w:r>
      <w:r w:rsidRPr="0024077F">
        <w:rPr>
          <w:rFonts w:ascii="Times New Roman" w:hAnsi="Times New Roman" w:cs="Times New Roman"/>
          <w:lang w:val="es-MX"/>
        </w:rPr>
        <w:t>.</w:t>
      </w:r>
    </w:p>
    <w:p w14:paraId="08246D66" w14:textId="77777777" w:rsidR="00E02DD8" w:rsidRPr="00863E34" w:rsidRDefault="00E02DD8" w:rsidP="00E02DD8">
      <w:pPr>
        <w:pStyle w:val="Sinespaciado"/>
        <w:jc w:val="both"/>
        <w:rPr>
          <w:rFonts w:ascii="Times New Roman" w:hAnsi="Times New Roman" w:cs="Times New Roman"/>
          <w:lang w:val="es-MX"/>
        </w:rPr>
      </w:pPr>
    </w:p>
    <w:p w14:paraId="78859C0C" w14:textId="77777777" w:rsidR="00E02DD8" w:rsidRPr="00863E34" w:rsidRDefault="00E02DD8" w:rsidP="00E02DD8">
      <w:pPr>
        <w:pStyle w:val="Sinespaciado"/>
        <w:jc w:val="center"/>
        <w:rPr>
          <w:rFonts w:ascii="Times New Roman" w:hAnsi="Times New Roman" w:cs="Times New Roman"/>
          <w:b/>
          <w:sz w:val="23"/>
          <w:szCs w:val="23"/>
          <w:lang w:val="es-MX"/>
        </w:rPr>
      </w:pPr>
      <w:r w:rsidRPr="00863E34">
        <w:rPr>
          <w:rFonts w:ascii="Times New Roman" w:hAnsi="Times New Roman" w:cs="Times New Roman"/>
          <w:b/>
          <w:sz w:val="23"/>
          <w:szCs w:val="23"/>
          <w:lang w:val="es-MX"/>
        </w:rPr>
        <w:t>Ejecución y crecimiento del Gasto Social</w:t>
      </w:r>
    </w:p>
    <w:p w14:paraId="38C068D4" w14:textId="77777777" w:rsidR="00E02DD8" w:rsidRPr="00863E34" w:rsidRDefault="00863E34" w:rsidP="00E02DD8">
      <w:pPr>
        <w:pStyle w:val="Sinespaciado"/>
        <w:jc w:val="center"/>
        <w:rPr>
          <w:rFonts w:ascii="Times New Roman" w:hAnsi="Times New Roman" w:cs="Times New Roman"/>
          <w:sz w:val="20"/>
          <w:szCs w:val="18"/>
          <w:lang w:val="es-MX"/>
        </w:rPr>
      </w:pPr>
      <w:r w:rsidRPr="00863E34">
        <w:rPr>
          <w:rFonts w:ascii="Times New Roman" w:hAnsi="Times New Roman" w:cs="Times New Roman"/>
          <w:sz w:val="20"/>
          <w:szCs w:val="18"/>
          <w:lang w:val="es-MX"/>
        </w:rPr>
        <w:t>Al 31</w:t>
      </w:r>
      <w:r w:rsidR="00E02DD8" w:rsidRPr="00863E34">
        <w:rPr>
          <w:rFonts w:ascii="Times New Roman" w:hAnsi="Times New Roman" w:cs="Times New Roman"/>
          <w:sz w:val="20"/>
          <w:szCs w:val="18"/>
          <w:lang w:val="es-MX"/>
        </w:rPr>
        <w:t xml:space="preserve"> de </w:t>
      </w:r>
      <w:r w:rsidRPr="00863E34">
        <w:rPr>
          <w:rFonts w:ascii="Times New Roman" w:hAnsi="Times New Roman" w:cs="Times New Roman"/>
          <w:sz w:val="20"/>
          <w:szCs w:val="18"/>
          <w:lang w:val="es-MX"/>
        </w:rPr>
        <w:t>mayo</w:t>
      </w:r>
      <w:r w:rsidR="00E02DD8" w:rsidRPr="00863E34">
        <w:rPr>
          <w:rFonts w:ascii="Times New Roman" w:hAnsi="Times New Roman" w:cs="Times New Roman"/>
          <w:sz w:val="20"/>
          <w:szCs w:val="18"/>
          <w:lang w:val="es-MX"/>
        </w:rPr>
        <w:t xml:space="preserve"> 2022</w:t>
      </w:r>
    </w:p>
    <w:p w14:paraId="48825938" w14:textId="77777777" w:rsidR="00E02DD8" w:rsidRPr="00863E34" w:rsidRDefault="001042A3" w:rsidP="00E02DD8">
      <w:pPr>
        <w:pStyle w:val="Sinespaciado"/>
        <w:jc w:val="center"/>
        <w:rPr>
          <w:rFonts w:ascii="Times New Roman" w:hAnsi="Times New Roman" w:cs="Times New Roman"/>
          <w:sz w:val="20"/>
          <w:szCs w:val="18"/>
          <w:lang w:val="es-MX"/>
        </w:rPr>
      </w:pPr>
      <w:r w:rsidRPr="00863E34">
        <w:rPr>
          <w:noProof/>
          <w:lang w:eastAsia="es-GT"/>
        </w:rPr>
        <w:drawing>
          <wp:anchor distT="0" distB="0" distL="114300" distR="114300" simplePos="0" relativeHeight="251788288" behindDoc="0" locked="0" layoutInCell="1" allowOverlap="1" wp14:anchorId="193AF0F3" wp14:editId="053A6463">
            <wp:simplePos x="0" y="0"/>
            <wp:positionH relativeFrom="column">
              <wp:posOffset>3810</wp:posOffset>
            </wp:positionH>
            <wp:positionV relativeFrom="paragraph">
              <wp:posOffset>191770</wp:posOffset>
            </wp:positionV>
            <wp:extent cx="2686050" cy="124587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DD8" w:rsidRPr="00863E34">
        <w:rPr>
          <w:sz w:val="24"/>
        </w:rPr>
        <w:t xml:space="preserve"> </w:t>
      </w:r>
      <w:r w:rsidR="00E02DD8" w:rsidRPr="00863E34">
        <w:rPr>
          <w:rFonts w:ascii="Times New Roman" w:hAnsi="Times New Roman" w:cs="Times New Roman"/>
          <w:sz w:val="20"/>
          <w:szCs w:val="18"/>
          <w:lang w:val="es-MX"/>
        </w:rPr>
        <w:t>Cifras en porcentajes y en millones de quetzales</w:t>
      </w:r>
    </w:p>
    <w:p w14:paraId="4BA588C4" w14:textId="2B0B7A4D" w:rsidR="00E02DD8" w:rsidRPr="00863E34" w:rsidRDefault="00371E68" w:rsidP="00E02DD8">
      <w:pPr>
        <w:pStyle w:val="Sinespaciado"/>
        <w:rPr>
          <w:rFonts w:ascii="Times New Roman" w:hAnsi="Times New Roman" w:cs="Times New Roman"/>
          <w:sz w:val="16"/>
          <w:szCs w:val="16"/>
        </w:rPr>
        <w:sectPr w:rsidR="00E02DD8" w:rsidRPr="00863E34" w:rsidSect="00F23E3F">
          <w:type w:val="continuous"/>
          <w:pgSz w:w="12240" w:h="15840"/>
          <w:pgMar w:top="1417" w:right="1701" w:bottom="1417" w:left="1701" w:header="708" w:footer="708" w:gutter="0"/>
          <w:cols w:num="2" w:space="708"/>
          <w:docGrid w:linePitch="360"/>
        </w:sectPr>
      </w:pPr>
      <w:r w:rsidRPr="00863E34">
        <w:rPr>
          <w:rFonts w:ascii="Times New Roman" w:hAnsi="Times New Roman" w:cs="Times New Roman"/>
          <w:sz w:val="16"/>
          <w:szCs w:val="16"/>
        </w:rPr>
        <w:t xml:space="preserve"> </w:t>
      </w:r>
      <w:r w:rsidR="00E02DD8" w:rsidRPr="00863E34">
        <w:rPr>
          <w:rFonts w:ascii="Times New Roman" w:hAnsi="Times New Roman" w:cs="Times New Roman"/>
          <w:sz w:val="16"/>
          <w:szCs w:val="16"/>
        </w:rPr>
        <w:t>Fuente: Dirección de Análisis y Política Fiscal</w:t>
      </w:r>
    </w:p>
    <w:p w14:paraId="287CB5B9" w14:textId="77777777" w:rsidR="006302AC" w:rsidRPr="0011046F" w:rsidRDefault="006302AC" w:rsidP="00C76B98">
      <w:pPr>
        <w:spacing w:after="0"/>
        <w:rPr>
          <w:rFonts w:ascii="Times New Roman" w:hAnsi="Times New Roman" w:cs="Times New Roman"/>
          <w:color w:val="FF0000"/>
          <w:sz w:val="2"/>
        </w:rPr>
      </w:pPr>
    </w:p>
    <w:p w14:paraId="535450F9" w14:textId="77777777" w:rsidR="006302AC" w:rsidRPr="00515068" w:rsidRDefault="006302AC" w:rsidP="00C76B98">
      <w:pPr>
        <w:spacing w:after="0"/>
        <w:rPr>
          <w:rFonts w:ascii="Times New Roman" w:hAnsi="Times New Roman" w:cs="Times New Roman"/>
          <w:color w:val="FF0000"/>
          <w:sz w:val="16"/>
        </w:rPr>
      </w:pPr>
    </w:p>
    <w:p w14:paraId="64B34755" w14:textId="77777777" w:rsidR="006302AC" w:rsidRPr="0011046F" w:rsidRDefault="006302AC" w:rsidP="00C76B98">
      <w:pPr>
        <w:spacing w:after="0"/>
        <w:rPr>
          <w:rFonts w:ascii="Times New Roman" w:hAnsi="Times New Roman" w:cs="Times New Roman"/>
          <w:color w:val="FF0000"/>
          <w:sz w:val="8"/>
        </w:rPr>
        <w:sectPr w:rsidR="006302AC" w:rsidRPr="0011046F" w:rsidSect="00960BE9">
          <w:headerReference w:type="default" r:id="rId31"/>
          <w:footerReference w:type="default" r:id="rId32"/>
          <w:type w:val="continuous"/>
          <w:pgSz w:w="12240" w:h="15840"/>
          <w:pgMar w:top="1417" w:right="1701" w:bottom="1417" w:left="1701" w:header="708" w:footer="708" w:gutter="0"/>
          <w:cols w:space="708"/>
          <w:docGrid w:linePitch="360"/>
        </w:sectPr>
      </w:pPr>
    </w:p>
    <w:p w14:paraId="4CC470C7" w14:textId="77777777" w:rsidR="00F23E3F" w:rsidRPr="00841A3C" w:rsidRDefault="00E21B05"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3" w:name="_Hlk105772268"/>
      <w:r w:rsidRPr="00841A3C">
        <w:rPr>
          <w:rFonts w:ascii="Times New Roman" w:hAnsi="Times New Roman" w:cs="Times New Roman"/>
          <w:b/>
          <w:color w:val="FFFFFF" w:themeColor="background1"/>
          <w:sz w:val="24"/>
          <w:szCs w:val="24"/>
          <w:lang w:val="es-MX"/>
        </w:rPr>
        <w:t>C</w:t>
      </w:r>
      <w:r w:rsidR="00841A3C" w:rsidRPr="00841A3C">
        <w:rPr>
          <w:rFonts w:ascii="Times New Roman" w:hAnsi="Times New Roman" w:cs="Times New Roman"/>
          <w:b/>
          <w:color w:val="FFFFFF" w:themeColor="background1"/>
          <w:sz w:val="24"/>
          <w:szCs w:val="24"/>
          <w:lang w:val="es-MX"/>
        </w:rPr>
        <w:t>upo de c</w:t>
      </w:r>
      <w:r w:rsidRPr="00841A3C">
        <w:rPr>
          <w:rFonts w:ascii="Times New Roman" w:hAnsi="Times New Roman" w:cs="Times New Roman"/>
          <w:b/>
          <w:color w:val="FFFFFF" w:themeColor="background1"/>
          <w:sz w:val="24"/>
          <w:szCs w:val="24"/>
          <w:lang w:val="es-MX"/>
        </w:rPr>
        <w:t>olocación de</w:t>
      </w:r>
      <w:r w:rsidR="00C76B98" w:rsidRPr="00841A3C">
        <w:rPr>
          <w:rFonts w:ascii="Times New Roman" w:hAnsi="Times New Roman" w:cs="Times New Roman"/>
          <w:b/>
          <w:color w:val="FFFFFF" w:themeColor="background1"/>
          <w:sz w:val="24"/>
          <w:szCs w:val="24"/>
          <w:lang w:val="es-MX"/>
        </w:rPr>
        <w:t xml:space="preserve"> Bonos del Tesoro</w:t>
      </w:r>
      <w:r w:rsidR="006B4A2A" w:rsidRPr="00841A3C">
        <w:rPr>
          <w:rFonts w:ascii="Times New Roman" w:hAnsi="Times New Roman" w:cs="Times New Roman"/>
          <w:b/>
          <w:color w:val="FFFFFF" w:themeColor="background1"/>
          <w:sz w:val="24"/>
          <w:szCs w:val="24"/>
          <w:lang w:val="es-MX"/>
        </w:rPr>
        <w:t xml:space="preserve"> </w:t>
      </w:r>
      <w:r w:rsidR="00841A3C" w:rsidRPr="00841A3C">
        <w:rPr>
          <w:rFonts w:ascii="Times New Roman" w:hAnsi="Times New Roman" w:cs="Times New Roman"/>
          <w:b/>
          <w:color w:val="FFFFFF" w:themeColor="background1"/>
          <w:sz w:val="24"/>
          <w:szCs w:val="24"/>
          <w:lang w:val="es-MX"/>
        </w:rPr>
        <w:t>di</w:t>
      </w:r>
      <w:r w:rsidR="00841A3C">
        <w:rPr>
          <w:rFonts w:ascii="Times New Roman" w:hAnsi="Times New Roman" w:cs="Times New Roman"/>
          <w:b/>
          <w:color w:val="FFFFFF" w:themeColor="background1"/>
          <w:sz w:val="24"/>
          <w:szCs w:val="24"/>
          <w:lang w:val="es-MX"/>
        </w:rPr>
        <w:t>s</w:t>
      </w:r>
      <w:r w:rsidR="00841A3C" w:rsidRPr="00841A3C">
        <w:rPr>
          <w:rFonts w:ascii="Times New Roman" w:hAnsi="Times New Roman" w:cs="Times New Roman"/>
          <w:b/>
          <w:color w:val="FFFFFF" w:themeColor="background1"/>
          <w:sz w:val="24"/>
          <w:szCs w:val="24"/>
          <w:lang w:val="es-MX"/>
        </w:rPr>
        <w:t>minuirá por préstamo del Banco Mundial</w:t>
      </w:r>
    </w:p>
    <w:bookmarkEnd w:id="3"/>
    <w:p w14:paraId="27276786" w14:textId="77777777" w:rsidR="00C76B98" w:rsidRPr="00515068" w:rsidRDefault="00C76B98" w:rsidP="00E02DD8">
      <w:pPr>
        <w:pStyle w:val="Sinespaciado"/>
        <w:rPr>
          <w:rFonts w:ascii="Times New Roman" w:hAnsi="Times New Roman" w:cs="Times New Roman"/>
          <w:color w:val="FF0000"/>
          <w:sz w:val="18"/>
          <w:szCs w:val="18"/>
          <w:lang w:val="es-MX"/>
        </w:rPr>
      </w:pPr>
    </w:p>
    <w:p w14:paraId="2DBB425E" w14:textId="77777777" w:rsidR="00C76B98" w:rsidRPr="00515068" w:rsidRDefault="00C76B98" w:rsidP="00C76B98">
      <w:pPr>
        <w:spacing w:after="0"/>
        <w:rPr>
          <w:rFonts w:ascii="Times New Roman" w:hAnsi="Times New Roman" w:cs="Times New Roman"/>
          <w:color w:val="FF0000"/>
        </w:rPr>
        <w:sectPr w:rsidR="00C76B98" w:rsidRPr="00515068" w:rsidSect="00960BE9">
          <w:headerReference w:type="default" r:id="rId33"/>
          <w:footerReference w:type="default" r:id="rId34"/>
          <w:type w:val="continuous"/>
          <w:pgSz w:w="12240" w:h="15840"/>
          <w:pgMar w:top="1417" w:right="1701" w:bottom="1417" w:left="1701" w:header="708" w:footer="708" w:gutter="0"/>
          <w:cols w:space="708"/>
          <w:docGrid w:linePitch="360"/>
        </w:sectPr>
      </w:pPr>
    </w:p>
    <w:p w14:paraId="03EDDCF4" w14:textId="77777777" w:rsidR="00841A3C" w:rsidRDefault="00841A3C" w:rsidP="00841A3C">
      <w:pPr>
        <w:pStyle w:val="Sinespaciado"/>
        <w:spacing w:after="240"/>
        <w:ind w:right="95"/>
        <w:jc w:val="both"/>
        <w:rPr>
          <w:rFonts w:ascii="Times New Roman" w:hAnsi="Times New Roman" w:cs="Times New Roman"/>
        </w:rPr>
      </w:pPr>
      <w:r>
        <w:rPr>
          <w:rFonts w:ascii="Times New Roman" w:hAnsi="Times New Roman" w:cs="Times New Roman"/>
        </w:rPr>
        <w:t xml:space="preserve">Las colocaciones de bonos del tesoro ascienden a Q4,580.5 millones, de las cuales el 98.9% corresponden a nuevo </w:t>
      </w:r>
      <w:r>
        <w:rPr>
          <w:rFonts w:ascii="Times New Roman" w:hAnsi="Times New Roman" w:cs="Times New Roman"/>
        </w:rPr>
        <w:t>endeudamiento y 1.1% a roll over o recolocaciones por vencimientos.</w:t>
      </w:r>
    </w:p>
    <w:p w14:paraId="57423715" w14:textId="77777777" w:rsidR="00841A3C" w:rsidRDefault="00841A3C" w:rsidP="00841A3C">
      <w:pPr>
        <w:pStyle w:val="Sinespaciado"/>
        <w:spacing w:after="240"/>
        <w:ind w:right="95"/>
        <w:jc w:val="both"/>
        <w:rPr>
          <w:rFonts w:ascii="Times New Roman" w:hAnsi="Times New Roman" w:cs="Times New Roman"/>
        </w:rPr>
      </w:pPr>
      <w:r>
        <w:rPr>
          <w:rFonts w:ascii="Times New Roman" w:hAnsi="Times New Roman" w:cs="Times New Roman"/>
        </w:rPr>
        <w:lastRenderedPageBreak/>
        <w:t>La tasa ponderada que se ha alcanzado en moneda nacional asciende a 5.9% siendo el plazo promedio de colocación de 17.5 años. Por su parte, las colocaciones en dólares ascienden a US$16.5 millones, con una tasa ponderada de 4.5% y un plazo promedio de 15 años.</w:t>
      </w:r>
    </w:p>
    <w:p w14:paraId="2248148C" w14:textId="77777777" w:rsidR="00841A3C" w:rsidRDefault="00841A3C" w:rsidP="00841A3C">
      <w:pPr>
        <w:pStyle w:val="Sinespaciado"/>
        <w:spacing w:after="240"/>
        <w:ind w:right="95"/>
        <w:jc w:val="both"/>
        <w:rPr>
          <w:rFonts w:ascii="Times New Roman" w:hAnsi="Times New Roman" w:cs="Times New Roman"/>
        </w:rPr>
      </w:pPr>
      <w:r>
        <w:rPr>
          <w:rFonts w:ascii="Times New Roman" w:hAnsi="Times New Roman" w:cs="Times New Roman"/>
        </w:rPr>
        <w:t>En el Congreso de la República fue aprobado el</w:t>
      </w:r>
      <w:r w:rsidRPr="00E01BE0">
        <w:rPr>
          <w:rFonts w:ascii="Times New Roman" w:hAnsi="Times New Roman" w:cs="Times New Roman"/>
        </w:rPr>
        <w:t xml:space="preserve"> </w:t>
      </w:r>
      <w:r w:rsidRPr="00F77BE1">
        <w:rPr>
          <w:rFonts w:ascii="Times New Roman" w:hAnsi="Times New Roman" w:cs="Times New Roman"/>
        </w:rPr>
        <w:t>“Préstamo para Políticas de Desarrollo de Respuesta y Recuperación ante la Crisis en Guatemala”</w:t>
      </w:r>
      <w:r w:rsidRPr="00E01BE0">
        <w:rPr>
          <w:rFonts w:ascii="Times New Roman" w:hAnsi="Times New Roman" w:cs="Times New Roman"/>
        </w:rPr>
        <w:t xml:space="preserve"> por parte</w:t>
      </w:r>
      <w:r>
        <w:rPr>
          <w:rFonts w:ascii="Times New Roman" w:hAnsi="Times New Roman" w:cs="Times New Roman"/>
        </w:rPr>
        <w:t xml:space="preserve"> del </w:t>
      </w:r>
      <w:r w:rsidRPr="00F77BE1">
        <w:rPr>
          <w:rFonts w:ascii="Times New Roman" w:hAnsi="Times New Roman" w:cs="Times New Roman"/>
        </w:rPr>
        <w:t>Banco Internacional de</w:t>
      </w:r>
      <w:r>
        <w:rPr>
          <w:rFonts w:ascii="Times New Roman" w:hAnsi="Times New Roman" w:cs="Times New Roman"/>
        </w:rPr>
        <w:t xml:space="preserve"> Reconstrucción y Fomento (BIRF) por US$500.0 millones. </w:t>
      </w:r>
    </w:p>
    <w:p w14:paraId="4248F243" w14:textId="77777777" w:rsidR="00841A3C" w:rsidRDefault="00841A3C" w:rsidP="00841A3C">
      <w:pPr>
        <w:pStyle w:val="Sinespaciado"/>
        <w:spacing w:after="240"/>
        <w:ind w:right="95"/>
        <w:jc w:val="both"/>
        <w:rPr>
          <w:rFonts w:ascii="Times New Roman" w:hAnsi="Times New Roman" w:cs="Times New Roman"/>
        </w:rPr>
      </w:pPr>
      <w:r>
        <w:rPr>
          <w:rFonts w:ascii="Times New Roman" w:hAnsi="Times New Roman" w:cs="Times New Roman"/>
        </w:rPr>
        <w:t>Por ello, quedó facultado el Ministerio de Finanzas Públicas para que durante el ejercicio fiscal 2022 se incorpore al Presupuesto el equivalente al préstamo de US$500.0 millones, por medio de una sustitución de fuente de financiamiento, liberando recursos de la colocación de bonos del tesoro, todo ello sin incrementar el Presupuesto General de Egresos vigente para el 2022, porque ello no representa ingresos y gastos adicionales.</w:t>
      </w:r>
    </w:p>
    <w:p w14:paraId="0382BF0C" w14:textId="77777777" w:rsidR="00841A3C" w:rsidRDefault="00841A3C" w:rsidP="00841A3C">
      <w:pPr>
        <w:pStyle w:val="Sinespaciado"/>
        <w:spacing w:after="240"/>
        <w:ind w:right="95"/>
        <w:jc w:val="both"/>
        <w:rPr>
          <w:rFonts w:ascii="Times New Roman" w:hAnsi="Times New Roman" w:cs="Times New Roman"/>
        </w:rPr>
      </w:pPr>
      <w:r>
        <w:rPr>
          <w:rFonts w:ascii="Times New Roman" w:hAnsi="Times New Roman" w:cs="Times New Roman"/>
        </w:rPr>
        <w:t xml:space="preserve">Este préstamo se considera relevante por sus condiciones financieras favorables dado que considera un vencimiento </w:t>
      </w:r>
      <w:r w:rsidRPr="00B035EE">
        <w:rPr>
          <w:rFonts w:ascii="Times New Roman" w:hAnsi="Times New Roman" w:cs="Times New Roman"/>
        </w:rPr>
        <w:t>de 13 años, incluido un período de gracia de 3 años</w:t>
      </w:r>
      <w:r>
        <w:rPr>
          <w:rFonts w:ascii="Times New Roman" w:hAnsi="Times New Roman" w:cs="Times New Roman"/>
        </w:rPr>
        <w:t xml:space="preserve"> y una tasa aproximada de 0.75%.</w:t>
      </w:r>
    </w:p>
    <w:p w14:paraId="49E7E682" w14:textId="77777777" w:rsidR="00467154" w:rsidRPr="00515068" w:rsidRDefault="00841A3C" w:rsidP="00841A3C">
      <w:pPr>
        <w:pStyle w:val="Sinespaciado"/>
        <w:spacing w:after="240"/>
        <w:ind w:right="95"/>
        <w:jc w:val="both"/>
        <w:rPr>
          <w:rFonts w:ascii="Times New Roman" w:hAnsi="Times New Roman" w:cs="Times New Roman"/>
          <w:color w:val="FF0000"/>
        </w:rPr>
      </w:pPr>
      <w:r>
        <w:rPr>
          <w:rFonts w:ascii="Times New Roman" w:hAnsi="Times New Roman" w:cs="Times New Roman"/>
        </w:rPr>
        <w:t>Respecto a la</w:t>
      </w:r>
      <w:r w:rsidRPr="00E01BE0">
        <w:rPr>
          <w:rFonts w:ascii="Times New Roman" w:hAnsi="Times New Roman" w:cs="Times New Roman"/>
        </w:rPr>
        <w:t xml:space="preserve"> colocación del Eurobono, se ti</w:t>
      </w:r>
      <w:r>
        <w:rPr>
          <w:rFonts w:ascii="Times New Roman" w:hAnsi="Times New Roman" w:cs="Times New Roman"/>
        </w:rPr>
        <w:t xml:space="preserve">ene previsto que </w:t>
      </w:r>
      <w:r w:rsidRPr="00E01BE0">
        <w:rPr>
          <w:rFonts w:ascii="Times New Roman" w:hAnsi="Times New Roman" w:cs="Times New Roman"/>
        </w:rPr>
        <w:t>se</w:t>
      </w:r>
      <w:r>
        <w:rPr>
          <w:rFonts w:ascii="Times New Roman" w:hAnsi="Times New Roman" w:cs="Times New Roman"/>
        </w:rPr>
        <w:t xml:space="preserve"> realice en juni</w:t>
      </w:r>
      <w:r w:rsidRPr="00E01BE0">
        <w:rPr>
          <w:rFonts w:ascii="Times New Roman" w:hAnsi="Times New Roman" w:cs="Times New Roman"/>
        </w:rPr>
        <w:t>o.</w:t>
      </w:r>
      <w:r>
        <w:rPr>
          <w:rFonts w:ascii="Times New Roman" w:hAnsi="Times New Roman" w:cs="Times New Roman"/>
        </w:rPr>
        <w:t xml:space="preserve"> Por ello, la disponibilidad pendiente de colocar podría disminuir considerablemente en el próximo reporte, al considerar la colocación del Eurobono y al eliminar el espacio correspondiente al préstamo por US$500 millones.</w:t>
      </w:r>
    </w:p>
    <w:p w14:paraId="0078B8D9" w14:textId="77777777" w:rsidR="001A7D31" w:rsidRPr="00841A3C" w:rsidRDefault="001A7D31" w:rsidP="001A7D31">
      <w:pPr>
        <w:pStyle w:val="Sinespaciado"/>
        <w:ind w:right="95"/>
        <w:jc w:val="center"/>
        <w:rPr>
          <w:rFonts w:ascii="Times New Roman" w:hAnsi="Times New Roman" w:cs="Times New Roman"/>
          <w:b/>
          <w:sz w:val="23"/>
          <w:szCs w:val="23"/>
          <w:lang w:val="es-MX"/>
        </w:rPr>
      </w:pPr>
      <w:r w:rsidRPr="00841A3C">
        <w:rPr>
          <w:rFonts w:ascii="Times New Roman" w:hAnsi="Times New Roman" w:cs="Times New Roman"/>
          <w:b/>
          <w:sz w:val="23"/>
          <w:szCs w:val="23"/>
          <w:lang w:val="es-MX"/>
        </w:rPr>
        <w:t>Colocación de Bonos del Tesoro</w:t>
      </w:r>
    </w:p>
    <w:p w14:paraId="32581E3F" w14:textId="77777777" w:rsidR="001A7D31" w:rsidRPr="00841A3C" w:rsidRDefault="00841A3C" w:rsidP="001A7D31">
      <w:pPr>
        <w:pStyle w:val="Sinespaciado"/>
        <w:jc w:val="center"/>
        <w:rPr>
          <w:rFonts w:ascii="Times New Roman" w:hAnsi="Times New Roman" w:cs="Times New Roman"/>
        </w:rPr>
      </w:pPr>
      <w:r w:rsidRPr="00841A3C">
        <w:rPr>
          <w:noProof/>
          <w:lang w:eastAsia="es-GT"/>
        </w:rPr>
        <w:drawing>
          <wp:anchor distT="0" distB="0" distL="114300" distR="114300" simplePos="0" relativeHeight="251790336" behindDoc="1" locked="0" layoutInCell="1" allowOverlap="1" wp14:anchorId="2C29CFBB" wp14:editId="5B130163">
            <wp:simplePos x="0" y="0"/>
            <wp:positionH relativeFrom="column">
              <wp:posOffset>-164465</wp:posOffset>
            </wp:positionH>
            <wp:positionV relativeFrom="paragraph">
              <wp:posOffset>165668</wp:posOffset>
            </wp:positionV>
            <wp:extent cx="2733675" cy="1492250"/>
            <wp:effectExtent l="0" t="0" r="0" b="0"/>
            <wp:wrapSquare wrapText="bothSides"/>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841A3C">
        <w:rPr>
          <w:rFonts w:ascii="Times New Roman" w:hAnsi="Times New Roman" w:cs="Times New Roman"/>
          <w:sz w:val="20"/>
          <w:szCs w:val="18"/>
          <w:lang w:val="es-MX"/>
        </w:rPr>
        <w:t>Al 31</w:t>
      </w:r>
      <w:r w:rsidR="001A7D31" w:rsidRPr="00841A3C">
        <w:rPr>
          <w:rFonts w:ascii="Times New Roman" w:hAnsi="Times New Roman" w:cs="Times New Roman"/>
          <w:sz w:val="20"/>
          <w:szCs w:val="18"/>
          <w:lang w:val="es-MX"/>
        </w:rPr>
        <w:t xml:space="preserve"> de </w:t>
      </w:r>
      <w:r w:rsidRPr="00841A3C">
        <w:rPr>
          <w:rFonts w:ascii="Times New Roman" w:hAnsi="Times New Roman" w:cs="Times New Roman"/>
          <w:sz w:val="20"/>
          <w:szCs w:val="18"/>
          <w:lang w:val="es-MX"/>
        </w:rPr>
        <w:t>mayo</w:t>
      </w:r>
      <w:r w:rsidR="001A7D31" w:rsidRPr="00841A3C">
        <w:rPr>
          <w:rFonts w:ascii="Times New Roman" w:hAnsi="Times New Roman" w:cs="Times New Roman"/>
          <w:sz w:val="20"/>
          <w:szCs w:val="18"/>
          <w:lang w:val="es-MX"/>
        </w:rPr>
        <w:t xml:space="preserve"> 2022</w:t>
      </w:r>
    </w:p>
    <w:p w14:paraId="798D2050" w14:textId="77777777" w:rsidR="001A7D31" w:rsidRPr="00841A3C" w:rsidRDefault="001A7D31" w:rsidP="001A7D31">
      <w:pPr>
        <w:pStyle w:val="Sinespaciado"/>
        <w:jc w:val="both"/>
        <w:rPr>
          <w:rFonts w:ascii="Times New Roman" w:hAnsi="Times New Roman" w:cs="Times New Roman"/>
          <w:sz w:val="16"/>
          <w:szCs w:val="16"/>
        </w:rPr>
      </w:pPr>
      <w:r w:rsidRPr="00841A3C">
        <w:rPr>
          <w:rFonts w:ascii="Times New Roman" w:hAnsi="Times New Roman" w:cs="Times New Roman"/>
          <w:sz w:val="16"/>
          <w:szCs w:val="16"/>
        </w:rPr>
        <w:t>Fuente: Dirección de Análisis y Política Fiscal.</w:t>
      </w:r>
    </w:p>
    <w:p w14:paraId="3242B0DA" w14:textId="3CA1947B" w:rsidR="00C76B98" w:rsidRPr="00515068" w:rsidRDefault="00C76B98" w:rsidP="00B77BCA">
      <w:pPr>
        <w:pStyle w:val="Sinespaciado"/>
        <w:jc w:val="both"/>
        <w:rPr>
          <w:rFonts w:ascii="Times New Roman" w:hAnsi="Times New Roman" w:cs="Times New Roman"/>
          <w:color w:val="FF0000"/>
          <w:sz w:val="12"/>
        </w:rPr>
        <w:sectPr w:rsidR="00C76B98" w:rsidRPr="00515068" w:rsidSect="00C76B98">
          <w:type w:val="continuous"/>
          <w:pgSz w:w="12240" w:h="15840"/>
          <w:pgMar w:top="1417" w:right="1701" w:bottom="1417" w:left="1701" w:header="708" w:footer="708" w:gutter="0"/>
          <w:cols w:num="2" w:space="708"/>
          <w:docGrid w:linePitch="360"/>
        </w:sectPr>
      </w:pPr>
    </w:p>
    <w:p w14:paraId="438764B3" w14:textId="77777777" w:rsidR="00C76B98" w:rsidRPr="00515068" w:rsidRDefault="00C76B98" w:rsidP="00C76B98">
      <w:pPr>
        <w:spacing w:after="0"/>
        <w:rPr>
          <w:rFonts w:ascii="Times New Roman" w:hAnsi="Times New Roman" w:cs="Times New Roman"/>
          <w:color w:val="FF0000"/>
          <w:sz w:val="8"/>
        </w:rPr>
        <w:sectPr w:rsidR="00C76B98" w:rsidRPr="00515068" w:rsidSect="00960BE9">
          <w:headerReference w:type="default" r:id="rId36"/>
          <w:footerReference w:type="default" r:id="rId37"/>
          <w:type w:val="continuous"/>
          <w:pgSz w:w="12240" w:h="15840"/>
          <w:pgMar w:top="1417" w:right="1701" w:bottom="1417" w:left="1701" w:header="708" w:footer="708" w:gutter="0"/>
          <w:cols w:space="708"/>
          <w:docGrid w:linePitch="360"/>
        </w:sectPr>
      </w:pPr>
    </w:p>
    <w:p w14:paraId="33D72369" w14:textId="368DB7A9" w:rsidR="001042A3" w:rsidRPr="00515068" w:rsidRDefault="001042A3" w:rsidP="00841A3C">
      <w:pPr>
        <w:pStyle w:val="Sinespaciado"/>
        <w:jc w:val="both"/>
        <w:rPr>
          <w:rFonts w:ascii="Times New Roman" w:hAnsi="Times New Roman" w:cs="Times New Roman"/>
          <w:color w:val="FF0000"/>
          <w:sz w:val="16"/>
          <w:szCs w:val="16"/>
        </w:rPr>
        <w:sectPr w:rsidR="001042A3" w:rsidRPr="00515068" w:rsidSect="00C76B98">
          <w:headerReference w:type="default" r:id="rId38"/>
          <w:footerReference w:type="default" r:id="rId39"/>
          <w:type w:val="continuous"/>
          <w:pgSz w:w="12240" w:h="15840"/>
          <w:pgMar w:top="1417" w:right="1701" w:bottom="1417" w:left="1701" w:header="708" w:footer="708" w:gutter="0"/>
          <w:cols w:num="2" w:space="708"/>
          <w:docGrid w:linePitch="360"/>
        </w:sectPr>
      </w:pPr>
    </w:p>
    <w:p w14:paraId="5F7639A3" w14:textId="77777777" w:rsidR="008E00B7" w:rsidRPr="00515068" w:rsidRDefault="008E00B7" w:rsidP="00C76B98">
      <w:pPr>
        <w:pStyle w:val="Sinespaciado"/>
        <w:rPr>
          <w:rFonts w:ascii="Times New Roman" w:hAnsi="Times New Roman" w:cs="Times New Roman"/>
          <w:color w:val="FF0000"/>
          <w:sz w:val="10"/>
          <w:szCs w:val="18"/>
        </w:rPr>
      </w:pPr>
    </w:p>
    <w:p w14:paraId="558E089A" w14:textId="77777777" w:rsidR="008E00B7" w:rsidRPr="00515068" w:rsidRDefault="008E00B7" w:rsidP="008E00B7">
      <w:pPr>
        <w:spacing w:after="0"/>
        <w:rPr>
          <w:rFonts w:ascii="Times New Roman" w:hAnsi="Times New Roman" w:cs="Times New Roman"/>
          <w:color w:val="FF0000"/>
          <w:sz w:val="6"/>
        </w:rPr>
        <w:sectPr w:rsidR="008E00B7" w:rsidRPr="00515068" w:rsidSect="00960BE9">
          <w:headerReference w:type="default" r:id="rId40"/>
          <w:footerReference w:type="default" r:id="rId41"/>
          <w:type w:val="continuous"/>
          <w:pgSz w:w="12240" w:h="15840"/>
          <w:pgMar w:top="1417" w:right="1701" w:bottom="1417" w:left="1701" w:header="708" w:footer="708" w:gutter="0"/>
          <w:cols w:space="708"/>
          <w:docGrid w:linePitch="360"/>
        </w:sectPr>
      </w:pPr>
    </w:p>
    <w:p w14:paraId="44ECF122" w14:textId="77777777" w:rsidR="008E00B7" w:rsidRPr="004577E8" w:rsidRDefault="008E00B7"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bookmarkStart w:id="4" w:name="_Hlk105772289"/>
      <w:r w:rsidRPr="004577E8">
        <w:rPr>
          <w:rFonts w:ascii="Times New Roman" w:hAnsi="Times New Roman" w:cs="Times New Roman"/>
          <w:b/>
          <w:color w:val="FFFFFF" w:themeColor="background1"/>
          <w:sz w:val="24"/>
          <w:szCs w:val="24"/>
        </w:rPr>
        <w:t xml:space="preserve">Ejecución de gastos relacionados </w:t>
      </w:r>
      <w:r w:rsidR="004A0389" w:rsidRPr="004577E8">
        <w:rPr>
          <w:rFonts w:ascii="Times New Roman" w:hAnsi="Times New Roman" w:cs="Times New Roman"/>
          <w:b/>
          <w:color w:val="FFFFFF" w:themeColor="background1"/>
          <w:sz w:val="24"/>
          <w:szCs w:val="24"/>
        </w:rPr>
        <w:t>a emergencias y calamidades públicas</w:t>
      </w:r>
    </w:p>
    <w:bookmarkEnd w:id="4"/>
    <w:p w14:paraId="50EB827D" w14:textId="77777777" w:rsidR="008E00B7" w:rsidRPr="00515068" w:rsidRDefault="008E00B7" w:rsidP="00C76B98">
      <w:pPr>
        <w:pStyle w:val="Sinespaciado"/>
        <w:rPr>
          <w:rFonts w:ascii="Times New Roman" w:hAnsi="Times New Roman" w:cs="Times New Roman"/>
          <w:color w:val="FF0000"/>
          <w:sz w:val="18"/>
          <w:szCs w:val="18"/>
        </w:rPr>
      </w:pPr>
    </w:p>
    <w:p w14:paraId="75F9C6C8" w14:textId="77777777" w:rsidR="008E00B7" w:rsidRPr="00515068" w:rsidRDefault="008E00B7" w:rsidP="008E00B7">
      <w:pPr>
        <w:spacing w:after="0"/>
        <w:rPr>
          <w:rFonts w:ascii="Times New Roman" w:hAnsi="Times New Roman" w:cs="Times New Roman"/>
          <w:color w:val="FF0000"/>
        </w:rPr>
        <w:sectPr w:rsidR="008E00B7" w:rsidRPr="00515068" w:rsidSect="00960BE9">
          <w:headerReference w:type="default" r:id="rId42"/>
          <w:footerReference w:type="default" r:id="rId43"/>
          <w:type w:val="continuous"/>
          <w:pgSz w:w="12240" w:h="15840"/>
          <w:pgMar w:top="1417" w:right="1701" w:bottom="1417" w:left="1701" w:header="708" w:footer="708" w:gutter="0"/>
          <w:cols w:space="708"/>
          <w:docGrid w:linePitch="360"/>
        </w:sectPr>
      </w:pPr>
    </w:p>
    <w:p w14:paraId="0A4BCA8A" w14:textId="77777777" w:rsidR="004577E8" w:rsidRDefault="004577E8" w:rsidP="004577E8">
      <w:pPr>
        <w:pStyle w:val="Sinespaciado"/>
        <w:jc w:val="both"/>
        <w:rPr>
          <w:rFonts w:ascii="Times New Roman" w:hAnsi="Times New Roman" w:cs="Times New Roman"/>
          <w:color w:val="FF0000"/>
        </w:rPr>
      </w:pPr>
      <w:r w:rsidRPr="00112F6C">
        <w:rPr>
          <w:rFonts w:ascii="Times New Roman" w:hAnsi="Times New Roman" w:cs="Times New Roman"/>
          <w:lang w:val="es-MX"/>
        </w:rPr>
        <w:t xml:space="preserve">Se le da </w:t>
      </w:r>
      <w:r w:rsidRPr="00112F6C">
        <w:rPr>
          <w:rFonts w:ascii="Times New Roman" w:hAnsi="Times New Roman" w:cs="Times New Roman"/>
        </w:rPr>
        <w:t>seguimiento a la ejecución del gasto relacionado a la pandemia COVID-19, dado que fue creado el programa específico para su seguimiento, durante</w:t>
      </w:r>
      <w:r>
        <w:rPr>
          <w:rFonts w:ascii="Times New Roman" w:hAnsi="Times New Roman" w:cs="Times New Roman"/>
        </w:rPr>
        <w:t xml:space="preserve"> el año se han ejecutado Q604.6 millones, correspondientes en su totalidad al Ministerio de Salud Pública y Asistencia Social.</w:t>
      </w:r>
      <w:r>
        <w:rPr>
          <w:rFonts w:ascii="Times New Roman" w:hAnsi="Times New Roman" w:cs="Times New Roman"/>
          <w:color w:val="FF0000"/>
        </w:rPr>
        <w:t xml:space="preserve"> </w:t>
      </w:r>
    </w:p>
    <w:p w14:paraId="18A5C88E" w14:textId="77777777" w:rsidR="004577E8" w:rsidRDefault="004577E8" w:rsidP="004577E8">
      <w:pPr>
        <w:pStyle w:val="Sinespaciado"/>
        <w:jc w:val="both"/>
        <w:rPr>
          <w:rFonts w:ascii="Times New Roman" w:hAnsi="Times New Roman" w:cs="Times New Roman"/>
          <w:color w:val="FF0000"/>
        </w:rPr>
      </w:pPr>
    </w:p>
    <w:p w14:paraId="2B0BC0CF" w14:textId="77777777" w:rsidR="004577E8" w:rsidRDefault="004577E8" w:rsidP="004577E8">
      <w:pPr>
        <w:spacing w:after="0" w:line="240" w:lineRule="auto"/>
        <w:ind w:right="213"/>
        <w:jc w:val="both"/>
        <w:rPr>
          <w:rFonts w:ascii="Times New Roman" w:hAnsi="Times New Roman" w:cs="Times New Roman"/>
        </w:rPr>
      </w:pPr>
      <w:r>
        <w:rPr>
          <w:rFonts w:ascii="Times New Roman" w:hAnsi="Times New Roman" w:cs="Times New Roman"/>
        </w:rPr>
        <w:t xml:space="preserve">Dentro de los gastos, se encuentran la vacuna COVID-19 con Q131.4 millones y los servicios de prevención y tratamiento de COVID-19 con Q473.2 millones.  </w:t>
      </w:r>
    </w:p>
    <w:p w14:paraId="7CF09B23" w14:textId="77777777" w:rsidR="004577E8" w:rsidRDefault="004577E8" w:rsidP="004577E8">
      <w:pPr>
        <w:spacing w:after="0" w:line="240" w:lineRule="auto"/>
        <w:ind w:right="213"/>
        <w:jc w:val="both"/>
        <w:rPr>
          <w:rFonts w:ascii="Times New Roman" w:hAnsi="Times New Roman" w:cs="Times New Roman"/>
        </w:rPr>
      </w:pPr>
    </w:p>
    <w:p w14:paraId="357C9B08" w14:textId="77777777" w:rsidR="006B4A2A" w:rsidRPr="00515068" w:rsidRDefault="004577E8" w:rsidP="004577E8">
      <w:pPr>
        <w:pStyle w:val="Sinespaciado"/>
        <w:jc w:val="both"/>
        <w:rPr>
          <w:rFonts w:ascii="Times New Roman" w:hAnsi="Times New Roman" w:cs="Times New Roman"/>
          <w:color w:val="FF0000"/>
        </w:rPr>
      </w:pPr>
      <w:r>
        <w:rPr>
          <w:rFonts w:ascii="Times New Roman" w:hAnsi="Times New Roman" w:cs="Times New Roman"/>
        </w:rPr>
        <w:t>Asimismo, el Ministerio de Desarrollo Social cuenta con un presupuesto de Q3.9 millones por intervenciones diversas por COVID-19, de las cuales aún no reporta ejecución.</w:t>
      </w:r>
    </w:p>
    <w:p w14:paraId="08544B91" w14:textId="091BBE5E" w:rsidR="00B77BCA" w:rsidRDefault="00B77BCA" w:rsidP="006B4A2A">
      <w:pPr>
        <w:pStyle w:val="Sinespaciado"/>
        <w:jc w:val="both"/>
        <w:rPr>
          <w:rFonts w:ascii="Times New Roman" w:hAnsi="Times New Roman" w:cs="Times New Roman"/>
        </w:rPr>
      </w:pPr>
    </w:p>
    <w:p w14:paraId="0862E0DD" w14:textId="6E554C68" w:rsidR="0011046F" w:rsidRDefault="0011046F" w:rsidP="006B4A2A">
      <w:pPr>
        <w:pStyle w:val="Sinespaciado"/>
        <w:jc w:val="both"/>
        <w:rPr>
          <w:rFonts w:ascii="Times New Roman" w:hAnsi="Times New Roman" w:cs="Times New Roman"/>
        </w:rPr>
      </w:pPr>
    </w:p>
    <w:p w14:paraId="59613248" w14:textId="77777777" w:rsidR="0011046F" w:rsidRPr="004577E8" w:rsidRDefault="0011046F" w:rsidP="006B4A2A">
      <w:pPr>
        <w:pStyle w:val="Sinespaciado"/>
        <w:jc w:val="both"/>
        <w:rPr>
          <w:rFonts w:ascii="Times New Roman" w:hAnsi="Times New Roman" w:cs="Times New Roman"/>
        </w:rPr>
      </w:pPr>
    </w:p>
    <w:p w14:paraId="24E39BFF" w14:textId="77777777" w:rsidR="006B4A2A" w:rsidRPr="004577E8" w:rsidRDefault="006B4A2A" w:rsidP="006B4A2A">
      <w:pPr>
        <w:pStyle w:val="Sinespaciado"/>
        <w:jc w:val="center"/>
        <w:rPr>
          <w:rFonts w:ascii="Times New Roman" w:hAnsi="Times New Roman" w:cs="Times New Roman"/>
          <w:b/>
        </w:rPr>
      </w:pPr>
      <w:r w:rsidRPr="004577E8">
        <w:rPr>
          <w:rFonts w:ascii="Times New Roman" w:hAnsi="Times New Roman" w:cs="Times New Roman"/>
          <w:b/>
        </w:rPr>
        <w:t>Ejecución de gastos por COVID-19</w:t>
      </w:r>
    </w:p>
    <w:p w14:paraId="4AE44075" w14:textId="77777777" w:rsidR="006B4A2A" w:rsidRPr="004577E8" w:rsidRDefault="006B4A2A" w:rsidP="006B4A2A">
      <w:pPr>
        <w:pStyle w:val="Sinespaciado"/>
        <w:jc w:val="center"/>
        <w:rPr>
          <w:rFonts w:ascii="Times New Roman" w:hAnsi="Times New Roman" w:cs="Times New Roman"/>
          <w:sz w:val="18"/>
          <w:szCs w:val="18"/>
        </w:rPr>
      </w:pPr>
      <w:r w:rsidRPr="004577E8">
        <w:rPr>
          <w:rFonts w:ascii="Times New Roman" w:hAnsi="Times New Roman" w:cs="Times New Roman"/>
          <w:sz w:val="18"/>
          <w:szCs w:val="18"/>
        </w:rPr>
        <w:t>Al 3</w:t>
      </w:r>
      <w:r w:rsidR="004577E8" w:rsidRPr="004577E8">
        <w:rPr>
          <w:rFonts w:ascii="Times New Roman" w:hAnsi="Times New Roman" w:cs="Times New Roman"/>
          <w:sz w:val="18"/>
          <w:szCs w:val="18"/>
        </w:rPr>
        <w:t>1</w:t>
      </w:r>
      <w:r w:rsidRPr="004577E8">
        <w:rPr>
          <w:rFonts w:ascii="Times New Roman" w:hAnsi="Times New Roman" w:cs="Times New Roman"/>
          <w:sz w:val="18"/>
          <w:szCs w:val="18"/>
        </w:rPr>
        <w:t xml:space="preserve"> de </w:t>
      </w:r>
      <w:r w:rsidR="004577E8" w:rsidRPr="004577E8">
        <w:rPr>
          <w:rFonts w:ascii="Times New Roman" w:hAnsi="Times New Roman" w:cs="Times New Roman"/>
          <w:sz w:val="18"/>
          <w:szCs w:val="18"/>
        </w:rPr>
        <w:t>mayo</w:t>
      </w:r>
      <w:r w:rsidRPr="004577E8">
        <w:rPr>
          <w:rFonts w:ascii="Times New Roman" w:hAnsi="Times New Roman" w:cs="Times New Roman"/>
          <w:sz w:val="18"/>
          <w:szCs w:val="18"/>
        </w:rPr>
        <w:t xml:space="preserve"> 2021-2022</w:t>
      </w:r>
    </w:p>
    <w:p w14:paraId="31899289" w14:textId="77777777" w:rsidR="006B4A2A" w:rsidRPr="004577E8" w:rsidRDefault="004577E8" w:rsidP="006B4A2A">
      <w:pPr>
        <w:spacing w:after="0" w:line="240" w:lineRule="auto"/>
        <w:ind w:right="213"/>
        <w:jc w:val="both"/>
        <w:rPr>
          <w:rFonts w:ascii="Times New Roman" w:hAnsi="Times New Roman" w:cs="Times New Roman"/>
        </w:rPr>
      </w:pPr>
      <w:r w:rsidRPr="004577E8">
        <w:rPr>
          <w:rFonts w:ascii="Times New Roman" w:hAnsi="Times New Roman" w:cs="Times New Roman"/>
          <w:noProof/>
          <w:lang w:eastAsia="es-GT"/>
        </w:rPr>
        <w:drawing>
          <wp:inline distT="0" distB="0" distL="0" distR="0" wp14:anchorId="48409A6D" wp14:editId="04717102">
            <wp:extent cx="2581275" cy="2115879"/>
            <wp:effectExtent l="0" t="0" r="0" b="0"/>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5C756EF" w14:textId="77777777" w:rsidR="006B4A2A" w:rsidRPr="004577E8" w:rsidRDefault="006B4A2A" w:rsidP="006B4A2A">
      <w:pPr>
        <w:spacing w:after="0" w:line="240" w:lineRule="auto"/>
        <w:jc w:val="both"/>
        <w:rPr>
          <w:rFonts w:ascii="Times New Roman" w:hAnsi="Times New Roman" w:cs="Times New Roman"/>
          <w:sz w:val="18"/>
        </w:rPr>
      </w:pPr>
      <w:r w:rsidRPr="004577E8">
        <w:rPr>
          <w:rFonts w:ascii="Times New Roman" w:hAnsi="Times New Roman" w:cs="Times New Roman"/>
          <w:sz w:val="16"/>
        </w:rPr>
        <w:t xml:space="preserve">Fuente: </w:t>
      </w:r>
      <w:r w:rsidRPr="004577E8">
        <w:rPr>
          <w:rFonts w:ascii="Times New Roman" w:hAnsi="Times New Roman" w:cs="Times New Roman"/>
          <w:sz w:val="18"/>
        </w:rPr>
        <w:t>Dirección de Análisis y Política Fiscal.</w:t>
      </w:r>
    </w:p>
    <w:p w14:paraId="4B5EB50A" w14:textId="77777777" w:rsidR="00776700" w:rsidRPr="00515068" w:rsidRDefault="00776700" w:rsidP="006B4A2A">
      <w:pPr>
        <w:pStyle w:val="Sinespaciado"/>
        <w:jc w:val="both"/>
        <w:rPr>
          <w:rFonts w:ascii="Times New Roman" w:hAnsi="Times New Roman" w:cs="Times New Roman"/>
          <w:color w:val="FF0000"/>
          <w:sz w:val="14"/>
        </w:rPr>
      </w:pPr>
      <w:r w:rsidRPr="00515068">
        <w:rPr>
          <w:rFonts w:ascii="Times New Roman" w:hAnsi="Times New Roman" w:cs="Times New Roman"/>
          <w:color w:val="FF0000"/>
          <w:sz w:val="14"/>
        </w:rPr>
        <w:t xml:space="preserve"> </w:t>
      </w:r>
    </w:p>
    <w:p w14:paraId="0B540C8A" w14:textId="77777777" w:rsidR="004577E8" w:rsidRDefault="004577E8" w:rsidP="004577E8">
      <w:pPr>
        <w:pStyle w:val="Sinespaciado"/>
        <w:ind w:right="71"/>
        <w:jc w:val="both"/>
        <w:rPr>
          <w:rFonts w:ascii="Times New Roman" w:hAnsi="Times New Roman" w:cs="Times New Roman"/>
        </w:rPr>
      </w:pPr>
      <w:r>
        <w:rPr>
          <w:rFonts w:ascii="Times New Roman" w:hAnsi="Times New Roman" w:cs="Times New Roman"/>
        </w:rPr>
        <w:t xml:space="preserve">Derivado de los esfuerzos antes mencionados, al cierre de mayo de acuerdo al tablero de seguimiento de COVID-19 del MSPAS, se </w:t>
      </w:r>
      <w:r>
        <w:rPr>
          <w:rFonts w:ascii="Times New Roman" w:hAnsi="Times New Roman" w:cs="Times New Roman"/>
        </w:rPr>
        <w:lastRenderedPageBreak/>
        <w:t xml:space="preserve">han administrado alrededor de 17.6 millones de dosis, de las cuales 8.3 millones corresponden a primera dosis, 6.3 millones corresponden a segunda dosis, 3.0 millones corresponden a la dosis de refuerzo. Por su parte, ha iniciado la vacunación con segunda dosis de refuerzo, de las cuales hay 104,181 personas vacunadas </w:t>
      </w:r>
    </w:p>
    <w:p w14:paraId="3271BDAF" w14:textId="77777777" w:rsidR="004577E8" w:rsidRDefault="004577E8" w:rsidP="004577E8">
      <w:pPr>
        <w:pStyle w:val="Sinespaciado"/>
        <w:ind w:right="71"/>
        <w:jc w:val="both"/>
        <w:rPr>
          <w:rFonts w:ascii="Times New Roman" w:hAnsi="Times New Roman" w:cs="Times New Roman"/>
        </w:rPr>
      </w:pPr>
    </w:p>
    <w:p w14:paraId="5086BB37" w14:textId="77777777" w:rsidR="004577E8" w:rsidRDefault="004577E8" w:rsidP="004577E8">
      <w:pPr>
        <w:pStyle w:val="Sinespaciado"/>
        <w:ind w:right="71"/>
        <w:jc w:val="both"/>
        <w:rPr>
          <w:rFonts w:ascii="Times New Roman" w:hAnsi="Times New Roman" w:cs="Times New Roman"/>
        </w:rPr>
      </w:pPr>
      <w:r>
        <w:rPr>
          <w:rFonts w:ascii="Times New Roman" w:hAnsi="Times New Roman" w:cs="Times New Roman"/>
        </w:rPr>
        <w:t xml:space="preserve">De la primera dosis, el 42.8% corresponde a Moderna, 24.6% a Astrazeneca, 19.1% a Sputnik y 13.6% a Pfizer, lo cual corresponde a donaciones y compras hechas por el gobierno de Guatemala. </w:t>
      </w:r>
    </w:p>
    <w:p w14:paraId="5BC9023F" w14:textId="77777777" w:rsidR="004577E8" w:rsidRDefault="004577E8" w:rsidP="004577E8">
      <w:pPr>
        <w:pStyle w:val="Sinespaciado"/>
        <w:ind w:right="71"/>
        <w:jc w:val="both"/>
        <w:rPr>
          <w:rFonts w:ascii="Times New Roman" w:hAnsi="Times New Roman" w:cs="Times New Roman"/>
        </w:rPr>
      </w:pPr>
    </w:p>
    <w:p w14:paraId="49681FD9" w14:textId="77777777" w:rsidR="00B77BCA" w:rsidRPr="00515068" w:rsidRDefault="004577E8" w:rsidP="004577E8">
      <w:pPr>
        <w:pStyle w:val="Sinespaciado"/>
        <w:jc w:val="both"/>
        <w:rPr>
          <w:rFonts w:ascii="Times New Roman" w:hAnsi="Times New Roman" w:cs="Times New Roman"/>
          <w:color w:val="FF0000"/>
        </w:rPr>
      </w:pPr>
      <w:r>
        <w:rPr>
          <w:rFonts w:ascii="Times New Roman" w:hAnsi="Times New Roman" w:cs="Times New Roman"/>
        </w:rPr>
        <w:t>Esto es relevante dado que en la vacunación se reflejan los esfuerzos del gobierno por asegurar la salud de los guatemaltecos ante los efectos de la pandemia COVID-19.</w:t>
      </w:r>
    </w:p>
    <w:p w14:paraId="3A9AB66D" w14:textId="77777777" w:rsidR="00B77BCA" w:rsidRPr="00515068" w:rsidRDefault="00B77BCA" w:rsidP="00B77BCA">
      <w:pPr>
        <w:pStyle w:val="Sinespaciado"/>
        <w:jc w:val="both"/>
        <w:rPr>
          <w:rFonts w:ascii="Times New Roman" w:hAnsi="Times New Roman" w:cs="Times New Roman"/>
          <w:color w:val="FF0000"/>
          <w:sz w:val="14"/>
          <w:szCs w:val="14"/>
        </w:rPr>
      </w:pPr>
    </w:p>
    <w:p w14:paraId="5C555155" w14:textId="77777777" w:rsidR="00776700" w:rsidRPr="004577E8" w:rsidRDefault="00776700" w:rsidP="00776700">
      <w:pPr>
        <w:pStyle w:val="Sinespaciado"/>
        <w:ind w:right="213"/>
        <w:jc w:val="center"/>
        <w:rPr>
          <w:rFonts w:ascii="Times New Roman" w:hAnsi="Times New Roman" w:cs="Times New Roman"/>
          <w:b/>
        </w:rPr>
      </w:pPr>
      <w:r w:rsidRPr="004577E8">
        <w:rPr>
          <w:rFonts w:ascii="Times New Roman" w:hAnsi="Times New Roman" w:cs="Times New Roman"/>
          <w:b/>
        </w:rPr>
        <w:t>Cantidad de dosis aplicadas y tipo de vacuna</w:t>
      </w:r>
    </w:p>
    <w:p w14:paraId="501E0CA2" w14:textId="77777777" w:rsidR="00776700" w:rsidRPr="004577E8" w:rsidRDefault="004577E8" w:rsidP="00776700">
      <w:pPr>
        <w:pStyle w:val="Sinespaciado"/>
        <w:ind w:right="213"/>
        <w:jc w:val="center"/>
        <w:rPr>
          <w:rFonts w:ascii="Times New Roman" w:hAnsi="Times New Roman" w:cs="Times New Roman"/>
          <w:sz w:val="18"/>
        </w:rPr>
      </w:pPr>
      <w:r w:rsidRPr="004577E8">
        <w:rPr>
          <w:noProof/>
          <w:lang w:eastAsia="es-GT"/>
        </w:rPr>
        <w:drawing>
          <wp:anchor distT="0" distB="0" distL="114300" distR="114300" simplePos="0" relativeHeight="251792384" behindDoc="0" locked="0" layoutInCell="1" allowOverlap="1" wp14:anchorId="1F279450" wp14:editId="4C719641">
            <wp:simplePos x="0" y="0"/>
            <wp:positionH relativeFrom="column">
              <wp:posOffset>54591</wp:posOffset>
            </wp:positionH>
            <wp:positionV relativeFrom="paragraph">
              <wp:posOffset>124328</wp:posOffset>
            </wp:positionV>
            <wp:extent cx="2581275" cy="1929777"/>
            <wp:effectExtent l="0" t="0" r="0" b="0"/>
            <wp:wrapNone/>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776700" w:rsidRPr="004577E8">
        <w:rPr>
          <w:rFonts w:ascii="Times New Roman" w:hAnsi="Times New Roman" w:cs="Times New Roman"/>
          <w:sz w:val="18"/>
        </w:rPr>
        <w:t>Cifras en millones y porcentajes</w:t>
      </w:r>
    </w:p>
    <w:p w14:paraId="2BD78C21" w14:textId="77777777" w:rsidR="004577E8" w:rsidRPr="004577E8" w:rsidRDefault="004577E8" w:rsidP="00776700">
      <w:pPr>
        <w:pStyle w:val="Sinespaciado"/>
        <w:ind w:right="213"/>
        <w:jc w:val="center"/>
        <w:rPr>
          <w:rFonts w:ascii="Times New Roman" w:hAnsi="Times New Roman" w:cs="Times New Roman"/>
          <w:sz w:val="18"/>
        </w:rPr>
      </w:pPr>
    </w:p>
    <w:p w14:paraId="07278956" w14:textId="77777777" w:rsidR="004577E8" w:rsidRPr="004577E8" w:rsidRDefault="004577E8" w:rsidP="00776700">
      <w:pPr>
        <w:pStyle w:val="Sinespaciado"/>
        <w:ind w:right="213"/>
        <w:jc w:val="center"/>
        <w:rPr>
          <w:rFonts w:ascii="Times New Roman" w:hAnsi="Times New Roman" w:cs="Times New Roman"/>
          <w:sz w:val="18"/>
        </w:rPr>
      </w:pPr>
    </w:p>
    <w:p w14:paraId="12CC5654" w14:textId="77777777" w:rsidR="004577E8" w:rsidRPr="004577E8" w:rsidRDefault="004577E8" w:rsidP="00776700">
      <w:pPr>
        <w:pStyle w:val="Sinespaciado"/>
        <w:ind w:right="213"/>
        <w:jc w:val="center"/>
        <w:rPr>
          <w:rFonts w:ascii="Times New Roman" w:hAnsi="Times New Roman" w:cs="Times New Roman"/>
          <w:sz w:val="18"/>
        </w:rPr>
      </w:pPr>
    </w:p>
    <w:p w14:paraId="44187CD4" w14:textId="77777777" w:rsidR="004577E8" w:rsidRPr="004577E8" w:rsidRDefault="004577E8" w:rsidP="00776700">
      <w:pPr>
        <w:pStyle w:val="Sinespaciado"/>
        <w:ind w:right="213"/>
        <w:jc w:val="center"/>
        <w:rPr>
          <w:rFonts w:ascii="Times New Roman" w:hAnsi="Times New Roman" w:cs="Times New Roman"/>
          <w:sz w:val="18"/>
        </w:rPr>
      </w:pPr>
    </w:p>
    <w:p w14:paraId="7A79A036" w14:textId="77777777" w:rsidR="006B4A2A" w:rsidRPr="004577E8" w:rsidRDefault="006B4A2A" w:rsidP="00776700">
      <w:pPr>
        <w:pStyle w:val="Sinespaciado"/>
        <w:ind w:right="213"/>
        <w:jc w:val="center"/>
        <w:rPr>
          <w:rFonts w:ascii="Times New Roman" w:hAnsi="Times New Roman" w:cs="Times New Roman"/>
          <w:sz w:val="18"/>
        </w:rPr>
      </w:pPr>
    </w:p>
    <w:p w14:paraId="27043799" w14:textId="77777777" w:rsidR="006B4A2A" w:rsidRPr="004577E8" w:rsidRDefault="006B4A2A" w:rsidP="00776700">
      <w:pPr>
        <w:pStyle w:val="Sinespaciado"/>
        <w:ind w:right="213"/>
        <w:jc w:val="center"/>
        <w:rPr>
          <w:rFonts w:ascii="Times New Roman" w:hAnsi="Times New Roman" w:cs="Times New Roman"/>
          <w:sz w:val="18"/>
        </w:rPr>
      </w:pPr>
    </w:p>
    <w:p w14:paraId="67D5A559" w14:textId="77777777" w:rsidR="006B4A2A" w:rsidRPr="004577E8" w:rsidRDefault="006B4A2A" w:rsidP="00776700">
      <w:pPr>
        <w:pStyle w:val="Sinespaciado"/>
        <w:ind w:right="213"/>
        <w:jc w:val="center"/>
        <w:rPr>
          <w:rFonts w:ascii="Times New Roman" w:hAnsi="Times New Roman" w:cs="Times New Roman"/>
          <w:sz w:val="18"/>
        </w:rPr>
      </w:pPr>
    </w:p>
    <w:p w14:paraId="0A352D17" w14:textId="77777777" w:rsidR="001A7D31" w:rsidRPr="004577E8" w:rsidRDefault="001A7D31" w:rsidP="00776700">
      <w:pPr>
        <w:pStyle w:val="Sinespaciado"/>
        <w:ind w:right="213"/>
        <w:jc w:val="center"/>
        <w:rPr>
          <w:rFonts w:ascii="Times New Roman" w:hAnsi="Times New Roman" w:cs="Times New Roman"/>
          <w:sz w:val="18"/>
        </w:rPr>
      </w:pPr>
    </w:p>
    <w:p w14:paraId="350F7218" w14:textId="77777777" w:rsidR="001A7D31" w:rsidRPr="004577E8" w:rsidRDefault="001A7D31" w:rsidP="00776700">
      <w:pPr>
        <w:pStyle w:val="Sinespaciado"/>
        <w:ind w:right="213"/>
        <w:jc w:val="center"/>
        <w:rPr>
          <w:rFonts w:ascii="Times New Roman" w:hAnsi="Times New Roman" w:cs="Times New Roman"/>
          <w:sz w:val="18"/>
        </w:rPr>
      </w:pPr>
    </w:p>
    <w:p w14:paraId="2C98D90A" w14:textId="77777777" w:rsidR="001A7D31" w:rsidRPr="004577E8" w:rsidRDefault="001A7D31" w:rsidP="00776700">
      <w:pPr>
        <w:pStyle w:val="Sinespaciado"/>
        <w:ind w:right="213"/>
        <w:jc w:val="center"/>
        <w:rPr>
          <w:rFonts w:ascii="Times New Roman" w:hAnsi="Times New Roman" w:cs="Times New Roman"/>
          <w:sz w:val="18"/>
        </w:rPr>
      </w:pPr>
    </w:p>
    <w:p w14:paraId="7ECB11B2" w14:textId="77777777" w:rsidR="001A7D31" w:rsidRPr="004577E8" w:rsidRDefault="001A7D31" w:rsidP="00776700">
      <w:pPr>
        <w:pStyle w:val="Sinespaciado"/>
        <w:ind w:right="213"/>
        <w:jc w:val="center"/>
        <w:rPr>
          <w:rFonts w:ascii="Times New Roman" w:hAnsi="Times New Roman" w:cs="Times New Roman"/>
          <w:sz w:val="18"/>
        </w:rPr>
      </w:pPr>
    </w:p>
    <w:p w14:paraId="4F72DB4A" w14:textId="77777777" w:rsidR="001A7D31" w:rsidRPr="004577E8" w:rsidRDefault="001A7D31" w:rsidP="00776700">
      <w:pPr>
        <w:pStyle w:val="Sinespaciado"/>
        <w:ind w:right="213"/>
        <w:jc w:val="center"/>
        <w:rPr>
          <w:rFonts w:ascii="Times New Roman" w:hAnsi="Times New Roman" w:cs="Times New Roman"/>
          <w:sz w:val="18"/>
        </w:rPr>
      </w:pPr>
    </w:p>
    <w:p w14:paraId="04538904" w14:textId="77777777" w:rsidR="001A7D31" w:rsidRPr="004577E8" w:rsidRDefault="001A7D31" w:rsidP="00776700">
      <w:pPr>
        <w:pStyle w:val="Sinespaciado"/>
        <w:ind w:right="213"/>
        <w:jc w:val="center"/>
        <w:rPr>
          <w:rFonts w:ascii="Times New Roman" w:hAnsi="Times New Roman" w:cs="Times New Roman"/>
          <w:sz w:val="18"/>
        </w:rPr>
      </w:pPr>
    </w:p>
    <w:p w14:paraId="13BC1DD8" w14:textId="77777777" w:rsidR="00B77BCA" w:rsidRPr="004577E8" w:rsidRDefault="00B77BCA" w:rsidP="00112F6C">
      <w:pPr>
        <w:spacing w:after="0" w:line="240" w:lineRule="auto"/>
        <w:jc w:val="both"/>
        <w:rPr>
          <w:rFonts w:ascii="Times New Roman" w:hAnsi="Times New Roman" w:cs="Times New Roman"/>
          <w:sz w:val="18"/>
          <w:szCs w:val="18"/>
        </w:rPr>
      </w:pPr>
    </w:p>
    <w:p w14:paraId="32D1B492" w14:textId="77777777" w:rsidR="00B77BCA" w:rsidRPr="004577E8" w:rsidRDefault="00B77BCA" w:rsidP="00112F6C">
      <w:pPr>
        <w:spacing w:after="0" w:line="240" w:lineRule="auto"/>
        <w:jc w:val="both"/>
        <w:rPr>
          <w:rFonts w:ascii="Times New Roman" w:hAnsi="Times New Roman" w:cs="Times New Roman"/>
          <w:sz w:val="18"/>
          <w:szCs w:val="18"/>
        </w:rPr>
      </w:pPr>
    </w:p>
    <w:p w14:paraId="32091B5C" w14:textId="77777777" w:rsidR="00776700" w:rsidRPr="004577E8" w:rsidRDefault="00112F6C" w:rsidP="00112F6C">
      <w:pPr>
        <w:spacing w:after="0" w:line="240" w:lineRule="auto"/>
        <w:jc w:val="both"/>
        <w:rPr>
          <w:rFonts w:ascii="Times New Roman" w:hAnsi="Times New Roman" w:cs="Times New Roman"/>
          <w:sz w:val="16"/>
          <w:szCs w:val="18"/>
        </w:rPr>
      </w:pPr>
      <w:r w:rsidRPr="004577E8">
        <w:rPr>
          <w:rFonts w:ascii="Times New Roman" w:hAnsi="Times New Roman" w:cs="Times New Roman"/>
          <w:sz w:val="16"/>
          <w:szCs w:val="18"/>
        </w:rPr>
        <w:t xml:space="preserve">Fuente: Dirección de Análisis y Política Fiscal, en base a información del </w:t>
      </w:r>
      <w:r w:rsidR="00776700" w:rsidRPr="004577E8">
        <w:rPr>
          <w:rFonts w:ascii="Times New Roman" w:hAnsi="Times New Roman" w:cs="Times New Roman"/>
          <w:sz w:val="16"/>
          <w:szCs w:val="18"/>
        </w:rPr>
        <w:t>Ministerio de Salud Pública y Asistencia Social</w:t>
      </w:r>
      <w:r w:rsidR="004577E8">
        <w:rPr>
          <w:rFonts w:ascii="Times New Roman" w:hAnsi="Times New Roman" w:cs="Times New Roman"/>
          <w:sz w:val="16"/>
          <w:szCs w:val="18"/>
        </w:rPr>
        <w:t>.</w:t>
      </w:r>
      <w:r w:rsidR="00776700" w:rsidRPr="004577E8">
        <w:rPr>
          <w:rFonts w:ascii="Times New Roman" w:hAnsi="Times New Roman" w:cs="Times New Roman"/>
          <w:sz w:val="16"/>
          <w:szCs w:val="18"/>
        </w:rPr>
        <w:t xml:space="preserve"> </w:t>
      </w:r>
    </w:p>
    <w:p w14:paraId="226B557E" w14:textId="77777777" w:rsidR="004577E8" w:rsidRDefault="004577E8" w:rsidP="004577E8">
      <w:pPr>
        <w:spacing w:after="0" w:line="240" w:lineRule="auto"/>
        <w:jc w:val="both"/>
        <w:rPr>
          <w:rFonts w:ascii="Times New Roman" w:hAnsi="Times New Roman" w:cs="Times New Roman"/>
          <w:color w:val="FF0000"/>
        </w:rPr>
      </w:pPr>
    </w:p>
    <w:p w14:paraId="0ABB77AD" w14:textId="77777777" w:rsidR="004577E8" w:rsidRDefault="004577E8" w:rsidP="004577E8">
      <w:pPr>
        <w:spacing w:line="240" w:lineRule="auto"/>
        <w:jc w:val="both"/>
        <w:rPr>
          <w:rFonts w:ascii="Times New Roman" w:hAnsi="Times New Roman" w:cs="Times New Roman"/>
        </w:rPr>
      </w:pPr>
      <w:r>
        <w:rPr>
          <w:rFonts w:ascii="Times New Roman" w:hAnsi="Times New Roman" w:cs="Times New Roman"/>
        </w:rPr>
        <w:t>Resalta que en mayo continúo ampliándose el número de personas vacunadas de los 6 a 11 años alcanzando al 22.7% de este grupo etario, mientras que el grupo de 12 a 17 años continúo aplicándose la dosis de refuerzo.</w:t>
      </w:r>
    </w:p>
    <w:p w14:paraId="54EAE477" w14:textId="77777777" w:rsidR="004577E8" w:rsidRPr="00DB72E9" w:rsidRDefault="004577E8" w:rsidP="004577E8">
      <w:pPr>
        <w:spacing w:line="240" w:lineRule="auto"/>
        <w:jc w:val="both"/>
        <w:rPr>
          <w:rFonts w:ascii="Times New Roman" w:hAnsi="Times New Roman" w:cs="Times New Roman"/>
        </w:rPr>
      </w:pPr>
      <w:r>
        <w:rPr>
          <w:rFonts w:ascii="Times New Roman" w:hAnsi="Times New Roman" w:cs="Times New Roman"/>
        </w:rPr>
        <w:t xml:space="preserve">Según los lineamientos establecidos en el Programa de Inmunizaciones la cuarta dosis (2da dosis de refuerzo) se encuentra habilitada exclusivamente para el personal sanitario, personas de 50 años en adelante sin excepciones y población de 12 años o más con enfermedades crónicas o con </w:t>
      </w:r>
      <w:r>
        <w:rPr>
          <w:rFonts w:ascii="Times New Roman" w:hAnsi="Times New Roman" w:cs="Times New Roman"/>
        </w:rPr>
        <w:t>inmunosupresión,</w:t>
      </w:r>
      <w:r w:rsidRPr="00DB72E9">
        <w:rPr>
          <w:rFonts w:ascii="Times New Roman" w:hAnsi="Times New Roman" w:cs="Times New Roman"/>
        </w:rPr>
        <w:t xml:space="preserve"> siendo 4 meses el período de intervalo entre la tercera y cuarta dosis.</w:t>
      </w:r>
    </w:p>
    <w:p w14:paraId="524B810C" w14:textId="77777777" w:rsidR="00776700" w:rsidRPr="00515068" w:rsidRDefault="004577E8" w:rsidP="004577E8">
      <w:pPr>
        <w:pStyle w:val="Sinespaciado"/>
        <w:ind w:right="-46"/>
        <w:jc w:val="both"/>
        <w:rPr>
          <w:rFonts w:ascii="Times New Roman" w:hAnsi="Times New Roman" w:cs="Times New Roman"/>
          <w:color w:val="FF0000"/>
        </w:rPr>
      </w:pPr>
      <w:r>
        <w:rPr>
          <w:rFonts w:ascii="Times New Roman" w:hAnsi="Times New Roman" w:cs="Times New Roman"/>
        </w:rPr>
        <w:t>Al analizar las cifras de personas vacunadas por grupo etario resalta que el mayor grupo de vacunados de primera, segunda dosis y refuerzo se encuentra en los mayores de 60 años, mientras que los menos vacunados son los de 6 a 11 años, derivado que fue el último grupo en contar con autorización para iniciar su proceso de vacunación, por medio del Acuerdo Ministerial 94-2022, donde se emite la sexta adenda al plan nacional de vacunación contra la COVID-19. El mismo Acuerdo Ministerial autoriza la dosis de refuerzo para los de 12 a 17 años.</w:t>
      </w:r>
    </w:p>
    <w:p w14:paraId="35A27EB4" w14:textId="77777777" w:rsidR="004A0389" w:rsidRPr="00515068" w:rsidRDefault="004A0389" w:rsidP="00D22BC7">
      <w:pPr>
        <w:pStyle w:val="Sinespaciado"/>
        <w:ind w:right="-46"/>
        <w:jc w:val="both"/>
        <w:rPr>
          <w:rFonts w:ascii="Times New Roman" w:hAnsi="Times New Roman" w:cs="Times New Roman"/>
          <w:color w:val="FF0000"/>
          <w:sz w:val="6"/>
          <w:szCs w:val="6"/>
        </w:rPr>
      </w:pPr>
    </w:p>
    <w:p w14:paraId="35E394F6" w14:textId="77777777" w:rsidR="00DF6AE8" w:rsidRPr="001042A3" w:rsidRDefault="00DF6AE8" w:rsidP="00DF6AE8">
      <w:pPr>
        <w:pStyle w:val="Sinespaciado"/>
        <w:ind w:right="213"/>
        <w:jc w:val="center"/>
        <w:rPr>
          <w:rFonts w:ascii="Times New Roman" w:hAnsi="Times New Roman" w:cs="Times New Roman"/>
          <w:b/>
        </w:rPr>
      </w:pPr>
      <w:r w:rsidRPr="001042A3">
        <w:rPr>
          <w:rFonts w:ascii="Times New Roman" w:hAnsi="Times New Roman" w:cs="Times New Roman"/>
          <w:b/>
        </w:rPr>
        <w:t>Porcentaje de vacunados por grupo etario</w:t>
      </w:r>
    </w:p>
    <w:p w14:paraId="76D66579" w14:textId="77777777" w:rsidR="00DF6AE8" w:rsidRPr="001042A3" w:rsidRDefault="00DF6AE8" w:rsidP="00DF6AE8">
      <w:pPr>
        <w:pStyle w:val="Sinespaciado"/>
        <w:ind w:right="213"/>
        <w:jc w:val="center"/>
        <w:rPr>
          <w:rFonts w:ascii="Times New Roman" w:hAnsi="Times New Roman" w:cs="Times New Roman"/>
          <w:sz w:val="18"/>
        </w:rPr>
      </w:pPr>
      <w:r w:rsidRPr="001042A3">
        <w:rPr>
          <w:rFonts w:ascii="Times New Roman" w:hAnsi="Times New Roman" w:cs="Times New Roman"/>
          <w:sz w:val="18"/>
        </w:rPr>
        <w:t>Cifras en porcentajes</w:t>
      </w:r>
    </w:p>
    <w:p w14:paraId="19FFD76F" w14:textId="77777777" w:rsidR="004577E8" w:rsidRPr="001042A3" w:rsidRDefault="004577E8" w:rsidP="00DF6AE8">
      <w:pPr>
        <w:pStyle w:val="Sinespaciado"/>
        <w:ind w:right="213"/>
        <w:jc w:val="center"/>
        <w:rPr>
          <w:rFonts w:ascii="Times New Roman" w:hAnsi="Times New Roman" w:cs="Times New Roman"/>
          <w:sz w:val="18"/>
        </w:rPr>
      </w:pPr>
      <w:r w:rsidRPr="001042A3">
        <w:rPr>
          <w:noProof/>
          <w:lang w:eastAsia="es-GT"/>
        </w:rPr>
        <w:drawing>
          <wp:anchor distT="0" distB="0" distL="114300" distR="114300" simplePos="0" relativeHeight="251794432" behindDoc="0" locked="0" layoutInCell="1" allowOverlap="1" wp14:anchorId="3C9E299C" wp14:editId="1AAF1207">
            <wp:simplePos x="0" y="0"/>
            <wp:positionH relativeFrom="column">
              <wp:posOffset>-3810</wp:posOffset>
            </wp:positionH>
            <wp:positionV relativeFrom="paragraph">
              <wp:posOffset>23495</wp:posOffset>
            </wp:positionV>
            <wp:extent cx="2581275" cy="1819275"/>
            <wp:effectExtent l="0" t="0" r="0" b="0"/>
            <wp:wrapNone/>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06F87633" w14:textId="77777777" w:rsidR="004577E8" w:rsidRPr="001042A3" w:rsidRDefault="004577E8" w:rsidP="00DF6AE8">
      <w:pPr>
        <w:pStyle w:val="Sinespaciado"/>
        <w:ind w:right="213"/>
        <w:jc w:val="center"/>
        <w:rPr>
          <w:rFonts w:ascii="Times New Roman" w:hAnsi="Times New Roman" w:cs="Times New Roman"/>
          <w:sz w:val="18"/>
        </w:rPr>
      </w:pPr>
    </w:p>
    <w:p w14:paraId="04DB30D6" w14:textId="77777777" w:rsidR="004577E8" w:rsidRPr="001042A3" w:rsidRDefault="004577E8" w:rsidP="00DF6AE8">
      <w:pPr>
        <w:pStyle w:val="Sinespaciado"/>
        <w:ind w:right="213"/>
        <w:jc w:val="center"/>
        <w:rPr>
          <w:rFonts w:ascii="Times New Roman" w:hAnsi="Times New Roman" w:cs="Times New Roman"/>
          <w:sz w:val="18"/>
        </w:rPr>
      </w:pPr>
    </w:p>
    <w:p w14:paraId="67ED3EF5" w14:textId="77777777" w:rsidR="004577E8" w:rsidRPr="001042A3" w:rsidRDefault="004577E8" w:rsidP="00DF6AE8">
      <w:pPr>
        <w:pStyle w:val="Sinespaciado"/>
        <w:ind w:right="213"/>
        <w:jc w:val="center"/>
        <w:rPr>
          <w:rFonts w:ascii="Times New Roman" w:hAnsi="Times New Roman" w:cs="Times New Roman"/>
          <w:sz w:val="18"/>
        </w:rPr>
      </w:pPr>
    </w:p>
    <w:p w14:paraId="13952635" w14:textId="77777777" w:rsidR="004577E8" w:rsidRPr="001042A3" w:rsidRDefault="004577E8" w:rsidP="00DF6AE8">
      <w:pPr>
        <w:pStyle w:val="Sinespaciado"/>
        <w:ind w:right="213"/>
        <w:jc w:val="center"/>
        <w:rPr>
          <w:rFonts w:ascii="Times New Roman" w:hAnsi="Times New Roman" w:cs="Times New Roman"/>
          <w:sz w:val="18"/>
        </w:rPr>
      </w:pPr>
    </w:p>
    <w:p w14:paraId="5BE773A1" w14:textId="77777777" w:rsidR="004577E8" w:rsidRPr="001042A3" w:rsidRDefault="004577E8" w:rsidP="00DF6AE8">
      <w:pPr>
        <w:pStyle w:val="Sinespaciado"/>
        <w:ind w:right="213"/>
        <w:jc w:val="center"/>
        <w:rPr>
          <w:rFonts w:ascii="Times New Roman" w:hAnsi="Times New Roman" w:cs="Times New Roman"/>
          <w:sz w:val="18"/>
        </w:rPr>
      </w:pPr>
    </w:p>
    <w:p w14:paraId="594BC00D" w14:textId="77777777" w:rsidR="004577E8" w:rsidRPr="001042A3" w:rsidRDefault="004577E8" w:rsidP="00DF6AE8">
      <w:pPr>
        <w:pStyle w:val="Sinespaciado"/>
        <w:ind w:right="213"/>
        <w:jc w:val="center"/>
        <w:rPr>
          <w:rFonts w:ascii="Times New Roman" w:hAnsi="Times New Roman" w:cs="Times New Roman"/>
          <w:sz w:val="18"/>
        </w:rPr>
      </w:pPr>
    </w:p>
    <w:p w14:paraId="4A13A763" w14:textId="77777777" w:rsidR="004577E8" w:rsidRPr="001042A3" w:rsidRDefault="004577E8" w:rsidP="00DF6AE8">
      <w:pPr>
        <w:pStyle w:val="Sinespaciado"/>
        <w:ind w:right="213"/>
        <w:jc w:val="center"/>
        <w:rPr>
          <w:rFonts w:ascii="Times New Roman" w:hAnsi="Times New Roman" w:cs="Times New Roman"/>
          <w:sz w:val="18"/>
        </w:rPr>
      </w:pPr>
    </w:p>
    <w:p w14:paraId="6F0953AF" w14:textId="77777777" w:rsidR="004577E8" w:rsidRPr="001042A3" w:rsidRDefault="004577E8" w:rsidP="00DF6AE8">
      <w:pPr>
        <w:pStyle w:val="Sinespaciado"/>
        <w:ind w:right="213"/>
        <w:jc w:val="center"/>
        <w:rPr>
          <w:rFonts w:ascii="Times New Roman" w:hAnsi="Times New Roman" w:cs="Times New Roman"/>
          <w:sz w:val="18"/>
        </w:rPr>
      </w:pPr>
    </w:p>
    <w:p w14:paraId="53DC4ECB" w14:textId="77777777" w:rsidR="004577E8" w:rsidRPr="001042A3" w:rsidRDefault="004577E8" w:rsidP="00DF6AE8">
      <w:pPr>
        <w:pStyle w:val="Sinespaciado"/>
        <w:ind w:right="213"/>
        <w:jc w:val="center"/>
        <w:rPr>
          <w:rFonts w:ascii="Times New Roman" w:hAnsi="Times New Roman" w:cs="Times New Roman"/>
          <w:sz w:val="18"/>
        </w:rPr>
      </w:pPr>
    </w:p>
    <w:p w14:paraId="45C7A314" w14:textId="77777777" w:rsidR="001A7D31" w:rsidRDefault="001A7D31" w:rsidP="001042A3">
      <w:pPr>
        <w:pStyle w:val="Sinespaciado"/>
        <w:ind w:right="213"/>
        <w:rPr>
          <w:rFonts w:ascii="Times New Roman" w:hAnsi="Times New Roman" w:cs="Times New Roman"/>
          <w:sz w:val="18"/>
        </w:rPr>
      </w:pPr>
    </w:p>
    <w:p w14:paraId="16C80E3C" w14:textId="77777777" w:rsidR="001042A3" w:rsidRDefault="001042A3" w:rsidP="001042A3">
      <w:pPr>
        <w:pStyle w:val="Sinespaciado"/>
        <w:ind w:right="213"/>
        <w:rPr>
          <w:rFonts w:ascii="Times New Roman" w:hAnsi="Times New Roman" w:cs="Times New Roman"/>
          <w:sz w:val="18"/>
        </w:rPr>
      </w:pPr>
    </w:p>
    <w:p w14:paraId="13D6D0B7" w14:textId="77777777" w:rsidR="001042A3" w:rsidRDefault="001042A3" w:rsidP="001042A3">
      <w:pPr>
        <w:pStyle w:val="Sinespaciado"/>
        <w:ind w:right="213"/>
        <w:rPr>
          <w:rFonts w:ascii="Times New Roman" w:hAnsi="Times New Roman" w:cs="Times New Roman"/>
          <w:sz w:val="18"/>
        </w:rPr>
      </w:pPr>
    </w:p>
    <w:p w14:paraId="3311C9CF" w14:textId="77777777" w:rsidR="001042A3" w:rsidRDefault="001042A3" w:rsidP="001042A3">
      <w:pPr>
        <w:pStyle w:val="Sinespaciado"/>
        <w:ind w:right="213"/>
        <w:rPr>
          <w:rFonts w:ascii="Times New Roman" w:hAnsi="Times New Roman" w:cs="Times New Roman"/>
          <w:sz w:val="18"/>
        </w:rPr>
      </w:pPr>
    </w:p>
    <w:p w14:paraId="4C77CF0F" w14:textId="77777777" w:rsidR="00112F6C" w:rsidRPr="001042A3" w:rsidRDefault="00112F6C" w:rsidP="00112F6C">
      <w:pPr>
        <w:spacing w:after="0" w:line="240" w:lineRule="auto"/>
        <w:jc w:val="both"/>
        <w:rPr>
          <w:rFonts w:ascii="Times New Roman" w:hAnsi="Times New Roman" w:cs="Times New Roman"/>
          <w:sz w:val="16"/>
          <w:szCs w:val="16"/>
        </w:rPr>
      </w:pPr>
      <w:r w:rsidRPr="001042A3">
        <w:rPr>
          <w:rFonts w:ascii="Times New Roman" w:hAnsi="Times New Roman" w:cs="Times New Roman"/>
          <w:sz w:val="16"/>
          <w:szCs w:val="16"/>
        </w:rPr>
        <w:t>Fuente: Dirección de Análisis y Política Fiscal, en base a información del Ministerio de Salud Pública y Asistencia Social</w:t>
      </w:r>
      <w:r w:rsidR="004577E8" w:rsidRPr="001042A3">
        <w:rPr>
          <w:rFonts w:ascii="Times New Roman" w:hAnsi="Times New Roman" w:cs="Times New Roman"/>
          <w:sz w:val="16"/>
          <w:szCs w:val="16"/>
        </w:rPr>
        <w:t>.</w:t>
      </w:r>
      <w:r w:rsidRPr="001042A3">
        <w:rPr>
          <w:rFonts w:ascii="Times New Roman" w:hAnsi="Times New Roman" w:cs="Times New Roman"/>
          <w:sz w:val="16"/>
          <w:szCs w:val="16"/>
        </w:rPr>
        <w:t xml:space="preserve"> </w:t>
      </w:r>
    </w:p>
    <w:p w14:paraId="2B4F4984" w14:textId="77777777" w:rsidR="00112F6C" w:rsidRPr="00515068" w:rsidRDefault="00112F6C" w:rsidP="001B456C">
      <w:pPr>
        <w:pStyle w:val="Sinespaciado"/>
        <w:ind w:right="213"/>
        <w:jc w:val="both"/>
        <w:rPr>
          <w:rFonts w:ascii="Times New Roman" w:hAnsi="Times New Roman" w:cs="Times New Roman"/>
          <w:b/>
          <w:color w:val="FF0000"/>
        </w:rPr>
      </w:pPr>
    </w:p>
    <w:p w14:paraId="1BC42958" w14:textId="77777777" w:rsidR="004577E8" w:rsidRDefault="004577E8" w:rsidP="004577E8">
      <w:pPr>
        <w:pStyle w:val="Sinespaciado"/>
        <w:ind w:right="-46"/>
        <w:jc w:val="both"/>
        <w:rPr>
          <w:rFonts w:ascii="Times New Roman" w:hAnsi="Times New Roman" w:cs="Times New Roman"/>
        </w:rPr>
      </w:pPr>
      <w:r w:rsidRPr="004577E8">
        <w:rPr>
          <w:rFonts w:ascii="Times New Roman" w:hAnsi="Times New Roman" w:cs="Times New Roman"/>
        </w:rPr>
        <w:t xml:space="preserve">Por otro lado, también se le da seguimiento a la ejecución del gasto relacionado al Estado de Calamidad Pública por la depresión tropical ETA, </w:t>
      </w:r>
      <w:r>
        <w:rPr>
          <w:rFonts w:ascii="Times New Roman" w:hAnsi="Times New Roman" w:cs="Times New Roman"/>
        </w:rPr>
        <w:t>durante el año se han ejecutado Q246.5 millones, correspondientes en su totalidad al Ministerio de Comunicaciones, Infraestructura y Vivienda.</w:t>
      </w:r>
    </w:p>
    <w:p w14:paraId="4F72C705" w14:textId="77777777" w:rsidR="004577E8" w:rsidRPr="004577E8" w:rsidRDefault="004577E8" w:rsidP="004577E8">
      <w:pPr>
        <w:pStyle w:val="Sinespaciado"/>
        <w:ind w:right="-46"/>
        <w:jc w:val="both"/>
        <w:rPr>
          <w:rFonts w:ascii="Times New Roman" w:hAnsi="Times New Roman" w:cs="Times New Roman"/>
        </w:rPr>
      </w:pPr>
    </w:p>
    <w:p w14:paraId="5F5041F9" w14:textId="68C2DAA8" w:rsidR="001042A3" w:rsidRDefault="004577E8" w:rsidP="004577E8">
      <w:pPr>
        <w:pStyle w:val="Sinespaciado"/>
        <w:ind w:right="-46"/>
        <w:jc w:val="both"/>
        <w:rPr>
          <w:rFonts w:ascii="Times New Roman" w:hAnsi="Times New Roman" w:cs="Times New Roman"/>
        </w:rPr>
      </w:pPr>
      <w:r>
        <w:rPr>
          <w:rFonts w:ascii="Times New Roman" w:hAnsi="Times New Roman" w:cs="Times New Roman"/>
        </w:rPr>
        <w:t>Se resalta que este subprograma no contaba con presupuesto inicial y debido a reprogramaciones que se llevaron a cabo actualmente cuenta con un presupuesto vigente de Q452.8 millones, el cual corresponde a intervenciones para el mantenimiento y reparación de bienes nacionales, arrendamiento de maquinaria y equipo y de medios de transporte.</w:t>
      </w:r>
    </w:p>
    <w:p w14:paraId="07718370" w14:textId="168A458C" w:rsidR="001042A3" w:rsidRPr="004577E8" w:rsidRDefault="001042A3" w:rsidP="004577E8">
      <w:pPr>
        <w:pStyle w:val="Sinespaciado"/>
        <w:ind w:right="-46"/>
        <w:jc w:val="both"/>
        <w:rPr>
          <w:rFonts w:ascii="Times New Roman" w:hAnsi="Times New Roman" w:cs="Times New Roman"/>
        </w:rPr>
      </w:pPr>
    </w:p>
    <w:p w14:paraId="28CC06BA" w14:textId="77777777" w:rsidR="00DF6AE8" w:rsidRPr="00515068" w:rsidRDefault="00DF6AE8" w:rsidP="00776700">
      <w:pPr>
        <w:pStyle w:val="Sinespaciado"/>
        <w:ind w:right="213"/>
        <w:jc w:val="both"/>
        <w:rPr>
          <w:rFonts w:ascii="Times New Roman" w:hAnsi="Times New Roman" w:cs="Times New Roman"/>
          <w:color w:val="FF0000"/>
          <w:sz w:val="8"/>
        </w:rPr>
      </w:pPr>
    </w:p>
    <w:p w14:paraId="362AD966" w14:textId="77777777" w:rsidR="00776700" w:rsidRPr="00515068" w:rsidRDefault="00776700" w:rsidP="00776700">
      <w:pPr>
        <w:pStyle w:val="Sinespaciado"/>
        <w:ind w:right="213"/>
        <w:rPr>
          <w:rFonts w:ascii="Times New Roman" w:hAnsi="Times New Roman" w:cs="Times New Roman"/>
          <w:color w:val="FF0000"/>
          <w:sz w:val="10"/>
        </w:rPr>
        <w:sectPr w:rsidR="00776700" w:rsidRPr="00515068" w:rsidSect="008E00B7">
          <w:type w:val="continuous"/>
          <w:pgSz w:w="12240" w:h="15840"/>
          <w:pgMar w:top="1417" w:right="1701" w:bottom="1417" w:left="1701" w:header="708" w:footer="708" w:gutter="0"/>
          <w:cols w:num="2" w:space="708"/>
          <w:docGrid w:linePitch="360"/>
        </w:sectPr>
      </w:pPr>
    </w:p>
    <w:p w14:paraId="24E2F101" w14:textId="77777777" w:rsidR="0071038C" w:rsidRPr="00515068" w:rsidRDefault="0071038C" w:rsidP="0071038C">
      <w:pPr>
        <w:spacing w:after="0"/>
        <w:rPr>
          <w:rFonts w:ascii="Times New Roman" w:hAnsi="Times New Roman" w:cs="Times New Roman"/>
          <w:color w:val="FF0000"/>
          <w:sz w:val="4"/>
          <w:szCs w:val="12"/>
        </w:rPr>
        <w:sectPr w:rsidR="0071038C" w:rsidRPr="00515068" w:rsidSect="00960BE9">
          <w:headerReference w:type="default" r:id="rId47"/>
          <w:footerReference w:type="default" r:id="rId48"/>
          <w:type w:val="continuous"/>
          <w:pgSz w:w="12240" w:h="15840"/>
          <w:pgMar w:top="1417" w:right="1701" w:bottom="1417" w:left="1701" w:header="708" w:footer="708" w:gutter="0"/>
          <w:cols w:space="708"/>
          <w:docGrid w:linePitch="360"/>
        </w:sectPr>
      </w:pPr>
    </w:p>
    <w:p w14:paraId="314469C3" w14:textId="77777777" w:rsidR="0071038C" w:rsidRPr="001E5527" w:rsidRDefault="0071038C" w:rsidP="0071038C">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bookmarkStart w:id="5" w:name="_Hlk105772304"/>
      <w:r w:rsidRPr="001E5527">
        <w:rPr>
          <w:rFonts w:ascii="Times New Roman" w:hAnsi="Times New Roman" w:cs="Times New Roman"/>
          <w:b/>
          <w:color w:val="FFFFFF" w:themeColor="background1"/>
          <w:sz w:val="24"/>
          <w:szCs w:val="24"/>
        </w:rPr>
        <w:t xml:space="preserve">Intervención del Estado para mitigar efecto económico </w:t>
      </w:r>
      <w:r w:rsidR="001E5527" w:rsidRPr="001E5527">
        <w:rPr>
          <w:rFonts w:ascii="Times New Roman" w:hAnsi="Times New Roman" w:cs="Times New Roman"/>
          <w:b/>
          <w:color w:val="FFFFFF" w:themeColor="background1"/>
          <w:sz w:val="24"/>
          <w:szCs w:val="24"/>
        </w:rPr>
        <w:t>por alza en los combustibles</w:t>
      </w:r>
    </w:p>
    <w:bookmarkEnd w:id="5"/>
    <w:p w14:paraId="289A32BC" w14:textId="77777777" w:rsidR="0071038C" w:rsidRPr="00515068" w:rsidRDefault="0071038C" w:rsidP="0071038C">
      <w:pPr>
        <w:pStyle w:val="Sinespaciado"/>
        <w:rPr>
          <w:rFonts w:ascii="Times New Roman" w:hAnsi="Times New Roman" w:cs="Times New Roman"/>
          <w:color w:val="FF0000"/>
          <w:sz w:val="18"/>
          <w:szCs w:val="18"/>
        </w:rPr>
      </w:pPr>
    </w:p>
    <w:p w14:paraId="3E99286B" w14:textId="77777777" w:rsidR="0071038C" w:rsidRPr="00515068" w:rsidRDefault="0071038C" w:rsidP="0071038C">
      <w:pPr>
        <w:pStyle w:val="Textodeglobo"/>
        <w:jc w:val="both"/>
        <w:rPr>
          <w:rFonts w:ascii="Times New Roman" w:hAnsi="Times New Roman" w:cs="Times New Roman"/>
          <w:color w:val="FF0000"/>
          <w:sz w:val="22"/>
          <w:szCs w:val="22"/>
        </w:rPr>
        <w:sectPr w:rsidR="0071038C" w:rsidRPr="00515068" w:rsidSect="00960BE9">
          <w:headerReference w:type="default" r:id="rId49"/>
          <w:footerReference w:type="default" r:id="rId50"/>
          <w:type w:val="continuous"/>
          <w:pgSz w:w="12240" w:h="15840"/>
          <w:pgMar w:top="1417" w:right="1701" w:bottom="1417" w:left="1701" w:header="708" w:footer="708" w:gutter="0"/>
          <w:cols w:space="708"/>
          <w:docGrid w:linePitch="360"/>
        </w:sectPr>
      </w:pPr>
    </w:p>
    <w:p w14:paraId="14B06DB6" w14:textId="77777777" w:rsidR="001E5527" w:rsidRDefault="001E5527" w:rsidP="001E5527">
      <w:pPr>
        <w:pStyle w:val="Textodeglobo"/>
        <w:jc w:val="both"/>
        <w:rPr>
          <w:rFonts w:ascii="Times New Roman" w:hAnsi="Times New Roman" w:cs="Times New Roman"/>
          <w:sz w:val="22"/>
          <w:szCs w:val="22"/>
        </w:rPr>
      </w:pPr>
      <w:r>
        <w:rPr>
          <w:rFonts w:ascii="Times New Roman" w:hAnsi="Times New Roman" w:cs="Times New Roman"/>
          <w:sz w:val="22"/>
          <w:szCs w:val="22"/>
        </w:rPr>
        <w:t>En los últimos meses se ha observado la necesidad de una mayor intervención del Estado, derivado que existen factores externos que han impulsado los precios con un efecto negativo sobre los bolsillos de los guatemaltecos, entre estos destacan las tensiones geopolíticas por la guerra entre Rusia y Ucrania, que ha generado problemas especulativos con presiones y volatilidad en los precios internacionales de algunos commodities, así como efectos rezagados del COVID-19, como la crisis de contenedores en los principales puertos.</w:t>
      </w:r>
    </w:p>
    <w:p w14:paraId="4F6D949E" w14:textId="77777777" w:rsidR="001E5527" w:rsidRPr="007C49F4" w:rsidRDefault="001E5527" w:rsidP="001E5527">
      <w:pPr>
        <w:pStyle w:val="Textodeglobo"/>
        <w:jc w:val="both"/>
        <w:rPr>
          <w:rFonts w:ascii="Times New Roman" w:hAnsi="Times New Roman" w:cs="Times New Roman"/>
          <w:szCs w:val="22"/>
        </w:rPr>
      </w:pPr>
    </w:p>
    <w:p w14:paraId="39EB3F66" w14:textId="77777777" w:rsidR="001E5527" w:rsidRDefault="001E5527" w:rsidP="001E5527">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Derivado de ello, el gobierno ha adoptado una serie de medidas que se han materializado en ampliaciones presupuestarias, la primera fue la aprobación del Decreto 17-2022 “Ley de Apoyo Social Temporal a los Consumidores de Gas Propano” siendo un apoyo social temporal de los cilindros de gas propano con capacidad de 10, 20, 25 y 35 libras, con el objetivo de beneficiar a la población guatemalteca que consume dicho producto, este apoyo social será otorgado durante 3 meses. </w:t>
      </w:r>
    </w:p>
    <w:p w14:paraId="10EC0945" w14:textId="77777777" w:rsidR="001E5527" w:rsidRDefault="001E5527" w:rsidP="001E5527">
      <w:pPr>
        <w:pStyle w:val="Textodeglobo"/>
        <w:jc w:val="both"/>
        <w:rPr>
          <w:rFonts w:ascii="Times New Roman" w:hAnsi="Times New Roman" w:cs="Times New Roman"/>
          <w:sz w:val="22"/>
          <w:szCs w:val="22"/>
        </w:rPr>
      </w:pPr>
    </w:p>
    <w:p w14:paraId="4A2C4E0B" w14:textId="77777777" w:rsidR="001E5527" w:rsidRDefault="001E5527" w:rsidP="001E5527">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Este decreto constituye una extensión del Decreto 15-2021 que tuvo el mismo fin y estuvo vigente por 3 meses venciendo el 28 de febrero del 2022. En total, esta medida de apoyo social a los consumidores de gas propano estaría vigente por un período de 6 meses (incluye los 2 decretos aprobados). </w:t>
      </w:r>
    </w:p>
    <w:p w14:paraId="20BADBC2" w14:textId="77777777" w:rsidR="001E5527" w:rsidRDefault="001E5527" w:rsidP="001E5527">
      <w:pPr>
        <w:pStyle w:val="Textodeglobo"/>
        <w:jc w:val="both"/>
        <w:rPr>
          <w:rFonts w:ascii="Times New Roman" w:hAnsi="Times New Roman" w:cs="Times New Roman"/>
          <w:sz w:val="22"/>
          <w:szCs w:val="22"/>
        </w:rPr>
      </w:pPr>
    </w:p>
    <w:p w14:paraId="3B8D5A33"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 xml:space="preserve">El Ministerio de Energía y Minas, en coordinación con el Ministerio de Economía, verificara la adecuada implementación del apoyo social temporal. </w:t>
      </w:r>
    </w:p>
    <w:p w14:paraId="38CA1D43" w14:textId="77777777" w:rsidR="001E5527" w:rsidRDefault="001E5527" w:rsidP="001E5527">
      <w:pPr>
        <w:spacing w:after="0" w:line="240" w:lineRule="auto"/>
        <w:jc w:val="both"/>
        <w:rPr>
          <w:rFonts w:ascii="Times New Roman" w:hAnsi="Times New Roman" w:cs="Times New Roman"/>
        </w:rPr>
      </w:pPr>
    </w:p>
    <w:p w14:paraId="3CD158CD"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 xml:space="preserve">Para el financiamiento de esta medida fue necesaria la ampliación del Presupuesto por el monto de Q150.0 millones para lo cual se hace uso de recursos disponibles en caja y bancos. </w:t>
      </w:r>
    </w:p>
    <w:p w14:paraId="4648728F" w14:textId="77777777" w:rsidR="001E5527" w:rsidRDefault="001E5527" w:rsidP="001E5527">
      <w:pPr>
        <w:spacing w:after="0" w:line="240" w:lineRule="auto"/>
        <w:jc w:val="both"/>
        <w:rPr>
          <w:rFonts w:ascii="Times New Roman" w:hAnsi="Times New Roman" w:cs="Times New Roman"/>
        </w:rPr>
      </w:pPr>
    </w:p>
    <w:p w14:paraId="645FB9BB"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 xml:space="preserve">En mayo se presentó en el pleno del Congreso de la República la iniciativa 6085 que dispone aprobar reformas a la Ley de Apoyo Social Temporal a los consumidores de Gas Propano, </w:t>
      </w:r>
      <w:r>
        <w:rPr>
          <w:rFonts w:ascii="Times New Roman" w:hAnsi="Times New Roman" w:cs="Times New Roman"/>
        </w:rPr>
        <w:t>Decreto 17-2022, tomando en consideración que la medida estaría próxima a vencer y se requiere un mayor alcance del apoyo social dado que el precio internacional del gas propano continúa con tendencia alcista, por lo cual se esperaría que el Congreso amplíe la medida por 2 meses adicionales.</w:t>
      </w:r>
      <w:r w:rsidRPr="008065A1">
        <w:t xml:space="preserve"> </w:t>
      </w:r>
      <w:r w:rsidRPr="008065A1">
        <w:rPr>
          <w:rFonts w:ascii="Times New Roman" w:hAnsi="Times New Roman" w:cs="Times New Roman"/>
        </w:rPr>
        <w:t>Por lo tanto, el apoyo social temporal podría funcionar hasta por 8 meses de ser aprobada.</w:t>
      </w:r>
    </w:p>
    <w:p w14:paraId="47651659" w14:textId="77777777" w:rsidR="001E5527" w:rsidRDefault="001E5527" w:rsidP="001E5527">
      <w:pPr>
        <w:spacing w:after="0" w:line="240" w:lineRule="auto"/>
        <w:jc w:val="both"/>
        <w:rPr>
          <w:rFonts w:ascii="Times New Roman" w:hAnsi="Times New Roman" w:cs="Times New Roman"/>
        </w:rPr>
      </w:pPr>
    </w:p>
    <w:p w14:paraId="0C171EE4"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 xml:space="preserve">Para lo cual sería necesario ampliar el Presupuesto General en Q220.0 millones (incluye los Q150 millones del Decreto 17-2022), siendo financiado con recursos de la disminución de caja y bancos de recursos del tesoro. </w:t>
      </w:r>
    </w:p>
    <w:p w14:paraId="6E08BA09" w14:textId="77777777" w:rsidR="001E5527" w:rsidRDefault="001E5527" w:rsidP="001E5527">
      <w:pPr>
        <w:spacing w:after="0" w:line="240" w:lineRule="auto"/>
        <w:jc w:val="both"/>
        <w:rPr>
          <w:rFonts w:ascii="Times New Roman" w:hAnsi="Times New Roman" w:cs="Times New Roman"/>
        </w:rPr>
      </w:pPr>
    </w:p>
    <w:p w14:paraId="5FD5E7B9"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 xml:space="preserve">La segunda medida adoptada fue la aprobación del Decreto 20-2022 “Ley de Apoyo Social Temporal a los Consumidores de Diésel y Gasolina Regular” el cual es un apoyo social temporal a los consumidores de diésel y de gasolina regular. </w:t>
      </w:r>
    </w:p>
    <w:p w14:paraId="2C27992C" w14:textId="77777777" w:rsidR="001E5527" w:rsidRDefault="001E5527" w:rsidP="001E5527">
      <w:pPr>
        <w:spacing w:after="0" w:line="240" w:lineRule="auto"/>
        <w:jc w:val="both"/>
        <w:rPr>
          <w:rFonts w:ascii="Times New Roman" w:hAnsi="Times New Roman" w:cs="Times New Roman"/>
        </w:rPr>
      </w:pPr>
    </w:p>
    <w:p w14:paraId="062BF538"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 xml:space="preserve">El apoyo social será otorgado durante 2 meses, el monto de dicho apoyo será de Q5.00 por cada galón de diésel y de Q2.50 por cada galón de gasolina regular. </w:t>
      </w:r>
    </w:p>
    <w:p w14:paraId="5F6B1CB7" w14:textId="77777777" w:rsidR="001E5527" w:rsidRDefault="001E5527" w:rsidP="001E5527">
      <w:pPr>
        <w:spacing w:after="0" w:line="240" w:lineRule="auto"/>
        <w:jc w:val="both"/>
        <w:rPr>
          <w:rFonts w:ascii="Times New Roman" w:hAnsi="Times New Roman" w:cs="Times New Roman"/>
        </w:rPr>
      </w:pPr>
    </w:p>
    <w:p w14:paraId="2B397B3D"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El Ministerio de Energía y Minas, en coordinación con el Ministerio de Economía (por medio de la Dirección de Atención y Asistencia al Consumidor –DIACO-), verificará la adecuada implementación del apoyo social temporal.</w:t>
      </w:r>
    </w:p>
    <w:p w14:paraId="57399612" w14:textId="77777777" w:rsidR="001E5527" w:rsidRDefault="001E5527" w:rsidP="001E5527">
      <w:pPr>
        <w:spacing w:after="0" w:line="240" w:lineRule="auto"/>
        <w:jc w:val="both"/>
        <w:rPr>
          <w:rFonts w:ascii="Times New Roman" w:hAnsi="Times New Roman" w:cs="Times New Roman"/>
        </w:rPr>
      </w:pPr>
    </w:p>
    <w:p w14:paraId="573F123F"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Para el financiamiento de esta medida fue necesaria la ampliación del Presupuesto por el monto de Q745.0 millones, para lo cual se hará uso de recursos disponibles en caja y bancos.</w:t>
      </w:r>
    </w:p>
    <w:p w14:paraId="29ABCF55" w14:textId="77777777" w:rsidR="001E5527" w:rsidRDefault="001E5527" w:rsidP="001E5527">
      <w:pPr>
        <w:spacing w:after="0" w:line="240" w:lineRule="auto"/>
        <w:jc w:val="both"/>
        <w:rPr>
          <w:rFonts w:ascii="Times New Roman" w:hAnsi="Times New Roman" w:cs="Times New Roman"/>
        </w:rPr>
      </w:pPr>
    </w:p>
    <w:p w14:paraId="3F3DBE8E"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 xml:space="preserve">Para ambas medidas (Gas Propano y Diésel y Gasolina Regular) fue necesario ampliar el presupuesto del Ministerio de Energía y Minas. </w:t>
      </w:r>
    </w:p>
    <w:p w14:paraId="3EC41CC9" w14:textId="77777777" w:rsidR="001E5527" w:rsidRDefault="001E5527" w:rsidP="001E5527">
      <w:pPr>
        <w:spacing w:after="0" w:line="240" w:lineRule="auto"/>
        <w:jc w:val="both"/>
        <w:rPr>
          <w:rFonts w:ascii="Times New Roman" w:hAnsi="Times New Roman" w:cs="Times New Roman"/>
        </w:rPr>
      </w:pPr>
    </w:p>
    <w:p w14:paraId="049124A3" w14:textId="77777777" w:rsidR="001E5527" w:rsidRDefault="001E5527" w:rsidP="001E5527">
      <w:pPr>
        <w:spacing w:after="0" w:line="240" w:lineRule="auto"/>
        <w:jc w:val="both"/>
        <w:rPr>
          <w:rFonts w:ascii="Times New Roman" w:hAnsi="Times New Roman" w:cs="Times New Roman"/>
        </w:rPr>
      </w:pPr>
      <w:r w:rsidRPr="00CB2472">
        <w:rPr>
          <w:rFonts w:ascii="Times New Roman" w:hAnsi="Times New Roman" w:cs="Times New Roman"/>
        </w:rPr>
        <w:t xml:space="preserve">Es importante considerar que en mayo fue aprobado el Decreto 28-2022 “Reformas a la </w:t>
      </w:r>
      <w:r w:rsidRPr="00CB2472">
        <w:rPr>
          <w:rFonts w:ascii="Times New Roman" w:hAnsi="Times New Roman" w:cs="Times New Roman"/>
        </w:rPr>
        <w:lastRenderedPageBreak/>
        <w:t>Ley de Apoyo</w:t>
      </w:r>
      <w:r>
        <w:rPr>
          <w:rFonts w:ascii="Times New Roman" w:hAnsi="Times New Roman" w:cs="Times New Roman"/>
        </w:rPr>
        <w:t xml:space="preserve"> </w:t>
      </w:r>
      <w:r w:rsidRPr="00CB2472">
        <w:rPr>
          <w:rFonts w:ascii="Times New Roman" w:hAnsi="Times New Roman" w:cs="Times New Roman"/>
        </w:rPr>
        <w:t>Social Temporal a los Consumidores de Diésel y Gasolina Regular Decreto 20-2022” con este</w:t>
      </w:r>
      <w:r>
        <w:rPr>
          <w:rFonts w:ascii="Times New Roman" w:hAnsi="Times New Roman" w:cs="Times New Roman"/>
        </w:rPr>
        <w:t xml:space="preserve"> </w:t>
      </w:r>
      <w:r w:rsidRPr="00CB2472">
        <w:rPr>
          <w:rFonts w:ascii="Times New Roman" w:hAnsi="Times New Roman" w:cs="Times New Roman"/>
        </w:rPr>
        <w:t>decreto se ampli</w:t>
      </w:r>
      <w:r>
        <w:rPr>
          <w:rFonts w:ascii="Times New Roman" w:hAnsi="Times New Roman" w:cs="Times New Roman"/>
        </w:rPr>
        <w:t>ó</w:t>
      </w:r>
      <w:r w:rsidRPr="00CB2472">
        <w:rPr>
          <w:rFonts w:ascii="Times New Roman" w:hAnsi="Times New Roman" w:cs="Times New Roman"/>
        </w:rPr>
        <w:t xml:space="preserve"> los beneficiarios, ya que cubrirá a consumidores de diésel y de gasolinas</w:t>
      </w:r>
      <w:r>
        <w:rPr>
          <w:rFonts w:ascii="Times New Roman" w:hAnsi="Times New Roman" w:cs="Times New Roman"/>
        </w:rPr>
        <w:t xml:space="preserve"> </w:t>
      </w:r>
      <w:r w:rsidRPr="00CB2472">
        <w:rPr>
          <w:rFonts w:ascii="Times New Roman" w:hAnsi="Times New Roman" w:cs="Times New Roman"/>
        </w:rPr>
        <w:t>regular y superior, siendo el apoyo otorgado por dos meses más (en total la medida estaría vigente por</w:t>
      </w:r>
      <w:r>
        <w:rPr>
          <w:rFonts w:ascii="Times New Roman" w:hAnsi="Times New Roman" w:cs="Times New Roman"/>
        </w:rPr>
        <w:t xml:space="preserve"> </w:t>
      </w:r>
      <w:r w:rsidRPr="00CB2472">
        <w:rPr>
          <w:rFonts w:ascii="Times New Roman" w:hAnsi="Times New Roman" w:cs="Times New Roman"/>
        </w:rPr>
        <w:t>cuatro meses para consumidores de gasolina regular y diésel, mientras que para consumidores de</w:t>
      </w:r>
      <w:r>
        <w:rPr>
          <w:rFonts w:ascii="Times New Roman" w:hAnsi="Times New Roman" w:cs="Times New Roman"/>
        </w:rPr>
        <w:t xml:space="preserve"> </w:t>
      </w:r>
      <w:r w:rsidRPr="00CB2472">
        <w:rPr>
          <w:rFonts w:ascii="Times New Roman" w:hAnsi="Times New Roman" w:cs="Times New Roman"/>
        </w:rPr>
        <w:t xml:space="preserve">gasolina superior únicamente por dos meses). </w:t>
      </w:r>
      <w:bookmarkStart w:id="6" w:name="_Hlk105421453"/>
      <w:r w:rsidRPr="00CB2472">
        <w:rPr>
          <w:rFonts w:ascii="Times New Roman" w:hAnsi="Times New Roman" w:cs="Times New Roman"/>
        </w:rPr>
        <w:t>A partir del 31 de mayo se pretende que el apoyo social</w:t>
      </w:r>
      <w:r>
        <w:rPr>
          <w:rFonts w:ascii="Times New Roman" w:hAnsi="Times New Roman" w:cs="Times New Roman"/>
        </w:rPr>
        <w:t xml:space="preserve"> </w:t>
      </w:r>
      <w:r w:rsidRPr="00CB2472">
        <w:rPr>
          <w:rFonts w:ascii="Times New Roman" w:hAnsi="Times New Roman" w:cs="Times New Roman"/>
        </w:rPr>
        <w:t>aumente pasando a ser de Q7.00 por cada galón de diésel, de Q5.00 por cada galón de gasolina regular</w:t>
      </w:r>
      <w:r>
        <w:rPr>
          <w:rFonts w:ascii="Times New Roman" w:hAnsi="Times New Roman" w:cs="Times New Roman"/>
        </w:rPr>
        <w:t xml:space="preserve"> </w:t>
      </w:r>
      <w:r w:rsidRPr="00CB2472">
        <w:rPr>
          <w:rFonts w:ascii="Times New Roman" w:hAnsi="Times New Roman" w:cs="Times New Roman"/>
        </w:rPr>
        <w:t>y de Q5.00 por cada galón de gasolina superior.</w:t>
      </w:r>
    </w:p>
    <w:bookmarkEnd w:id="6"/>
    <w:p w14:paraId="4F373DFB" w14:textId="77777777" w:rsidR="001E5527" w:rsidRPr="00CB2472" w:rsidRDefault="001E5527" w:rsidP="001E5527">
      <w:pPr>
        <w:spacing w:after="0" w:line="240" w:lineRule="auto"/>
        <w:jc w:val="both"/>
        <w:rPr>
          <w:rFonts w:ascii="Times New Roman" w:hAnsi="Times New Roman" w:cs="Times New Roman"/>
        </w:rPr>
      </w:pPr>
    </w:p>
    <w:p w14:paraId="1551ABF0" w14:textId="77777777" w:rsidR="001E5527" w:rsidRDefault="001E5527" w:rsidP="001E5527">
      <w:pPr>
        <w:spacing w:after="0" w:line="240" w:lineRule="auto"/>
        <w:jc w:val="both"/>
        <w:rPr>
          <w:rFonts w:ascii="Times New Roman" w:hAnsi="Times New Roman" w:cs="Times New Roman"/>
        </w:rPr>
      </w:pPr>
      <w:r w:rsidRPr="00CB2472">
        <w:rPr>
          <w:rFonts w:ascii="Times New Roman" w:hAnsi="Times New Roman" w:cs="Times New Roman"/>
        </w:rPr>
        <w:t>Derivado de lo anterior, el presupuesto fue ampliado por un monto de Q2,260 millones (incluye los</w:t>
      </w:r>
      <w:r>
        <w:rPr>
          <w:rFonts w:ascii="Times New Roman" w:hAnsi="Times New Roman" w:cs="Times New Roman"/>
        </w:rPr>
        <w:t xml:space="preserve"> </w:t>
      </w:r>
      <w:r w:rsidRPr="00CB2472">
        <w:rPr>
          <w:rFonts w:ascii="Times New Roman" w:hAnsi="Times New Roman" w:cs="Times New Roman"/>
        </w:rPr>
        <w:t>Q745 millones del decreto 20-2022), siendo la medida financiada con disminución de caja y bancos de</w:t>
      </w:r>
      <w:r>
        <w:rPr>
          <w:rFonts w:ascii="Times New Roman" w:hAnsi="Times New Roman" w:cs="Times New Roman"/>
        </w:rPr>
        <w:t xml:space="preserve"> </w:t>
      </w:r>
      <w:r w:rsidRPr="00CB2472">
        <w:rPr>
          <w:rFonts w:ascii="Times New Roman" w:hAnsi="Times New Roman" w:cs="Times New Roman"/>
        </w:rPr>
        <w:t>recursos del tesoro.</w:t>
      </w:r>
    </w:p>
    <w:p w14:paraId="793DE349" w14:textId="77777777" w:rsidR="001E5527" w:rsidRDefault="001E5527" w:rsidP="001E5527">
      <w:pPr>
        <w:spacing w:after="0" w:line="240" w:lineRule="auto"/>
        <w:jc w:val="both"/>
        <w:rPr>
          <w:rFonts w:ascii="Times New Roman" w:hAnsi="Times New Roman" w:cs="Times New Roman"/>
        </w:rPr>
      </w:pPr>
    </w:p>
    <w:p w14:paraId="56456433"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La tercera medida adoptada fue la aprobación del Decreto 21-2022 “Ley para fortalecer el Mantenimiento y Construcción de Infraestructura Estratégica” siendo el objeto fortalecer el mantenimiento y construcción de infraestructura estratégica, así como la recuperación de la red vial. Esta medida requiere la ampliación del presupuesto por Q3,191.2 millones, siendo financiada por el uso de recursos disponibles en caja y bancos.</w:t>
      </w:r>
    </w:p>
    <w:p w14:paraId="3F21DBF5" w14:textId="77777777" w:rsidR="001E5527" w:rsidRDefault="001E5527" w:rsidP="001E5527">
      <w:pPr>
        <w:spacing w:after="0" w:line="240" w:lineRule="auto"/>
        <w:jc w:val="both"/>
        <w:rPr>
          <w:rFonts w:ascii="Times New Roman" w:hAnsi="Times New Roman" w:cs="Times New Roman"/>
        </w:rPr>
      </w:pPr>
    </w:p>
    <w:p w14:paraId="11002145" w14:textId="3DD9CC48"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El Ministerio de Comunicaciones, Infraestructura y Vivienda (CIV) es la entidad encargada de su ejecución por medio de 4 unidades ejecutoras:</w:t>
      </w:r>
    </w:p>
    <w:p w14:paraId="677EAACA" w14:textId="77777777" w:rsidR="0011046F" w:rsidRDefault="0011046F" w:rsidP="001E5527">
      <w:pPr>
        <w:spacing w:after="0" w:line="240" w:lineRule="auto"/>
        <w:jc w:val="both"/>
        <w:rPr>
          <w:rFonts w:ascii="Times New Roman" w:hAnsi="Times New Roman" w:cs="Times New Roman"/>
        </w:rPr>
      </w:pPr>
    </w:p>
    <w:p w14:paraId="4D0910AF" w14:textId="77777777" w:rsidR="001E5527" w:rsidRDefault="001E5527" w:rsidP="001E5527">
      <w:pPr>
        <w:pStyle w:val="Prrafodelista"/>
        <w:numPr>
          <w:ilvl w:val="0"/>
          <w:numId w:val="1"/>
        </w:numPr>
        <w:spacing w:after="0" w:line="240" w:lineRule="auto"/>
        <w:ind w:left="426"/>
        <w:jc w:val="both"/>
        <w:rPr>
          <w:rFonts w:ascii="Times New Roman" w:hAnsi="Times New Roman" w:cs="Times New Roman"/>
        </w:rPr>
      </w:pPr>
      <w:r>
        <w:rPr>
          <w:rFonts w:ascii="Times New Roman" w:hAnsi="Times New Roman" w:cs="Times New Roman"/>
        </w:rPr>
        <w:t>Dirección General de Caminos (DGC) que cuenta con Q827.6 millones para recuperación de infraestructura y Q459.1 millones para construcción, en total contaría con Q1,286.8 millones.</w:t>
      </w:r>
    </w:p>
    <w:p w14:paraId="6FD1E163" w14:textId="77777777" w:rsidR="001E5527" w:rsidRDefault="001E5527" w:rsidP="001E5527">
      <w:pPr>
        <w:pStyle w:val="Prrafodelista"/>
        <w:numPr>
          <w:ilvl w:val="0"/>
          <w:numId w:val="1"/>
        </w:numPr>
        <w:spacing w:after="0" w:line="240" w:lineRule="auto"/>
        <w:ind w:left="426"/>
        <w:jc w:val="both"/>
        <w:rPr>
          <w:rFonts w:ascii="Times New Roman" w:hAnsi="Times New Roman" w:cs="Times New Roman"/>
        </w:rPr>
      </w:pPr>
      <w:r>
        <w:rPr>
          <w:rFonts w:ascii="Times New Roman" w:hAnsi="Times New Roman" w:cs="Times New Roman"/>
        </w:rPr>
        <w:t xml:space="preserve">Unidad Ejecutora de Conservación Vial (COVIAL) cuenta con Q1,748.7 millones para recuperación de infraestructura </w:t>
      </w:r>
    </w:p>
    <w:p w14:paraId="61C08EAB" w14:textId="77777777" w:rsidR="001E5527" w:rsidRDefault="001E5527" w:rsidP="001E5527">
      <w:pPr>
        <w:pStyle w:val="Prrafodelista"/>
        <w:numPr>
          <w:ilvl w:val="0"/>
          <w:numId w:val="1"/>
        </w:numPr>
        <w:spacing w:after="0" w:line="240" w:lineRule="auto"/>
        <w:ind w:left="426"/>
        <w:jc w:val="both"/>
        <w:rPr>
          <w:rFonts w:ascii="Times New Roman" w:hAnsi="Times New Roman" w:cs="Times New Roman"/>
        </w:rPr>
      </w:pPr>
      <w:r>
        <w:rPr>
          <w:rFonts w:ascii="Times New Roman" w:hAnsi="Times New Roman" w:cs="Times New Roman"/>
        </w:rPr>
        <w:t xml:space="preserve">Unidad de Construcción de Edificios del Estado (UCEE) con Q120 millones para construcción </w:t>
      </w:r>
    </w:p>
    <w:p w14:paraId="332E3221" w14:textId="77777777" w:rsidR="001E5527" w:rsidRDefault="001E5527" w:rsidP="001E5527">
      <w:pPr>
        <w:pStyle w:val="Prrafodelista"/>
        <w:numPr>
          <w:ilvl w:val="0"/>
          <w:numId w:val="1"/>
        </w:numPr>
        <w:spacing w:after="0" w:line="240" w:lineRule="auto"/>
        <w:ind w:left="426"/>
        <w:jc w:val="both"/>
        <w:rPr>
          <w:rFonts w:ascii="Times New Roman" w:hAnsi="Times New Roman" w:cs="Times New Roman"/>
        </w:rPr>
      </w:pPr>
      <w:r>
        <w:rPr>
          <w:rFonts w:ascii="Times New Roman" w:hAnsi="Times New Roman" w:cs="Times New Roman"/>
        </w:rPr>
        <w:t>Fondo Social de Solidaridad con Q35.8 millones para construcción</w:t>
      </w:r>
    </w:p>
    <w:p w14:paraId="2ABE512B" w14:textId="5F44C7EA"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 xml:space="preserve">Entre la infraestructura estratégica que sería impactada estaría: Ruta Centroamericana, Nacionales y Departamentales con </w:t>
      </w:r>
      <w:proofErr w:type="spellStart"/>
      <w:r>
        <w:rPr>
          <w:rFonts w:ascii="Times New Roman" w:hAnsi="Times New Roman" w:cs="Times New Roman"/>
        </w:rPr>
        <w:t>recapeo</w:t>
      </w:r>
      <w:proofErr w:type="spellEnd"/>
      <w:r>
        <w:rPr>
          <w:rFonts w:ascii="Times New Roman" w:hAnsi="Times New Roman" w:cs="Times New Roman"/>
        </w:rPr>
        <w:t xml:space="preserve">, construcción y señalización, edificios educativos, construcción del Puente Belice II, entre otros. </w:t>
      </w:r>
    </w:p>
    <w:p w14:paraId="623C97DD" w14:textId="77777777" w:rsidR="001E5527" w:rsidRDefault="001E5527" w:rsidP="001E5527">
      <w:pPr>
        <w:spacing w:after="0" w:line="240" w:lineRule="auto"/>
        <w:jc w:val="both"/>
        <w:rPr>
          <w:rFonts w:ascii="Times New Roman" w:hAnsi="Times New Roman" w:cs="Times New Roman"/>
        </w:rPr>
      </w:pPr>
    </w:p>
    <w:p w14:paraId="499AF0CC"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Estos proyectos se consideran positivos, dado que, ante una posible desaceleración mundial y posiblemente nacional por la incertidumbre internacional, los proyectos de infraestructura generan un efecto multiplicador, permiten el desarrollo económico del país y la mejora de condiciones de vida de la población.</w:t>
      </w:r>
    </w:p>
    <w:p w14:paraId="58149115" w14:textId="77777777" w:rsidR="001E5527" w:rsidRDefault="001E5527" w:rsidP="001E5527">
      <w:pPr>
        <w:spacing w:after="0" w:line="240" w:lineRule="auto"/>
        <w:jc w:val="both"/>
        <w:rPr>
          <w:rFonts w:ascii="Times New Roman" w:hAnsi="Times New Roman" w:cs="Times New Roman"/>
        </w:rPr>
      </w:pPr>
    </w:p>
    <w:p w14:paraId="280EBDB4"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La cuarta medida fue la aprobación del Decreto 25-2022 “Ley de Fortalecimiento al Aporte Social de la Tarifa Eléctrica” garantizando recursos de abril a diciembre del 2022, siendo el apoyo social temporal enfocado en usuarios regulados de distribución final de energía eléctrica que consuman mensualmente entre 89 kWh hasta 100 kWh al mes pagando Q1.00 por kWh. Anteriormente, la tarifa social únicamente aplicaba a rangos de consumo de 1 a 88 kWh, con el nuevo rango de consumo se incorporarían alrededor de 173,176 de hogares beneficiados por la tarifa social.</w:t>
      </w:r>
    </w:p>
    <w:p w14:paraId="58906B85"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 xml:space="preserve">  </w:t>
      </w:r>
    </w:p>
    <w:p w14:paraId="3779B1F2"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La medida contaría con un presupuesto de Q90.0 millones, que estaría siendo financiado por caja y bancos destinado al Instituto Nacional de Electrificación (INDE).</w:t>
      </w:r>
    </w:p>
    <w:p w14:paraId="52AC6894" w14:textId="77777777" w:rsidR="001E5527" w:rsidRDefault="001E5527" w:rsidP="001E5527">
      <w:pPr>
        <w:spacing w:after="0" w:line="240" w:lineRule="auto"/>
        <w:jc w:val="both"/>
        <w:rPr>
          <w:rFonts w:ascii="Times New Roman" w:hAnsi="Times New Roman" w:cs="Times New Roman"/>
        </w:rPr>
      </w:pPr>
    </w:p>
    <w:p w14:paraId="3B34E389"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 xml:space="preserve">Dentro del Presupuesto Aprobado 2022 se encontraba una asignación de Q360 millones correspondiente a la Tarifa Social, con la ampliación aprobada el aporte a la tarifa social sería de Q450 millones. </w:t>
      </w:r>
    </w:p>
    <w:p w14:paraId="7709DC94" w14:textId="77777777" w:rsidR="001E5527" w:rsidRDefault="001E5527" w:rsidP="001E5527">
      <w:pPr>
        <w:spacing w:after="0" w:line="240" w:lineRule="auto"/>
        <w:jc w:val="both"/>
        <w:rPr>
          <w:rFonts w:ascii="Times New Roman" w:hAnsi="Times New Roman" w:cs="Times New Roman"/>
          <w:color w:val="FF0000"/>
        </w:rPr>
      </w:pPr>
    </w:p>
    <w:p w14:paraId="5060037D" w14:textId="77777777" w:rsidR="001E5527" w:rsidRDefault="001E5527" w:rsidP="001E5527">
      <w:pPr>
        <w:spacing w:after="0" w:line="240" w:lineRule="auto"/>
        <w:jc w:val="both"/>
        <w:rPr>
          <w:rFonts w:ascii="Times New Roman" w:hAnsi="Times New Roman" w:cs="Times New Roman"/>
        </w:rPr>
      </w:pPr>
      <w:r>
        <w:rPr>
          <w:rFonts w:ascii="Times New Roman" w:hAnsi="Times New Roman" w:cs="Times New Roman"/>
        </w:rPr>
        <w:t xml:space="preserve">Asimismo, se está implementando dentro del MAGA el programa de estipendio por acciones, esta iniciativa busca restaurar las unidades productivas de familias agricultoras de infra subsistencia y subsistencia, afectadas por las tormentas tropicales Eta e Iota en 2020. </w:t>
      </w:r>
    </w:p>
    <w:p w14:paraId="0E72B7A4" w14:textId="77777777" w:rsidR="001E5527" w:rsidRDefault="001E5527" w:rsidP="001E5527">
      <w:pPr>
        <w:spacing w:after="0" w:line="240" w:lineRule="auto"/>
        <w:jc w:val="both"/>
        <w:rPr>
          <w:rFonts w:ascii="Times New Roman" w:hAnsi="Times New Roman" w:cs="Times New Roman"/>
        </w:rPr>
      </w:pPr>
    </w:p>
    <w:p w14:paraId="61FBD143" w14:textId="77777777" w:rsidR="001E5527" w:rsidRDefault="001E5527" w:rsidP="001E5527">
      <w:pPr>
        <w:pStyle w:val="Sinespaciado"/>
        <w:jc w:val="both"/>
        <w:rPr>
          <w:rFonts w:ascii="Times New Roman" w:hAnsi="Times New Roman" w:cs="Times New Roman"/>
        </w:rPr>
      </w:pPr>
      <w:r>
        <w:rPr>
          <w:rFonts w:ascii="Times New Roman" w:hAnsi="Times New Roman" w:cs="Times New Roman"/>
        </w:rPr>
        <w:lastRenderedPageBreak/>
        <w:t>Las familias beneficiadas realizan diversos trabajos, que luego de verificación por parte del MAGA recibirán el beneficio económico por Q1,000. Esta medida no requiere ampliación presupuestaria, es por medio de readecuaciones presupuestarias.</w:t>
      </w:r>
    </w:p>
    <w:p w14:paraId="1497EA82" w14:textId="77777777" w:rsidR="001E5527" w:rsidRDefault="001E5527" w:rsidP="001E5527">
      <w:pPr>
        <w:pStyle w:val="Sinespaciado"/>
        <w:jc w:val="both"/>
        <w:rPr>
          <w:rFonts w:ascii="Times New Roman" w:hAnsi="Times New Roman" w:cs="Times New Roman"/>
        </w:rPr>
      </w:pPr>
    </w:p>
    <w:p w14:paraId="230C37AC" w14:textId="77777777" w:rsidR="001E5527" w:rsidRDefault="001E5527" w:rsidP="001E5527">
      <w:pPr>
        <w:pStyle w:val="Sinespaciado"/>
        <w:jc w:val="both"/>
        <w:rPr>
          <w:rFonts w:ascii="Times New Roman" w:hAnsi="Times New Roman" w:cs="Times New Roman"/>
        </w:rPr>
      </w:pPr>
      <w:r>
        <w:rPr>
          <w:rFonts w:ascii="Times New Roman" w:hAnsi="Times New Roman" w:cs="Times New Roman"/>
        </w:rPr>
        <w:t xml:space="preserve">Respecto a la ejecución de estas medidas, se han ejecutado Q855.3 millones, con un grado de ejecución del 19.5%, de las cuales Q631.1 millones, corresponden al subsidio a los consumidores de diésel y gasolina regular, Q174.2 millones, corresponden al subsidio del </w:t>
      </w:r>
    </w:p>
    <w:p w14:paraId="26C08F09" w14:textId="77777777" w:rsidR="001E5527" w:rsidRDefault="001E5527" w:rsidP="001E5527">
      <w:pPr>
        <w:pStyle w:val="Sinespaciado"/>
        <w:jc w:val="both"/>
        <w:rPr>
          <w:rFonts w:ascii="Times New Roman" w:hAnsi="Times New Roman" w:cs="Times New Roman"/>
        </w:rPr>
      </w:pPr>
      <w:r>
        <w:rPr>
          <w:rFonts w:ascii="Times New Roman" w:hAnsi="Times New Roman" w:cs="Times New Roman"/>
        </w:rPr>
        <w:t xml:space="preserve">gas propano y Q50 millones, corresponden a los estipendios dados por MAGA en apoyo a la agricultura familiar para fortalecer la economía campesina. </w:t>
      </w:r>
    </w:p>
    <w:p w14:paraId="443C2609" w14:textId="77777777" w:rsidR="001E5527" w:rsidRDefault="001E5527" w:rsidP="001E5527">
      <w:pPr>
        <w:pStyle w:val="Sinespaciado"/>
        <w:jc w:val="both"/>
        <w:rPr>
          <w:rFonts w:ascii="Times New Roman" w:hAnsi="Times New Roman" w:cs="Times New Roman"/>
        </w:rPr>
      </w:pPr>
    </w:p>
    <w:p w14:paraId="528BF1F9" w14:textId="77777777" w:rsidR="001E5527" w:rsidRDefault="001E5527" w:rsidP="001E5527">
      <w:pPr>
        <w:pStyle w:val="Sinespaciado"/>
        <w:jc w:val="both"/>
        <w:rPr>
          <w:rFonts w:ascii="Times New Roman" w:hAnsi="Times New Roman" w:cs="Times New Roman"/>
        </w:rPr>
      </w:pPr>
      <w:r>
        <w:rPr>
          <w:rFonts w:ascii="Times New Roman" w:hAnsi="Times New Roman" w:cs="Times New Roman"/>
        </w:rPr>
        <w:t>Es importante resaltar que, aunque el Decreto 28-2022 está vigente a</w:t>
      </w:r>
      <w:r w:rsidRPr="00CB2472">
        <w:rPr>
          <w:rFonts w:ascii="Times New Roman" w:hAnsi="Times New Roman" w:cs="Times New Roman"/>
        </w:rPr>
        <w:t xml:space="preserve"> partir del 31 de mayo </w:t>
      </w:r>
      <w:r>
        <w:rPr>
          <w:rFonts w:ascii="Times New Roman" w:hAnsi="Times New Roman" w:cs="Times New Roman"/>
        </w:rPr>
        <w:t>será hasta el reporte de junio en que se consigne la ejecución que corresponde al apoyo social ampliado, que incluye a la</w:t>
      </w:r>
      <w:r w:rsidRPr="00CB2472">
        <w:rPr>
          <w:rFonts w:ascii="Times New Roman" w:hAnsi="Times New Roman" w:cs="Times New Roman"/>
        </w:rPr>
        <w:t xml:space="preserve"> gasolina superior</w:t>
      </w:r>
      <w:r>
        <w:rPr>
          <w:rFonts w:ascii="Times New Roman" w:hAnsi="Times New Roman" w:cs="Times New Roman"/>
        </w:rPr>
        <w:t>, dado que este se liquida luego de ser aplicado.</w:t>
      </w:r>
    </w:p>
    <w:p w14:paraId="5DCEBAF7" w14:textId="77777777" w:rsidR="001E5527" w:rsidRDefault="001E5527" w:rsidP="001E5527">
      <w:pPr>
        <w:pStyle w:val="Sinespaciado"/>
        <w:jc w:val="both"/>
        <w:rPr>
          <w:rFonts w:ascii="Times New Roman" w:hAnsi="Times New Roman" w:cs="Times New Roman"/>
        </w:rPr>
      </w:pPr>
    </w:p>
    <w:p w14:paraId="5EE789F1" w14:textId="77777777" w:rsidR="0071038C" w:rsidRPr="00515068" w:rsidRDefault="001E5527" w:rsidP="001E5527">
      <w:pPr>
        <w:spacing w:after="0" w:line="240" w:lineRule="auto"/>
        <w:jc w:val="both"/>
        <w:rPr>
          <w:rFonts w:ascii="Times New Roman" w:hAnsi="Times New Roman" w:cs="Times New Roman"/>
          <w:color w:val="FF0000"/>
        </w:rPr>
      </w:pPr>
      <w:r>
        <w:rPr>
          <w:rFonts w:ascii="Times New Roman" w:hAnsi="Times New Roman" w:cs="Times New Roman"/>
        </w:rPr>
        <w:t>De las otras medidas como el fortalecimiento al mantenimiento y construcción de infraestructura estratégica y el aporte social a la tarifa eléctrica, aún no se reporta ejecución.</w:t>
      </w:r>
      <w:r w:rsidR="0071038C" w:rsidRPr="00515068">
        <w:rPr>
          <w:rFonts w:ascii="Times New Roman" w:hAnsi="Times New Roman" w:cs="Times New Roman"/>
          <w:color w:val="FF0000"/>
        </w:rPr>
        <w:t xml:space="preserve"> </w:t>
      </w:r>
    </w:p>
    <w:p w14:paraId="73A3D82F" w14:textId="5AB25948" w:rsidR="0071038C" w:rsidRDefault="0071038C" w:rsidP="0002331B">
      <w:pPr>
        <w:pStyle w:val="Sinespaciado"/>
        <w:rPr>
          <w:rFonts w:ascii="Times New Roman" w:hAnsi="Times New Roman" w:cs="Times New Roman"/>
          <w:b/>
          <w:sz w:val="14"/>
          <w:szCs w:val="14"/>
          <w:lang w:val="es-MX"/>
        </w:rPr>
      </w:pPr>
    </w:p>
    <w:p w14:paraId="0717F5ED" w14:textId="4A73B415" w:rsidR="0011046F" w:rsidRDefault="0011046F" w:rsidP="0002331B">
      <w:pPr>
        <w:pStyle w:val="Sinespaciado"/>
        <w:rPr>
          <w:rFonts w:ascii="Times New Roman" w:hAnsi="Times New Roman" w:cs="Times New Roman"/>
          <w:b/>
          <w:sz w:val="14"/>
          <w:szCs w:val="14"/>
          <w:lang w:val="es-MX"/>
        </w:rPr>
      </w:pPr>
    </w:p>
    <w:p w14:paraId="53D073E0" w14:textId="39C11E1B" w:rsidR="0011046F" w:rsidRDefault="0011046F" w:rsidP="0002331B">
      <w:pPr>
        <w:pStyle w:val="Sinespaciado"/>
        <w:rPr>
          <w:rFonts w:ascii="Times New Roman" w:hAnsi="Times New Roman" w:cs="Times New Roman"/>
          <w:b/>
          <w:sz w:val="14"/>
          <w:szCs w:val="14"/>
          <w:lang w:val="es-MX"/>
        </w:rPr>
      </w:pPr>
    </w:p>
    <w:p w14:paraId="40ACCFEB" w14:textId="2C3239A2" w:rsidR="0011046F" w:rsidRDefault="0011046F" w:rsidP="0002331B">
      <w:pPr>
        <w:pStyle w:val="Sinespaciado"/>
        <w:rPr>
          <w:rFonts w:ascii="Times New Roman" w:hAnsi="Times New Roman" w:cs="Times New Roman"/>
          <w:b/>
          <w:sz w:val="14"/>
          <w:szCs w:val="14"/>
          <w:lang w:val="es-MX"/>
        </w:rPr>
      </w:pPr>
    </w:p>
    <w:p w14:paraId="1DD9C6B5" w14:textId="3F76E695" w:rsidR="0011046F" w:rsidRDefault="0011046F" w:rsidP="0002331B">
      <w:pPr>
        <w:pStyle w:val="Sinespaciado"/>
        <w:rPr>
          <w:rFonts w:ascii="Times New Roman" w:hAnsi="Times New Roman" w:cs="Times New Roman"/>
          <w:b/>
          <w:sz w:val="14"/>
          <w:szCs w:val="14"/>
          <w:lang w:val="es-MX"/>
        </w:rPr>
      </w:pPr>
    </w:p>
    <w:p w14:paraId="4F78B00E" w14:textId="3C862950" w:rsidR="0011046F" w:rsidRDefault="0011046F" w:rsidP="0002331B">
      <w:pPr>
        <w:pStyle w:val="Sinespaciado"/>
        <w:rPr>
          <w:rFonts w:ascii="Times New Roman" w:hAnsi="Times New Roman" w:cs="Times New Roman"/>
          <w:b/>
          <w:sz w:val="14"/>
          <w:szCs w:val="14"/>
          <w:lang w:val="es-MX"/>
        </w:rPr>
      </w:pPr>
    </w:p>
    <w:p w14:paraId="01EBBD67" w14:textId="79A6B07C" w:rsidR="0011046F" w:rsidRDefault="0011046F" w:rsidP="0002331B">
      <w:pPr>
        <w:pStyle w:val="Sinespaciado"/>
        <w:rPr>
          <w:rFonts w:ascii="Times New Roman" w:hAnsi="Times New Roman" w:cs="Times New Roman"/>
          <w:b/>
          <w:sz w:val="14"/>
          <w:szCs w:val="14"/>
          <w:lang w:val="es-MX"/>
        </w:rPr>
      </w:pPr>
    </w:p>
    <w:p w14:paraId="0ACD7332" w14:textId="7493E866" w:rsidR="0011046F" w:rsidRDefault="0011046F" w:rsidP="0002331B">
      <w:pPr>
        <w:pStyle w:val="Sinespaciado"/>
        <w:rPr>
          <w:rFonts w:ascii="Times New Roman" w:hAnsi="Times New Roman" w:cs="Times New Roman"/>
          <w:b/>
          <w:sz w:val="14"/>
          <w:szCs w:val="14"/>
          <w:lang w:val="es-MX"/>
        </w:rPr>
      </w:pPr>
    </w:p>
    <w:p w14:paraId="69477FDF" w14:textId="0BD85B17" w:rsidR="0011046F" w:rsidRDefault="0011046F" w:rsidP="0002331B">
      <w:pPr>
        <w:pStyle w:val="Sinespaciado"/>
        <w:rPr>
          <w:rFonts w:ascii="Times New Roman" w:hAnsi="Times New Roman" w:cs="Times New Roman"/>
          <w:b/>
          <w:sz w:val="14"/>
          <w:szCs w:val="14"/>
          <w:lang w:val="es-MX"/>
        </w:rPr>
      </w:pPr>
    </w:p>
    <w:p w14:paraId="062B4984" w14:textId="77777777" w:rsidR="0011046F" w:rsidRPr="005E386C" w:rsidRDefault="0011046F" w:rsidP="0002331B">
      <w:pPr>
        <w:pStyle w:val="Sinespaciado"/>
        <w:rPr>
          <w:rFonts w:ascii="Times New Roman" w:hAnsi="Times New Roman" w:cs="Times New Roman"/>
          <w:b/>
          <w:sz w:val="14"/>
          <w:szCs w:val="14"/>
          <w:lang w:val="es-MX"/>
        </w:rPr>
      </w:pPr>
    </w:p>
    <w:p w14:paraId="6FA98A04" w14:textId="77777777" w:rsidR="006B4A2A" w:rsidRPr="005E386C" w:rsidRDefault="006B4A2A" w:rsidP="006B4A2A">
      <w:pPr>
        <w:pStyle w:val="Sinespaciado"/>
        <w:jc w:val="center"/>
        <w:rPr>
          <w:rFonts w:ascii="Times New Roman" w:hAnsi="Times New Roman" w:cs="Times New Roman"/>
          <w:b/>
        </w:rPr>
      </w:pPr>
      <w:r w:rsidRPr="005E386C">
        <w:rPr>
          <w:rFonts w:ascii="Times New Roman" w:hAnsi="Times New Roman" w:cs="Times New Roman"/>
          <w:b/>
        </w:rPr>
        <w:t>Principales Acciones por Decreto y Entidad Responsable</w:t>
      </w:r>
    </w:p>
    <w:p w14:paraId="5620C0E6" w14:textId="77777777" w:rsidR="001E5527" w:rsidRPr="005E386C" w:rsidRDefault="001E5527" w:rsidP="006B4A2A">
      <w:pPr>
        <w:pStyle w:val="Sinespaciado"/>
        <w:jc w:val="center"/>
        <w:rPr>
          <w:rFonts w:ascii="Times New Roman" w:hAnsi="Times New Roman" w:cs="Times New Roman"/>
        </w:rPr>
      </w:pPr>
      <w:r w:rsidRPr="005E386C">
        <w:rPr>
          <w:rFonts w:ascii="Times New Roman" w:hAnsi="Times New Roman" w:cs="Times New Roman"/>
        </w:rPr>
        <w:t>Ejecución al 31 de mayo de 2022</w:t>
      </w:r>
    </w:p>
    <w:p w14:paraId="419524BA" w14:textId="77777777" w:rsidR="00B77BCA" w:rsidRPr="005E386C" w:rsidRDefault="001E5527" w:rsidP="00B77BCA">
      <w:pPr>
        <w:pStyle w:val="Sinespaciado"/>
        <w:jc w:val="center"/>
        <w:rPr>
          <w:rFonts w:ascii="Times New Roman" w:hAnsi="Times New Roman" w:cs="Times New Roman"/>
          <w:sz w:val="20"/>
        </w:rPr>
      </w:pPr>
      <w:r w:rsidRPr="005E386C">
        <w:rPr>
          <w:noProof/>
          <w:lang w:eastAsia="es-GT"/>
        </w:rPr>
        <w:drawing>
          <wp:anchor distT="0" distB="0" distL="114300" distR="114300" simplePos="0" relativeHeight="251796480" behindDoc="0" locked="0" layoutInCell="1" allowOverlap="1" wp14:anchorId="49534D8A" wp14:editId="1BD28D6A">
            <wp:simplePos x="0" y="0"/>
            <wp:positionH relativeFrom="column">
              <wp:posOffset>-105410</wp:posOffset>
            </wp:positionH>
            <wp:positionV relativeFrom="paragraph">
              <wp:posOffset>167005</wp:posOffset>
            </wp:positionV>
            <wp:extent cx="2790825" cy="2069465"/>
            <wp:effectExtent l="0" t="0" r="9525" b="698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0825" cy="206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A2A" w:rsidRPr="005E386C">
        <w:rPr>
          <w:rFonts w:ascii="Times New Roman" w:hAnsi="Times New Roman" w:cs="Times New Roman"/>
          <w:sz w:val="20"/>
        </w:rPr>
        <w:t>Cifras en millones de quetzales y porcentajes</w:t>
      </w:r>
    </w:p>
    <w:p w14:paraId="11AEC000" w14:textId="77777777" w:rsidR="0099630E" w:rsidRPr="005E386C" w:rsidRDefault="006B4A2A" w:rsidP="006B4A2A">
      <w:pPr>
        <w:pStyle w:val="Sinespaciado"/>
        <w:jc w:val="both"/>
        <w:rPr>
          <w:rFonts w:ascii="Times New Roman" w:hAnsi="Times New Roman" w:cs="Times New Roman"/>
        </w:rPr>
      </w:pPr>
      <w:r w:rsidRPr="005E386C">
        <w:rPr>
          <w:rFonts w:ascii="Times New Roman" w:hAnsi="Times New Roman" w:cs="Times New Roman"/>
        </w:rPr>
        <w:t>*</w:t>
      </w:r>
      <w:r w:rsidRPr="005E386C">
        <w:rPr>
          <w:rFonts w:ascii="Times New Roman" w:hAnsi="Times New Roman" w:cs="Times New Roman"/>
          <w:sz w:val="14"/>
        </w:rPr>
        <w:t>EI Decreto 15-2021 estuvo vigente por 3 meses de diciembre 2021 a febrero del 2022 y fue extendido por medio del Decreto 17-2022</w:t>
      </w:r>
      <w:r w:rsidR="00B77BCA" w:rsidRPr="005E386C">
        <w:rPr>
          <w:rFonts w:ascii="Times New Roman" w:hAnsi="Times New Roman" w:cs="Times New Roman"/>
          <w:sz w:val="14"/>
          <w:szCs w:val="16"/>
        </w:rPr>
        <w:t>Fuente: Dirección de Análisis y Política Fiscal</w:t>
      </w:r>
      <w:r w:rsidR="0099630E" w:rsidRPr="005E386C">
        <w:rPr>
          <w:rFonts w:ascii="Times New Roman" w:hAnsi="Times New Roman" w:cs="Times New Roman"/>
          <w:sz w:val="14"/>
          <w:szCs w:val="16"/>
        </w:rPr>
        <w:t>.</w:t>
      </w:r>
      <w:r w:rsidR="00B77BCA" w:rsidRPr="005E386C">
        <w:rPr>
          <w:rFonts w:ascii="Times New Roman" w:hAnsi="Times New Roman" w:cs="Times New Roman"/>
        </w:rPr>
        <w:t xml:space="preserve"> </w:t>
      </w:r>
    </w:p>
    <w:p w14:paraId="78087DF6" w14:textId="77777777" w:rsidR="001E5527" w:rsidRDefault="001E5527" w:rsidP="006B4A2A">
      <w:pPr>
        <w:pStyle w:val="Sinespaciado"/>
        <w:jc w:val="both"/>
        <w:rPr>
          <w:rFonts w:ascii="Times New Roman" w:hAnsi="Times New Roman" w:cs="Times New Roman"/>
          <w:color w:val="FF0000"/>
        </w:rPr>
      </w:pPr>
    </w:p>
    <w:p w14:paraId="78D54EE2" w14:textId="77777777" w:rsidR="006B4A2A" w:rsidRPr="00515068" w:rsidRDefault="001E5527" w:rsidP="006B4A2A">
      <w:pPr>
        <w:pStyle w:val="Sinespaciado"/>
        <w:jc w:val="both"/>
        <w:rPr>
          <w:rFonts w:ascii="Times New Roman" w:hAnsi="Times New Roman" w:cs="Times New Roman"/>
          <w:color w:val="FF0000"/>
          <w:sz w:val="14"/>
        </w:rPr>
      </w:pPr>
      <w:r w:rsidRPr="00283BEA">
        <w:rPr>
          <w:rFonts w:ascii="Times New Roman" w:hAnsi="Times New Roman" w:cs="Times New Roman"/>
        </w:rPr>
        <w:t>Res</w:t>
      </w:r>
      <w:r>
        <w:rPr>
          <w:rFonts w:ascii="Times New Roman" w:hAnsi="Times New Roman" w:cs="Times New Roman"/>
        </w:rPr>
        <w:t>pecto a los receptores del subsidio al gas propano y gasolina regular y diésel, resalta que Zeta Gas y Chevron son las empresas privadas que más han recibido transferencias por este concepto.</w:t>
      </w:r>
    </w:p>
    <w:p w14:paraId="2A403282" w14:textId="77777777" w:rsidR="006B4A2A" w:rsidRPr="00515068" w:rsidRDefault="006B4A2A" w:rsidP="006B4A2A">
      <w:pPr>
        <w:pStyle w:val="Sinespaciado"/>
        <w:jc w:val="both"/>
        <w:rPr>
          <w:rFonts w:ascii="Times New Roman" w:hAnsi="Times New Roman" w:cs="Times New Roman"/>
          <w:color w:val="FF0000"/>
        </w:rPr>
      </w:pPr>
    </w:p>
    <w:p w14:paraId="70C2D19C" w14:textId="77777777" w:rsidR="006B4A2A" w:rsidRPr="001E5527" w:rsidRDefault="006B4A2A" w:rsidP="006B4A2A">
      <w:pPr>
        <w:pStyle w:val="Sinespaciado"/>
        <w:jc w:val="center"/>
        <w:rPr>
          <w:rFonts w:ascii="Times New Roman" w:hAnsi="Times New Roman" w:cs="Times New Roman"/>
          <w:b/>
        </w:rPr>
      </w:pPr>
      <w:r w:rsidRPr="001E5527">
        <w:rPr>
          <w:rFonts w:ascii="Times New Roman" w:hAnsi="Times New Roman" w:cs="Times New Roman"/>
          <w:b/>
        </w:rPr>
        <w:t>Empresas Privadas Receptoras</w:t>
      </w:r>
    </w:p>
    <w:p w14:paraId="7CF03C1D" w14:textId="77777777" w:rsidR="006B4A2A" w:rsidRPr="001E5527" w:rsidRDefault="006B4A2A" w:rsidP="006B4A2A">
      <w:pPr>
        <w:pStyle w:val="Sinespaciado"/>
        <w:jc w:val="center"/>
        <w:rPr>
          <w:rFonts w:ascii="Times New Roman" w:hAnsi="Times New Roman" w:cs="Times New Roman"/>
          <w:sz w:val="14"/>
        </w:rPr>
      </w:pPr>
      <w:r w:rsidRPr="001E5527">
        <w:rPr>
          <w:rFonts w:ascii="Times New Roman" w:hAnsi="Times New Roman" w:cs="Times New Roman"/>
          <w:sz w:val="20"/>
        </w:rPr>
        <w:t>Cifras en millones de quetzales</w:t>
      </w:r>
    </w:p>
    <w:p w14:paraId="273F287C" w14:textId="77777777" w:rsidR="006B4A2A" w:rsidRPr="001E5527" w:rsidRDefault="006B4A2A" w:rsidP="006B4A2A">
      <w:pPr>
        <w:pStyle w:val="Sinespaciado"/>
        <w:jc w:val="both"/>
        <w:rPr>
          <w:rFonts w:ascii="Times New Roman" w:hAnsi="Times New Roman" w:cs="Times New Roman"/>
          <w:sz w:val="10"/>
          <w:szCs w:val="18"/>
        </w:rPr>
      </w:pPr>
    </w:p>
    <w:p w14:paraId="3D00F1F1" w14:textId="77777777" w:rsidR="001E5527" w:rsidRPr="001E5527" w:rsidRDefault="001E5527" w:rsidP="006B4A2A">
      <w:pPr>
        <w:pStyle w:val="Sinespaciado"/>
        <w:rPr>
          <w:noProof/>
          <w:sz w:val="18"/>
          <w:lang w:eastAsia="es-GT"/>
        </w:rPr>
      </w:pPr>
      <w:r w:rsidRPr="001E5527">
        <w:rPr>
          <w:noProof/>
          <w:lang w:eastAsia="es-GT"/>
        </w:rPr>
        <w:drawing>
          <wp:inline distT="0" distB="0" distL="0" distR="0" wp14:anchorId="7787CCA8" wp14:editId="2FC34F3B">
            <wp:extent cx="2581275" cy="1109980"/>
            <wp:effectExtent l="0" t="0" r="9525"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1275" cy="1109980"/>
                    </a:xfrm>
                    <a:prstGeom prst="rect">
                      <a:avLst/>
                    </a:prstGeom>
                    <a:noFill/>
                    <a:ln>
                      <a:noFill/>
                    </a:ln>
                  </pic:spPr>
                </pic:pic>
              </a:graphicData>
            </a:graphic>
          </wp:inline>
        </w:drawing>
      </w:r>
    </w:p>
    <w:p w14:paraId="684E7CAC" w14:textId="77777777" w:rsidR="006B4A2A" w:rsidRPr="001E5527" w:rsidRDefault="006B4A2A" w:rsidP="006B4A2A">
      <w:pPr>
        <w:pStyle w:val="Sinespaciado"/>
        <w:rPr>
          <w:rFonts w:ascii="Times New Roman" w:hAnsi="Times New Roman" w:cs="Times New Roman"/>
          <w:sz w:val="14"/>
          <w:szCs w:val="18"/>
        </w:rPr>
      </w:pPr>
      <w:r w:rsidRPr="001E5527">
        <w:rPr>
          <w:rFonts w:ascii="Times New Roman" w:hAnsi="Times New Roman" w:cs="Times New Roman"/>
          <w:sz w:val="14"/>
          <w:szCs w:val="18"/>
        </w:rPr>
        <w:t>Fuente: SICOIN</w:t>
      </w:r>
    </w:p>
    <w:p w14:paraId="2611AF53" w14:textId="77777777" w:rsidR="0071038C" w:rsidRPr="00515068" w:rsidRDefault="0071038C" w:rsidP="001B456C">
      <w:pPr>
        <w:pStyle w:val="Sinespaciado"/>
        <w:rPr>
          <w:rFonts w:ascii="Times New Roman" w:hAnsi="Times New Roman" w:cs="Times New Roman"/>
          <w:color w:val="FF0000"/>
          <w:sz w:val="18"/>
          <w:szCs w:val="18"/>
        </w:rPr>
      </w:pPr>
    </w:p>
    <w:p w14:paraId="0F7FB8A8" w14:textId="77777777" w:rsidR="0071038C" w:rsidRPr="00515068" w:rsidRDefault="0071038C" w:rsidP="0071038C">
      <w:pPr>
        <w:pStyle w:val="Sinespaciado"/>
        <w:rPr>
          <w:rFonts w:ascii="Times New Roman" w:hAnsi="Times New Roman" w:cs="Times New Roman"/>
          <w:color w:val="FF0000"/>
          <w:sz w:val="12"/>
          <w:szCs w:val="18"/>
        </w:rPr>
        <w:sectPr w:rsidR="0071038C" w:rsidRPr="00515068" w:rsidSect="0071038C">
          <w:type w:val="continuous"/>
          <w:pgSz w:w="12240" w:h="15840"/>
          <w:pgMar w:top="1417" w:right="1701" w:bottom="1417" w:left="1701" w:header="708" w:footer="708" w:gutter="0"/>
          <w:cols w:num="2" w:space="708"/>
          <w:docGrid w:linePitch="360"/>
        </w:sectPr>
      </w:pPr>
    </w:p>
    <w:p w14:paraId="31DBACAB" w14:textId="77777777" w:rsidR="00776700" w:rsidRPr="00515068" w:rsidRDefault="00776700" w:rsidP="00776700">
      <w:pPr>
        <w:pStyle w:val="Sinespaciado"/>
        <w:ind w:right="213"/>
        <w:rPr>
          <w:rFonts w:ascii="Times New Roman" w:hAnsi="Times New Roman" w:cs="Times New Roman"/>
          <w:color w:val="FF0000"/>
          <w:sz w:val="8"/>
        </w:rPr>
      </w:pPr>
    </w:p>
    <w:p w14:paraId="537BF955" w14:textId="77777777" w:rsidR="00776700" w:rsidRPr="00515068" w:rsidRDefault="00776700" w:rsidP="00776700">
      <w:pPr>
        <w:spacing w:after="0"/>
        <w:rPr>
          <w:rFonts w:ascii="Times New Roman" w:hAnsi="Times New Roman" w:cs="Times New Roman"/>
          <w:color w:val="FF0000"/>
          <w:sz w:val="14"/>
        </w:rPr>
        <w:sectPr w:rsidR="00776700" w:rsidRPr="00515068" w:rsidSect="00960BE9">
          <w:type w:val="continuous"/>
          <w:pgSz w:w="12240" w:h="15840"/>
          <w:pgMar w:top="1417" w:right="1701" w:bottom="1417" w:left="1701" w:header="708" w:footer="708" w:gutter="0"/>
          <w:cols w:space="708"/>
          <w:docGrid w:linePitch="360"/>
        </w:sectPr>
      </w:pPr>
    </w:p>
    <w:p w14:paraId="56190A38" w14:textId="77777777" w:rsidR="008E00B7" w:rsidRPr="00515AED" w:rsidRDefault="00776700"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515AED">
        <w:rPr>
          <w:rFonts w:ascii="Times New Roman" w:hAnsi="Times New Roman" w:cs="Times New Roman"/>
          <w:b/>
          <w:color w:val="FFFFFF" w:themeColor="background1"/>
          <w:sz w:val="24"/>
          <w:szCs w:val="24"/>
        </w:rPr>
        <w:t>Ambientes macroeconómicos (externo e interno)</w:t>
      </w:r>
    </w:p>
    <w:p w14:paraId="19A9E61B" w14:textId="77777777" w:rsidR="00776700" w:rsidRPr="00515068" w:rsidRDefault="00776700" w:rsidP="00C76B98">
      <w:pPr>
        <w:pStyle w:val="Sinespaciado"/>
        <w:rPr>
          <w:rFonts w:ascii="Times New Roman" w:hAnsi="Times New Roman" w:cs="Times New Roman"/>
          <w:color w:val="FF0000"/>
          <w:sz w:val="18"/>
          <w:szCs w:val="18"/>
        </w:rPr>
      </w:pPr>
    </w:p>
    <w:p w14:paraId="25ED5288" w14:textId="77777777" w:rsidR="00776700" w:rsidRPr="00515068" w:rsidRDefault="00776700" w:rsidP="00776700">
      <w:pPr>
        <w:spacing w:after="0"/>
        <w:rPr>
          <w:rFonts w:ascii="Times New Roman" w:hAnsi="Times New Roman" w:cs="Times New Roman"/>
          <w:color w:val="FF0000"/>
        </w:rPr>
        <w:sectPr w:rsidR="00776700" w:rsidRPr="00515068" w:rsidSect="00960BE9">
          <w:headerReference w:type="default" r:id="rId53"/>
          <w:footerReference w:type="default" r:id="rId54"/>
          <w:type w:val="continuous"/>
          <w:pgSz w:w="12240" w:h="15840"/>
          <w:pgMar w:top="1417" w:right="1701" w:bottom="1417" w:left="1701" w:header="708" w:footer="708" w:gutter="0"/>
          <w:cols w:space="708"/>
          <w:docGrid w:linePitch="360"/>
        </w:sectPr>
      </w:pPr>
    </w:p>
    <w:p w14:paraId="1C83F224" w14:textId="77777777" w:rsidR="00233911" w:rsidRDefault="00E564DE" w:rsidP="00816A9D">
      <w:pPr>
        <w:pStyle w:val="Textodeglobo"/>
        <w:jc w:val="both"/>
        <w:rPr>
          <w:rFonts w:ascii="Times New Roman" w:hAnsi="Times New Roman" w:cs="Times New Roman"/>
          <w:sz w:val="22"/>
          <w:szCs w:val="22"/>
        </w:rPr>
      </w:pPr>
      <w:r w:rsidRPr="00E564DE">
        <w:rPr>
          <w:rFonts w:ascii="Times New Roman" w:hAnsi="Times New Roman" w:cs="Times New Roman"/>
          <w:sz w:val="22"/>
          <w:szCs w:val="22"/>
        </w:rPr>
        <w:t>La economía mundial enfrenta importantes riesgos a la baja debido a una mayor escalada de la guerra en Ucrania, nuevas oleadas de la pandemia y un endurecimiento monetario más rápido de lo esperado en las economías desarrolladas</w:t>
      </w:r>
      <w:r>
        <w:rPr>
          <w:rFonts w:ascii="Times New Roman" w:hAnsi="Times New Roman" w:cs="Times New Roman"/>
          <w:sz w:val="22"/>
          <w:szCs w:val="22"/>
        </w:rPr>
        <w:t>.  Varios organismos internacionales coinciden en que l</w:t>
      </w:r>
      <w:r w:rsidRPr="00E564DE">
        <w:rPr>
          <w:rFonts w:ascii="Times New Roman" w:hAnsi="Times New Roman" w:cs="Times New Roman"/>
          <w:sz w:val="22"/>
          <w:szCs w:val="22"/>
        </w:rPr>
        <w:t>a economía mundial está experimentando una inflación sin precedentes</w:t>
      </w:r>
      <w:r>
        <w:rPr>
          <w:rFonts w:ascii="Times New Roman" w:hAnsi="Times New Roman" w:cs="Times New Roman"/>
          <w:sz w:val="22"/>
          <w:szCs w:val="22"/>
        </w:rPr>
        <w:t>, según el FMI, l</w:t>
      </w:r>
      <w:r w:rsidRPr="00E564DE">
        <w:rPr>
          <w:rFonts w:ascii="Times New Roman" w:hAnsi="Times New Roman" w:cs="Times New Roman"/>
          <w:sz w:val="22"/>
          <w:szCs w:val="22"/>
        </w:rPr>
        <w:t>as economías emergentes y en desarrollo serán las más golpeadas por este aumento generalizado de precios, ya q</w:t>
      </w:r>
      <w:r>
        <w:rPr>
          <w:rFonts w:ascii="Times New Roman" w:hAnsi="Times New Roman" w:cs="Times New Roman"/>
          <w:sz w:val="22"/>
          <w:szCs w:val="22"/>
        </w:rPr>
        <w:t>ue se espera que registren un 8.</w:t>
      </w:r>
      <w:r w:rsidRPr="00E564DE">
        <w:rPr>
          <w:rFonts w:ascii="Times New Roman" w:hAnsi="Times New Roman" w:cs="Times New Roman"/>
          <w:sz w:val="22"/>
          <w:szCs w:val="22"/>
        </w:rPr>
        <w:t xml:space="preserve">7% </w:t>
      </w:r>
      <w:r w:rsidRPr="00E564DE">
        <w:rPr>
          <w:rFonts w:ascii="Times New Roman" w:hAnsi="Times New Roman" w:cs="Times New Roman"/>
          <w:sz w:val="22"/>
          <w:szCs w:val="22"/>
        </w:rPr>
        <w:t>de inflación. En las economías más avanzadas, este</w:t>
      </w:r>
      <w:r>
        <w:rPr>
          <w:rFonts w:ascii="Times New Roman" w:hAnsi="Times New Roman" w:cs="Times New Roman"/>
          <w:sz w:val="22"/>
          <w:szCs w:val="22"/>
        </w:rPr>
        <w:t xml:space="preserve"> porcentaje se situaría en un 5.</w:t>
      </w:r>
      <w:r w:rsidRPr="00E564DE">
        <w:rPr>
          <w:rFonts w:ascii="Times New Roman" w:hAnsi="Times New Roman" w:cs="Times New Roman"/>
          <w:sz w:val="22"/>
          <w:szCs w:val="22"/>
        </w:rPr>
        <w:t>7%, una cifra mucho más alta que la registrada en los tres años anteriores a la pandemia, cuando no superaba el 2%.</w:t>
      </w:r>
      <w:r w:rsidR="00D04A4E">
        <w:rPr>
          <w:rFonts w:ascii="Times New Roman" w:hAnsi="Times New Roman" w:cs="Times New Roman"/>
          <w:sz w:val="22"/>
          <w:szCs w:val="22"/>
        </w:rPr>
        <w:t xml:space="preserve"> </w:t>
      </w:r>
      <w:r w:rsidR="00D04A4E" w:rsidRPr="00D04A4E">
        <w:rPr>
          <w:rFonts w:ascii="Times New Roman" w:hAnsi="Times New Roman" w:cs="Times New Roman"/>
          <w:sz w:val="22"/>
          <w:szCs w:val="22"/>
        </w:rPr>
        <w:t>El Banco Mundial, Naciones Unidas</w:t>
      </w:r>
      <w:r w:rsidR="00D04A4E">
        <w:rPr>
          <w:rFonts w:ascii="Times New Roman" w:hAnsi="Times New Roman" w:cs="Times New Roman"/>
          <w:sz w:val="22"/>
          <w:szCs w:val="22"/>
        </w:rPr>
        <w:t>, la OCDE y Cepal</w:t>
      </w:r>
      <w:r w:rsidR="00D04A4E" w:rsidRPr="00D04A4E">
        <w:rPr>
          <w:rFonts w:ascii="Times New Roman" w:hAnsi="Times New Roman" w:cs="Times New Roman"/>
          <w:sz w:val="22"/>
          <w:szCs w:val="22"/>
        </w:rPr>
        <w:t xml:space="preserve"> han hecho recortes similares a sus pronósticos económicos </w:t>
      </w:r>
      <w:r w:rsidR="00D04A4E" w:rsidRPr="00DF7969">
        <w:rPr>
          <w:rFonts w:ascii="Times New Roman" w:hAnsi="Times New Roman" w:cs="Times New Roman"/>
          <w:sz w:val="22"/>
          <w:szCs w:val="22"/>
        </w:rPr>
        <w:t>recientemente.</w:t>
      </w:r>
    </w:p>
    <w:p w14:paraId="0CED148A" w14:textId="77777777" w:rsidR="00C60D3A" w:rsidRDefault="00C60D3A" w:rsidP="00816A9D">
      <w:pPr>
        <w:pStyle w:val="Textodeglobo"/>
        <w:jc w:val="both"/>
        <w:rPr>
          <w:rFonts w:ascii="Times New Roman" w:hAnsi="Times New Roman" w:cs="Times New Roman"/>
          <w:sz w:val="22"/>
          <w:szCs w:val="22"/>
        </w:rPr>
      </w:pPr>
    </w:p>
    <w:p w14:paraId="7E39B437" w14:textId="77777777" w:rsidR="00C60D3A" w:rsidRDefault="00C60D3A" w:rsidP="00816A9D">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El Banco Mundial en su más reciente actualización de perspectivas económicas mundiales, indicó </w:t>
      </w:r>
      <w:r w:rsidR="00FB4B07">
        <w:rPr>
          <w:rFonts w:ascii="Times New Roman" w:hAnsi="Times New Roman" w:cs="Times New Roman"/>
          <w:sz w:val="22"/>
          <w:szCs w:val="22"/>
        </w:rPr>
        <w:t xml:space="preserve">que </w:t>
      </w:r>
      <w:r w:rsidRPr="00C60D3A">
        <w:rPr>
          <w:rFonts w:ascii="Times New Roman" w:hAnsi="Times New Roman" w:cs="Times New Roman"/>
          <w:sz w:val="22"/>
          <w:szCs w:val="22"/>
        </w:rPr>
        <w:t xml:space="preserve">prevé que el </w:t>
      </w:r>
      <w:r w:rsidRPr="00C60D3A">
        <w:rPr>
          <w:rFonts w:ascii="Times New Roman" w:hAnsi="Times New Roman" w:cs="Times New Roman"/>
          <w:sz w:val="22"/>
          <w:szCs w:val="22"/>
        </w:rPr>
        <w:lastRenderedPageBreak/>
        <w:t>crecimiento mundial descienda del 5</w:t>
      </w:r>
      <w:r w:rsidR="00FB4B07">
        <w:rPr>
          <w:rFonts w:ascii="Times New Roman" w:hAnsi="Times New Roman" w:cs="Times New Roman"/>
          <w:sz w:val="22"/>
          <w:szCs w:val="22"/>
        </w:rPr>
        <w:t>.7 % en 2021 al 2.</w:t>
      </w:r>
      <w:r w:rsidRPr="00C60D3A">
        <w:rPr>
          <w:rFonts w:ascii="Times New Roman" w:hAnsi="Times New Roman" w:cs="Times New Roman"/>
          <w:sz w:val="22"/>
          <w:szCs w:val="22"/>
        </w:rPr>
        <w:t>9 % en 2022, un porcentaje c</w:t>
      </w:r>
      <w:r w:rsidR="00FB4B07">
        <w:rPr>
          <w:rFonts w:ascii="Times New Roman" w:hAnsi="Times New Roman" w:cs="Times New Roman"/>
          <w:sz w:val="22"/>
          <w:szCs w:val="22"/>
        </w:rPr>
        <w:t>onsiderablemente menor que el 4.</w:t>
      </w:r>
      <w:r w:rsidRPr="00C60D3A">
        <w:rPr>
          <w:rFonts w:ascii="Times New Roman" w:hAnsi="Times New Roman" w:cs="Times New Roman"/>
          <w:sz w:val="22"/>
          <w:szCs w:val="22"/>
        </w:rPr>
        <w:t xml:space="preserve">1 % </w:t>
      </w:r>
      <w:r w:rsidR="00FB4B07">
        <w:rPr>
          <w:rFonts w:ascii="Times New Roman" w:hAnsi="Times New Roman" w:cs="Times New Roman"/>
          <w:sz w:val="22"/>
          <w:szCs w:val="22"/>
        </w:rPr>
        <w:t>anticipado en enero y s</w:t>
      </w:r>
      <w:r w:rsidRPr="00C60D3A">
        <w:rPr>
          <w:rFonts w:ascii="Times New Roman" w:hAnsi="Times New Roman" w:cs="Times New Roman"/>
          <w:sz w:val="22"/>
          <w:szCs w:val="22"/>
        </w:rPr>
        <w:t>e prevé que oscile en torno a ese ritmo durante el período 2023-24, a medida que la guerra en Ucrania afecte la actividad, la inversión y el comercio en el corto plazo; la demanda reprimida se disipe, y vayan eliminándose las políticas monetarias y fiscales acomodaticias. Como resultado de los daños derivados de la pandemia y la guerra, este año, el nivel de ingreso per cápita de las economías en desarrollo se ubicará casi un 5 % por debajo de su tendencia previa a la pandemia.</w:t>
      </w:r>
    </w:p>
    <w:p w14:paraId="06C3AA21" w14:textId="77777777" w:rsidR="00FB4B07" w:rsidRDefault="00FB4B07" w:rsidP="00816A9D">
      <w:pPr>
        <w:pStyle w:val="Textodeglobo"/>
        <w:jc w:val="both"/>
        <w:rPr>
          <w:rFonts w:ascii="Times New Roman" w:hAnsi="Times New Roman" w:cs="Times New Roman"/>
          <w:sz w:val="22"/>
          <w:szCs w:val="22"/>
        </w:rPr>
      </w:pPr>
    </w:p>
    <w:p w14:paraId="1B62691D" w14:textId="77777777" w:rsidR="00FB4B07" w:rsidRDefault="00FB4B07" w:rsidP="00FB4B07">
      <w:pPr>
        <w:pStyle w:val="Textodeglobo"/>
        <w:jc w:val="both"/>
        <w:rPr>
          <w:rFonts w:ascii="Times New Roman" w:hAnsi="Times New Roman" w:cs="Times New Roman"/>
          <w:sz w:val="22"/>
          <w:szCs w:val="22"/>
        </w:rPr>
      </w:pPr>
      <w:r>
        <w:rPr>
          <w:rFonts w:ascii="Times New Roman" w:hAnsi="Times New Roman" w:cs="Times New Roman"/>
          <w:sz w:val="22"/>
          <w:szCs w:val="22"/>
        </w:rPr>
        <w:t xml:space="preserve">En el informe, el banco indicó </w:t>
      </w:r>
      <w:r w:rsidRPr="00FB4B07">
        <w:rPr>
          <w:rFonts w:ascii="Times New Roman" w:hAnsi="Times New Roman" w:cs="Times New Roman"/>
          <w:sz w:val="22"/>
          <w:szCs w:val="22"/>
        </w:rPr>
        <w:t>que el crecimiento en las e</w:t>
      </w:r>
      <w:r>
        <w:rPr>
          <w:rFonts w:ascii="Times New Roman" w:hAnsi="Times New Roman" w:cs="Times New Roman"/>
          <w:sz w:val="22"/>
          <w:szCs w:val="22"/>
        </w:rPr>
        <w:t>conomías avanzadas se desacelerará</w:t>
      </w:r>
      <w:r w:rsidRPr="00FB4B07">
        <w:rPr>
          <w:rFonts w:ascii="Times New Roman" w:hAnsi="Times New Roman" w:cs="Times New Roman"/>
          <w:sz w:val="22"/>
          <w:szCs w:val="22"/>
        </w:rPr>
        <w:t xml:space="preserve"> drás</w:t>
      </w:r>
      <w:r>
        <w:rPr>
          <w:rFonts w:ascii="Times New Roman" w:hAnsi="Times New Roman" w:cs="Times New Roman"/>
          <w:sz w:val="22"/>
          <w:szCs w:val="22"/>
        </w:rPr>
        <w:t>ticamente del 5.1 % en 2021 al 2.6 % en 2022 (1.</w:t>
      </w:r>
      <w:r w:rsidRPr="00FB4B07">
        <w:rPr>
          <w:rFonts w:ascii="Times New Roman" w:hAnsi="Times New Roman" w:cs="Times New Roman"/>
          <w:sz w:val="22"/>
          <w:szCs w:val="22"/>
        </w:rPr>
        <w:t>2 puntos porcentuales por debajo de las proyecciones de enero). Se prevé que el cre</w:t>
      </w:r>
      <w:r>
        <w:rPr>
          <w:rFonts w:ascii="Times New Roman" w:hAnsi="Times New Roman" w:cs="Times New Roman"/>
          <w:sz w:val="22"/>
          <w:szCs w:val="22"/>
        </w:rPr>
        <w:t>cimiento se modere aún más al 2.2</w:t>
      </w:r>
      <w:r w:rsidRPr="00FB4B07">
        <w:rPr>
          <w:rFonts w:ascii="Times New Roman" w:hAnsi="Times New Roman" w:cs="Times New Roman"/>
          <w:sz w:val="22"/>
          <w:szCs w:val="22"/>
        </w:rPr>
        <w:t>% en 2023, lo que reflejará en gran medida la retirada del apoyo mediante políticas monetarias y fiscales prop</w:t>
      </w:r>
      <w:r>
        <w:rPr>
          <w:rFonts w:ascii="Times New Roman" w:hAnsi="Times New Roman" w:cs="Times New Roman"/>
          <w:sz w:val="22"/>
          <w:szCs w:val="22"/>
        </w:rPr>
        <w:t xml:space="preserve">orcionado durante la pandemia.  </w:t>
      </w:r>
      <w:r w:rsidRPr="00FB4B07">
        <w:rPr>
          <w:rFonts w:ascii="Times New Roman" w:hAnsi="Times New Roman" w:cs="Times New Roman"/>
          <w:sz w:val="22"/>
          <w:szCs w:val="22"/>
        </w:rPr>
        <w:t>Entre los mercados emergentes y las economías en desarrollo, también se prevé una caída del crecimiento del 6,6 % en 2021 al 3,4 % en 2022, muy por debajo del promedio anual del 4,8 % durante el período comprendido entre 2011 y 2019.</w:t>
      </w:r>
    </w:p>
    <w:p w14:paraId="29674F0F" w14:textId="77777777" w:rsidR="005E386C" w:rsidRDefault="005E386C" w:rsidP="00FB4B07">
      <w:pPr>
        <w:pStyle w:val="Textodeglobo"/>
        <w:jc w:val="both"/>
        <w:rPr>
          <w:rFonts w:ascii="Times New Roman" w:hAnsi="Times New Roman" w:cs="Times New Roman"/>
          <w:sz w:val="22"/>
          <w:szCs w:val="22"/>
        </w:rPr>
      </w:pPr>
    </w:p>
    <w:p w14:paraId="7B50BDE6" w14:textId="77777777" w:rsidR="005E386C" w:rsidRPr="005E386C" w:rsidRDefault="005E386C" w:rsidP="005E386C">
      <w:pPr>
        <w:pStyle w:val="Textodeglobo"/>
        <w:jc w:val="center"/>
        <w:rPr>
          <w:rFonts w:ascii="Times New Roman" w:hAnsi="Times New Roman" w:cs="Times New Roman"/>
          <w:b/>
          <w:sz w:val="22"/>
          <w:szCs w:val="22"/>
        </w:rPr>
      </w:pPr>
      <w:r w:rsidRPr="005E386C">
        <w:rPr>
          <w:rFonts w:ascii="Times New Roman" w:hAnsi="Times New Roman" w:cs="Times New Roman"/>
          <w:b/>
          <w:sz w:val="22"/>
          <w:szCs w:val="22"/>
        </w:rPr>
        <w:t>Proyecci</w:t>
      </w:r>
      <w:r>
        <w:rPr>
          <w:rFonts w:ascii="Times New Roman" w:hAnsi="Times New Roman" w:cs="Times New Roman"/>
          <w:b/>
          <w:sz w:val="22"/>
          <w:szCs w:val="22"/>
        </w:rPr>
        <w:t>ón de Crecimiento E</w:t>
      </w:r>
      <w:r w:rsidRPr="005E386C">
        <w:rPr>
          <w:rFonts w:ascii="Times New Roman" w:hAnsi="Times New Roman" w:cs="Times New Roman"/>
          <w:b/>
          <w:sz w:val="22"/>
          <w:szCs w:val="22"/>
        </w:rPr>
        <w:t>conómico del Banco Mundial</w:t>
      </w:r>
    </w:p>
    <w:p w14:paraId="63921D62" w14:textId="173299DB" w:rsidR="00FB4B07" w:rsidRPr="00FB4B07" w:rsidRDefault="0011046F" w:rsidP="00FB4B07">
      <w:pPr>
        <w:pStyle w:val="Textodeglobo"/>
        <w:jc w:val="both"/>
        <w:rPr>
          <w:rFonts w:ascii="Times New Roman" w:hAnsi="Times New Roman" w:cs="Times New Roman"/>
          <w:sz w:val="14"/>
          <w:szCs w:val="22"/>
        </w:rPr>
      </w:pPr>
      <w:r w:rsidRPr="00C60D3A">
        <w:rPr>
          <w:noProof/>
          <w:lang w:eastAsia="es-GT"/>
        </w:rPr>
        <w:drawing>
          <wp:inline distT="0" distB="0" distL="0" distR="0" wp14:anchorId="0B453589" wp14:editId="59BBBC5D">
            <wp:extent cx="2420356" cy="2647507"/>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0958" cy="2659104"/>
                    </a:xfrm>
                    <a:prstGeom prst="rect">
                      <a:avLst/>
                    </a:prstGeom>
                    <a:noFill/>
                    <a:ln>
                      <a:noFill/>
                    </a:ln>
                  </pic:spPr>
                </pic:pic>
              </a:graphicData>
            </a:graphic>
          </wp:inline>
        </w:drawing>
      </w:r>
    </w:p>
    <w:p w14:paraId="3E22A1DB" w14:textId="77777777" w:rsidR="00C60D3A" w:rsidRPr="00FB4B07" w:rsidRDefault="001042A3" w:rsidP="00C56D80">
      <w:pPr>
        <w:pStyle w:val="Textodeglobo"/>
        <w:jc w:val="both"/>
        <w:rPr>
          <w:rFonts w:ascii="Times New Roman" w:hAnsi="Times New Roman" w:cs="Times New Roman"/>
          <w:szCs w:val="22"/>
        </w:rPr>
      </w:pPr>
      <w:r>
        <w:rPr>
          <w:rFonts w:ascii="Times New Roman" w:hAnsi="Times New Roman" w:cs="Times New Roman"/>
          <w:szCs w:val="22"/>
        </w:rPr>
        <w:t xml:space="preserve">       </w:t>
      </w:r>
      <w:r w:rsidR="00FB4B07" w:rsidRPr="00FB4B07">
        <w:rPr>
          <w:rFonts w:ascii="Times New Roman" w:hAnsi="Times New Roman" w:cs="Times New Roman"/>
          <w:szCs w:val="22"/>
        </w:rPr>
        <w:t>Fuente: Banco Mundial</w:t>
      </w:r>
      <w:r w:rsidR="00FB4B07">
        <w:rPr>
          <w:rFonts w:ascii="Times New Roman" w:hAnsi="Times New Roman" w:cs="Times New Roman"/>
          <w:szCs w:val="22"/>
        </w:rPr>
        <w:t>.</w:t>
      </w:r>
    </w:p>
    <w:p w14:paraId="51A82A32" w14:textId="77777777" w:rsidR="00DF7969" w:rsidRDefault="00DF7969" w:rsidP="00DF7969">
      <w:pPr>
        <w:pStyle w:val="Textodeglobo"/>
        <w:jc w:val="both"/>
        <w:rPr>
          <w:rFonts w:ascii="Times New Roman" w:hAnsi="Times New Roman" w:cs="Times New Roman"/>
          <w:sz w:val="22"/>
          <w:szCs w:val="22"/>
        </w:rPr>
      </w:pPr>
      <w:r w:rsidRPr="00DF7969">
        <w:rPr>
          <w:rFonts w:ascii="Times New Roman" w:hAnsi="Times New Roman" w:cs="Times New Roman"/>
          <w:sz w:val="22"/>
          <w:szCs w:val="22"/>
        </w:rPr>
        <w:t xml:space="preserve">En Estados Unidos, </w:t>
      </w:r>
      <w:r>
        <w:rPr>
          <w:rFonts w:ascii="Times New Roman" w:hAnsi="Times New Roman" w:cs="Times New Roman"/>
          <w:sz w:val="22"/>
          <w:szCs w:val="22"/>
        </w:rPr>
        <w:t>l</w:t>
      </w:r>
      <w:r w:rsidRPr="00DF7969">
        <w:rPr>
          <w:rFonts w:ascii="Times New Roman" w:hAnsi="Times New Roman" w:cs="Times New Roman"/>
          <w:sz w:val="22"/>
          <w:szCs w:val="22"/>
        </w:rPr>
        <w:t xml:space="preserve">a economía en la mayoría de las regiones se </w:t>
      </w:r>
      <w:r w:rsidR="005E386C">
        <w:rPr>
          <w:rFonts w:ascii="Times New Roman" w:hAnsi="Times New Roman" w:cs="Times New Roman"/>
          <w:sz w:val="22"/>
          <w:szCs w:val="22"/>
        </w:rPr>
        <w:t>expandió a un ritmo de modesto a</w:t>
      </w:r>
      <w:r w:rsidRPr="00DF7969">
        <w:rPr>
          <w:rFonts w:ascii="Times New Roman" w:hAnsi="Times New Roman" w:cs="Times New Roman"/>
          <w:sz w:val="22"/>
          <w:szCs w:val="22"/>
        </w:rPr>
        <w:t xml:space="preserve"> moderado desde abril a fines de mayo y había señales de que las acciones de la Fed para enfriar la demanda comenzaban a sentirse, </w:t>
      </w:r>
      <w:r>
        <w:rPr>
          <w:rFonts w:ascii="Times New Roman" w:hAnsi="Times New Roman" w:cs="Times New Roman"/>
          <w:sz w:val="22"/>
          <w:szCs w:val="22"/>
        </w:rPr>
        <w:t xml:space="preserve">según </w:t>
      </w:r>
      <w:r w:rsidR="005E386C">
        <w:rPr>
          <w:rFonts w:ascii="Times New Roman" w:hAnsi="Times New Roman" w:cs="Times New Roman"/>
          <w:sz w:val="22"/>
          <w:szCs w:val="22"/>
        </w:rPr>
        <w:t xml:space="preserve">lo mostraba </w:t>
      </w:r>
      <w:r>
        <w:rPr>
          <w:rFonts w:ascii="Times New Roman" w:hAnsi="Times New Roman" w:cs="Times New Roman"/>
          <w:sz w:val="22"/>
          <w:szCs w:val="22"/>
        </w:rPr>
        <w:t>el Libro Beige. Así mismo, l</w:t>
      </w:r>
      <w:r w:rsidRPr="00DF7969">
        <w:rPr>
          <w:rFonts w:ascii="Times New Roman" w:hAnsi="Times New Roman" w:cs="Times New Roman"/>
          <w:sz w:val="22"/>
          <w:szCs w:val="22"/>
        </w:rPr>
        <w:t>a Fed elevó su tasa de referencia de préstamos a un día en medio punto porcentual, a un rango objetivo de entre 0.75% y 1%, y planea nuevos aumentos del mismo tamaño en sus próximas dos reuniones en junio y julio.</w:t>
      </w:r>
    </w:p>
    <w:p w14:paraId="3B679FA0" w14:textId="77777777" w:rsidR="00DF7969" w:rsidRDefault="00DF7969" w:rsidP="00DF7969">
      <w:pPr>
        <w:pStyle w:val="Textodeglobo"/>
        <w:jc w:val="both"/>
        <w:rPr>
          <w:rFonts w:ascii="Times New Roman" w:hAnsi="Times New Roman" w:cs="Times New Roman"/>
          <w:sz w:val="22"/>
          <w:szCs w:val="22"/>
        </w:rPr>
      </w:pPr>
    </w:p>
    <w:p w14:paraId="11638057" w14:textId="77777777" w:rsidR="00DF7969" w:rsidRPr="00DF7969" w:rsidRDefault="00DF7969" w:rsidP="00DF7969">
      <w:pPr>
        <w:pStyle w:val="Textodeglobo"/>
        <w:jc w:val="both"/>
        <w:rPr>
          <w:rFonts w:ascii="Times New Roman" w:hAnsi="Times New Roman" w:cs="Times New Roman"/>
          <w:sz w:val="22"/>
          <w:szCs w:val="22"/>
        </w:rPr>
      </w:pPr>
      <w:r>
        <w:rPr>
          <w:rFonts w:ascii="Times New Roman" w:hAnsi="Times New Roman" w:cs="Times New Roman"/>
          <w:sz w:val="22"/>
          <w:szCs w:val="22"/>
        </w:rPr>
        <w:t>L</w:t>
      </w:r>
      <w:r w:rsidRPr="00DF7969">
        <w:rPr>
          <w:rFonts w:ascii="Times New Roman" w:hAnsi="Times New Roman" w:cs="Times New Roman"/>
          <w:sz w:val="22"/>
          <w:szCs w:val="22"/>
        </w:rPr>
        <w:t>a inflación</w:t>
      </w:r>
      <w:r>
        <w:rPr>
          <w:rFonts w:ascii="Times New Roman" w:hAnsi="Times New Roman" w:cs="Times New Roman"/>
          <w:sz w:val="22"/>
          <w:szCs w:val="22"/>
        </w:rPr>
        <w:t xml:space="preserve"> estadounidense</w:t>
      </w:r>
      <w:r w:rsidRPr="00DF7969">
        <w:rPr>
          <w:rFonts w:ascii="Times New Roman" w:hAnsi="Times New Roman" w:cs="Times New Roman"/>
          <w:sz w:val="22"/>
          <w:szCs w:val="22"/>
        </w:rPr>
        <w:t xml:space="preserve"> en mayo, medida a través del índice de precios al consumo</w:t>
      </w:r>
      <w:r>
        <w:rPr>
          <w:rFonts w:ascii="Times New Roman" w:hAnsi="Times New Roman" w:cs="Times New Roman"/>
          <w:sz w:val="22"/>
          <w:szCs w:val="22"/>
        </w:rPr>
        <w:t>,</w:t>
      </w:r>
      <w:r w:rsidRPr="00DF7969">
        <w:rPr>
          <w:rFonts w:ascii="Times New Roman" w:hAnsi="Times New Roman" w:cs="Times New Roman"/>
          <w:sz w:val="22"/>
          <w:szCs w:val="22"/>
        </w:rPr>
        <w:t xml:space="preserve"> aumentó un 8.6% respecto a 2021, el mayor aumento desde diciembre de 1981, según datos del Gobierno; con respecto a abril, el IPC creció 1%, tras el modesto aumento del 0.3% del mes anterior, muy por encima de lo augurado por los analistas, que esperaban que las presiones inflacionistas disminuyeran ligeramente, según informó el Departamento de Trabajo.   La economía de Estados Unidos agregó 390,000 empleos en mayo, lo que revela un ritmo de contratación más lento, a medida que el mercado laboral históricamente activo muestra signos de desaceleración.  La tasa de desempleo se mantuvo en el 3,6%, ligeramente superior al mínimo de medio siglo registrado en febrero de 2020, justo antes de la pandemia.</w:t>
      </w:r>
    </w:p>
    <w:p w14:paraId="313F3A76" w14:textId="77777777" w:rsidR="00DF7969" w:rsidRDefault="00DF7969" w:rsidP="00DF7969">
      <w:pPr>
        <w:pStyle w:val="Textodeglobo"/>
        <w:jc w:val="both"/>
        <w:rPr>
          <w:rFonts w:ascii="Times New Roman" w:hAnsi="Times New Roman" w:cs="Times New Roman"/>
          <w:color w:val="FF0000"/>
          <w:sz w:val="22"/>
          <w:szCs w:val="22"/>
        </w:rPr>
      </w:pPr>
    </w:p>
    <w:p w14:paraId="61B284D3" w14:textId="77777777" w:rsidR="00D04A4E" w:rsidRDefault="00D04A4E" w:rsidP="00C56D80">
      <w:pPr>
        <w:pStyle w:val="Textodeglobo"/>
        <w:jc w:val="both"/>
        <w:rPr>
          <w:rFonts w:ascii="Times New Roman" w:hAnsi="Times New Roman" w:cs="Times New Roman"/>
          <w:sz w:val="22"/>
          <w:szCs w:val="22"/>
        </w:rPr>
      </w:pPr>
      <w:r w:rsidRPr="00E161E3">
        <w:rPr>
          <w:rFonts w:ascii="Times New Roman" w:hAnsi="Times New Roman" w:cs="Times New Roman"/>
          <w:sz w:val="22"/>
          <w:szCs w:val="22"/>
        </w:rPr>
        <w:t xml:space="preserve">En la zona euro, en mayo los precios han aumentado un 8.1%, superando por primera vez un incremento anual de ocho puntos porcentuales desde que hay registro de datos en Eurostat, la oficina europea de estadísticas. Las cotizaciones de la energía están siendo agravadas por la invasión de Ucrania por Rusia, más la demanda que ha traído la recuperación de la crisis provocada por la pandemia, los problemas en </w:t>
      </w:r>
      <w:r w:rsidR="00E161E3" w:rsidRPr="00E161E3">
        <w:rPr>
          <w:rFonts w:ascii="Times New Roman" w:hAnsi="Times New Roman" w:cs="Times New Roman"/>
          <w:sz w:val="22"/>
          <w:szCs w:val="22"/>
        </w:rPr>
        <w:t>las cadenas de suministro y los daños colaterales que todavía da el coronavirus, como el confinamiento en China. Este comportamiento de los precios reduce el margen de maniobra del BCE en su giro a la política monetaria, que ya decidió iniciar el incremento en las tasas.</w:t>
      </w:r>
    </w:p>
    <w:p w14:paraId="189E8931" w14:textId="77777777" w:rsidR="00DF7969" w:rsidRPr="00E161E3" w:rsidRDefault="00DF7969" w:rsidP="00C56D80">
      <w:pPr>
        <w:pStyle w:val="Textodeglobo"/>
        <w:jc w:val="both"/>
        <w:rPr>
          <w:rFonts w:ascii="Times New Roman" w:hAnsi="Times New Roman" w:cs="Times New Roman"/>
          <w:sz w:val="22"/>
          <w:szCs w:val="22"/>
        </w:rPr>
      </w:pPr>
    </w:p>
    <w:p w14:paraId="1501DDEB" w14:textId="77777777" w:rsidR="009C126C" w:rsidRDefault="00A30D0C" w:rsidP="00D04A4E">
      <w:pPr>
        <w:pStyle w:val="Textodeglobo"/>
        <w:jc w:val="both"/>
        <w:rPr>
          <w:rFonts w:ascii="Times New Roman" w:hAnsi="Times New Roman" w:cs="Times New Roman"/>
          <w:sz w:val="22"/>
          <w:szCs w:val="22"/>
        </w:rPr>
      </w:pPr>
      <w:r>
        <w:rPr>
          <w:rFonts w:ascii="Times New Roman" w:hAnsi="Times New Roman" w:cs="Times New Roman"/>
          <w:sz w:val="22"/>
          <w:szCs w:val="22"/>
        </w:rPr>
        <w:t>En</w:t>
      </w:r>
      <w:r w:rsidR="00E564DE" w:rsidRPr="00E564DE">
        <w:rPr>
          <w:rFonts w:ascii="Times New Roman" w:hAnsi="Times New Roman" w:cs="Times New Roman"/>
          <w:sz w:val="22"/>
          <w:szCs w:val="22"/>
        </w:rPr>
        <w:t xml:space="preserve"> Japón</w:t>
      </w:r>
      <w:r>
        <w:rPr>
          <w:rFonts w:ascii="Times New Roman" w:hAnsi="Times New Roman" w:cs="Times New Roman"/>
          <w:sz w:val="22"/>
          <w:szCs w:val="22"/>
        </w:rPr>
        <w:t>, el PIB e</w:t>
      </w:r>
      <w:r w:rsidR="00E564DE" w:rsidRPr="00E564DE">
        <w:rPr>
          <w:rFonts w:ascii="Times New Roman" w:hAnsi="Times New Roman" w:cs="Times New Roman"/>
          <w:sz w:val="22"/>
          <w:szCs w:val="22"/>
        </w:rPr>
        <w:t>x</w:t>
      </w:r>
      <w:r w:rsidR="00E564DE">
        <w:rPr>
          <w:rFonts w:ascii="Times New Roman" w:hAnsi="Times New Roman" w:cs="Times New Roman"/>
          <w:sz w:val="22"/>
          <w:szCs w:val="22"/>
        </w:rPr>
        <w:t>perimentó una contracción del 0.</w:t>
      </w:r>
      <w:r w:rsidR="00E564DE" w:rsidRPr="00E564DE">
        <w:rPr>
          <w:rFonts w:ascii="Times New Roman" w:hAnsi="Times New Roman" w:cs="Times New Roman"/>
          <w:sz w:val="22"/>
          <w:szCs w:val="22"/>
        </w:rPr>
        <w:t xml:space="preserve">1% en el primer trimestre de 2022 </w:t>
      </w:r>
      <w:r w:rsidR="00E564DE" w:rsidRPr="00E564DE">
        <w:rPr>
          <w:rFonts w:ascii="Times New Roman" w:hAnsi="Times New Roman" w:cs="Times New Roman"/>
          <w:sz w:val="22"/>
          <w:szCs w:val="22"/>
        </w:rPr>
        <w:lastRenderedPageBreak/>
        <w:t xml:space="preserve">respecto de los tres meses anteriores, una décima menos de lo calculado inicialmente y en contraste con la expansión del 1% en el último trimestre de 2021, según la segunda estimación del dato publicada </w:t>
      </w:r>
      <w:r w:rsidR="00E564DE">
        <w:rPr>
          <w:rFonts w:ascii="Times New Roman" w:hAnsi="Times New Roman" w:cs="Times New Roman"/>
          <w:sz w:val="22"/>
          <w:szCs w:val="22"/>
        </w:rPr>
        <w:t xml:space="preserve">por el Gobierno. </w:t>
      </w:r>
      <w:r w:rsidR="00E564DE" w:rsidRPr="00E564DE">
        <w:rPr>
          <w:rFonts w:ascii="Times New Roman" w:hAnsi="Times New Roman" w:cs="Times New Roman"/>
          <w:sz w:val="22"/>
          <w:szCs w:val="22"/>
        </w:rPr>
        <w:t>La menor caída de la actividad de Japón refleja la revisión al alza de la evolución del consumo d</w:t>
      </w:r>
      <w:r>
        <w:rPr>
          <w:rFonts w:ascii="Times New Roman" w:hAnsi="Times New Roman" w:cs="Times New Roman"/>
          <w:sz w:val="22"/>
          <w:szCs w:val="22"/>
        </w:rPr>
        <w:t>e los hogares, que aumentó un 0.</w:t>
      </w:r>
      <w:r w:rsidR="00E564DE" w:rsidRPr="00E564DE">
        <w:rPr>
          <w:rFonts w:ascii="Times New Roman" w:hAnsi="Times New Roman" w:cs="Times New Roman"/>
          <w:sz w:val="22"/>
          <w:szCs w:val="22"/>
        </w:rPr>
        <w:t>1% en vez de mantenerse plano como se ca</w:t>
      </w:r>
      <w:r>
        <w:rPr>
          <w:rFonts w:ascii="Times New Roman" w:hAnsi="Times New Roman" w:cs="Times New Roman"/>
          <w:sz w:val="22"/>
          <w:szCs w:val="22"/>
        </w:rPr>
        <w:t xml:space="preserve">lculó en la primera estimación.  </w:t>
      </w:r>
      <w:r w:rsidR="00E564DE" w:rsidRPr="00E564DE">
        <w:rPr>
          <w:rFonts w:ascii="Times New Roman" w:hAnsi="Times New Roman" w:cs="Times New Roman"/>
          <w:sz w:val="22"/>
          <w:szCs w:val="22"/>
        </w:rPr>
        <w:t>Por el contrario, la inversión púb</w:t>
      </w:r>
      <w:r>
        <w:rPr>
          <w:rFonts w:ascii="Times New Roman" w:hAnsi="Times New Roman" w:cs="Times New Roman"/>
          <w:sz w:val="22"/>
          <w:szCs w:val="22"/>
        </w:rPr>
        <w:t>lica cayó un 3.9% trimestral, frente al 3.</w:t>
      </w:r>
      <w:r w:rsidR="00E564DE" w:rsidRPr="00E564DE">
        <w:rPr>
          <w:rFonts w:ascii="Times New Roman" w:hAnsi="Times New Roman" w:cs="Times New Roman"/>
          <w:sz w:val="22"/>
          <w:szCs w:val="22"/>
        </w:rPr>
        <w:t>6% estimado inicialmente, mientras que la formación bruta de capital f</w:t>
      </w:r>
      <w:r>
        <w:rPr>
          <w:rFonts w:ascii="Times New Roman" w:hAnsi="Times New Roman" w:cs="Times New Roman"/>
          <w:sz w:val="22"/>
          <w:szCs w:val="22"/>
        </w:rPr>
        <w:t>ijo registró un retroceso del 1.4%, frente al descenso del 0.</w:t>
      </w:r>
      <w:r w:rsidR="00E564DE" w:rsidRPr="00E564DE">
        <w:rPr>
          <w:rFonts w:ascii="Times New Roman" w:hAnsi="Times New Roman" w:cs="Times New Roman"/>
          <w:sz w:val="22"/>
          <w:szCs w:val="22"/>
        </w:rPr>
        <w:t>6% estimado previamente.</w:t>
      </w:r>
    </w:p>
    <w:p w14:paraId="03AB2DEE" w14:textId="77777777" w:rsidR="00E161E3" w:rsidRPr="00D04A4E" w:rsidRDefault="00E161E3" w:rsidP="00D04A4E">
      <w:pPr>
        <w:pStyle w:val="Textodeglobo"/>
        <w:jc w:val="both"/>
        <w:rPr>
          <w:rFonts w:ascii="Times New Roman" w:hAnsi="Times New Roman" w:cs="Times New Roman"/>
          <w:sz w:val="22"/>
          <w:szCs w:val="22"/>
        </w:rPr>
      </w:pPr>
    </w:p>
    <w:p w14:paraId="590DC7B8" w14:textId="77777777" w:rsidR="00874C9B" w:rsidRDefault="00874C9B" w:rsidP="00C56D80">
      <w:pPr>
        <w:spacing w:after="0" w:line="240" w:lineRule="auto"/>
        <w:jc w:val="both"/>
        <w:rPr>
          <w:rFonts w:ascii="Times New Roman" w:hAnsi="Times New Roman" w:cs="Times New Roman"/>
          <w:lang w:val="es-MX"/>
        </w:rPr>
      </w:pPr>
      <w:r>
        <w:rPr>
          <w:rFonts w:ascii="Times New Roman" w:hAnsi="Times New Roman" w:cs="Times New Roman"/>
          <w:lang w:val="es-MX"/>
        </w:rPr>
        <w:t xml:space="preserve">El Banco Mundial </w:t>
      </w:r>
      <w:r w:rsidRPr="00874C9B">
        <w:rPr>
          <w:rFonts w:ascii="Times New Roman" w:hAnsi="Times New Roman" w:cs="Times New Roman"/>
          <w:lang w:val="es-MX"/>
        </w:rPr>
        <w:t>mantuvo prácticamente inalterada su previsión de crecimiento económico para Latinoaméri</w:t>
      </w:r>
      <w:r>
        <w:rPr>
          <w:rFonts w:ascii="Times New Roman" w:hAnsi="Times New Roman" w:cs="Times New Roman"/>
          <w:lang w:val="es-MX"/>
        </w:rPr>
        <w:t>ca y el Caribe este año en el 2.5</w:t>
      </w:r>
      <w:r w:rsidRPr="00874C9B">
        <w:rPr>
          <w:rFonts w:ascii="Times New Roman" w:hAnsi="Times New Roman" w:cs="Times New Roman"/>
          <w:lang w:val="es-MX"/>
        </w:rPr>
        <w:t>%, pero alertó ante los peligros que supone un escenario de elevada inflación y ralentización de la actividad económica, con riesgo real de estanflación.</w:t>
      </w:r>
      <w:r>
        <w:rPr>
          <w:rFonts w:ascii="Times New Roman" w:hAnsi="Times New Roman" w:cs="Times New Roman"/>
          <w:lang w:val="es-MX"/>
        </w:rPr>
        <w:t xml:space="preserve">  </w:t>
      </w:r>
      <w:r w:rsidRPr="00874C9B">
        <w:rPr>
          <w:rFonts w:ascii="Times New Roman" w:hAnsi="Times New Roman" w:cs="Times New Roman"/>
          <w:lang w:val="es-MX"/>
        </w:rPr>
        <w:t>En su informe actualizado de Pe</w:t>
      </w:r>
      <w:r>
        <w:rPr>
          <w:rFonts w:ascii="Times New Roman" w:hAnsi="Times New Roman" w:cs="Times New Roman"/>
          <w:lang w:val="es-MX"/>
        </w:rPr>
        <w:t xml:space="preserve">rspectivas Económicas Globales, </w:t>
      </w:r>
      <w:r w:rsidRPr="00874C9B">
        <w:rPr>
          <w:rFonts w:ascii="Times New Roman" w:hAnsi="Times New Roman" w:cs="Times New Roman"/>
          <w:lang w:val="es-MX"/>
        </w:rPr>
        <w:t>la institución bajó únicamente en una décima el porcentaje de creci</w:t>
      </w:r>
      <w:r>
        <w:rPr>
          <w:rFonts w:ascii="Times New Roman" w:hAnsi="Times New Roman" w:cs="Times New Roman"/>
          <w:lang w:val="es-MX"/>
        </w:rPr>
        <w:t>miento previsto para la región, del 2.6% proyectado en enero al 2.5% actual</w:t>
      </w:r>
      <w:r w:rsidRPr="00874C9B">
        <w:rPr>
          <w:rFonts w:ascii="Times New Roman" w:hAnsi="Times New Roman" w:cs="Times New Roman"/>
          <w:lang w:val="es-MX"/>
        </w:rPr>
        <w:t>.</w:t>
      </w:r>
      <w:r>
        <w:rPr>
          <w:rFonts w:ascii="Times New Roman" w:hAnsi="Times New Roman" w:cs="Times New Roman"/>
          <w:lang w:val="es-MX"/>
        </w:rPr>
        <w:t xml:space="preserve">  </w:t>
      </w:r>
      <w:r w:rsidRPr="00874C9B">
        <w:rPr>
          <w:rFonts w:ascii="Times New Roman" w:hAnsi="Times New Roman" w:cs="Times New Roman"/>
          <w:lang w:val="es-MX"/>
        </w:rPr>
        <w:t xml:space="preserve">El principal riesgo </w:t>
      </w:r>
      <w:r>
        <w:rPr>
          <w:rFonts w:ascii="Times New Roman" w:hAnsi="Times New Roman" w:cs="Times New Roman"/>
          <w:lang w:val="es-MX"/>
        </w:rPr>
        <w:t>detectado</w:t>
      </w:r>
      <w:r w:rsidRPr="00874C9B">
        <w:rPr>
          <w:rFonts w:ascii="Times New Roman" w:hAnsi="Times New Roman" w:cs="Times New Roman"/>
          <w:lang w:val="es-MX"/>
        </w:rPr>
        <w:t xml:space="preserve"> para Latinoamérica y el Caribe fue </w:t>
      </w:r>
      <w:r w:rsidRPr="00874C9B">
        <w:rPr>
          <w:rFonts w:ascii="Times New Roman" w:hAnsi="Times New Roman" w:cs="Times New Roman"/>
          <w:lang w:val="es-MX"/>
        </w:rPr>
        <w:t>un posible impacto en las exportaciones y de la inversión a causa de la caída del crecimiento en el resto del mundo, espe</w:t>
      </w:r>
      <w:r>
        <w:rPr>
          <w:rFonts w:ascii="Times New Roman" w:hAnsi="Times New Roman" w:cs="Times New Roman"/>
          <w:lang w:val="es-MX"/>
        </w:rPr>
        <w:t xml:space="preserve">cialmente en países como China, </w:t>
      </w:r>
      <w:r w:rsidRPr="00874C9B">
        <w:rPr>
          <w:rFonts w:ascii="Times New Roman" w:hAnsi="Times New Roman" w:cs="Times New Roman"/>
          <w:lang w:val="es-MX"/>
        </w:rPr>
        <w:t>principal destino comercial</w:t>
      </w:r>
      <w:r>
        <w:rPr>
          <w:rFonts w:ascii="Times New Roman" w:hAnsi="Times New Roman" w:cs="Times New Roman"/>
          <w:lang w:val="es-MX"/>
        </w:rPr>
        <w:t xml:space="preserve"> de los productos suramericanos,</w:t>
      </w:r>
      <w:r w:rsidRPr="00874C9B">
        <w:rPr>
          <w:rFonts w:ascii="Times New Roman" w:hAnsi="Times New Roman" w:cs="Times New Roman"/>
          <w:lang w:val="es-MX"/>
        </w:rPr>
        <w:t xml:space="preserve"> y Estados </w:t>
      </w:r>
      <w:r>
        <w:rPr>
          <w:rFonts w:ascii="Times New Roman" w:hAnsi="Times New Roman" w:cs="Times New Roman"/>
          <w:lang w:val="es-MX"/>
        </w:rPr>
        <w:t xml:space="preserve">Unidos, </w:t>
      </w:r>
      <w:r w:rsidRPr="00874C9B">
        <w:rPr>
          <w:rFonts w:ascii="Times New Roman" w:hAnsi="Times New Roman" w:cs="Times New Roman"/>
          <w:lang w:val="es-MX"/>
        </w:rPr>
        <w:t>con estrechos vínculos con las econom</w:t>
      </w:r>
      <w:r>
        <w:rPr>
          <w:rFonts w:ascii="Times New Roman" w:hAnsi="Times New Roman" w:cs="Times New Roman"/>
          <w:lang w:val="es-MX"/>
        </w:rPr>
        <w:t>ías mexicana y centroamericanas</w:t>
      </w:r>
      <w:r w:rsidRPr="00874C9B">
        <w:rPr>
          <w:rFonts w:ascii="Times New Roman" w:hAnsi="Times New Roman" w:cs="Times New Roman"/>
          <w:lang w:val="es-MX"/>
        </w:rPr>
        <w:t>.</w:t>
      </w:r>
    </w:p>
    <w:p w14:paraId="1C9169A1" w14:textId="464589B5" w:rsidR="00395039" w:rsidRPr="00515068" w:rsidRDefault="00395039" w:rsidP="00C31244">
      <w:pPr>
        <w:pStyle w:val="Sinespaciado"/>
        <w:jc w:val="both"/>
        <w:rPr>
          <w:rFonts w:ascii="Times New Roman" w:hAnsi="Times New Roman" w:cs="Times New Roman"/>
          <w:color w:val="FF0000"/>
          <w:lang w:val="es-MX"/>
        </w:rPr>
      </w:pPr>
    </w:p>
    <w:p w14:paraId="118E05C8" w14:textId="77777777" w:rsidR="008359E2" w:rsidRPr="00585A69" w:rsidRDefault="00EB56B7" w:rsidP="008359E2">
      <w:pPr>
        <w:pStyle w:val="Sinespaciado"/>
        <w:jc w:val="both"/>
        <w:rPr>
          <w:rFonts w:ascii="Times New Roman" w:hAnsi="Times New Roman" w:cs="Times New Roman"/>
          <w:lang w:val="es-MX"/>
        </w:rPr>
      </w:pPr>
      <w:r w:rsidRPr="008359E2">
        <w:rPr>
          <w:rFonts w:ascii="Times New Roman" w:hAnsi="Times New Roman" w:cs="Times New Roman"/>
          <w:lang w:val="es-MX"/>
        </w:rPr>
        <w:t xml:space="preserve">En el ámbito interno, </w:t>
      </w:r>
      <w:r w:rsidR="008359E2" w:rsidRPr="008359E2">
        <w:rPr>
          <w:rFonts w:ascii="Times New Roman" w:hAnsi="Times New Roman" w:cs="Times New Roman"/>
          <w:lang w:val="es-MX"/>
        </w:rPr>
        <w:t>la Junta Monetaria, con base en el análisis integral de la coyuntura económica externa e interna y luego de evaluar el Balance de Riesgos de Inflación, decidió, por unanimidad aumentar el nivel de la tasa de interés líder de política monetaria en 25 puntos básicos de 1.75% a 2.00%.</w:t>
      </w:r>
      <w:r w:rsidR="008359E2" w:rsidRPr="008359E2">
        <w:t xml:space="preserve">  </w:t>
      </w:r>
      <w:r w:rsidR="008359E2" w:rsidRPr="008359E2">
        <w:rPr>
          <w:rFonts w:ascii="Times New Roman" w:hAnsi="Times New Roman" w:cs="Times New Roman"/>
          <w:lang w:val="es-MX"/>
        </w:rPr>
        <w:t xml:space="preserve">En el entorno externo, la Junta Monetaria destacó que las perspectivas de crecimiento económico a nivel mundial continuaron moderándose, aunque siguen siendo positivas tanto para 2022 como </w:t>
      </w:r>
      <w:r w:rsidR="008359E2" w:rsidRPr="00585A69">
        <w:rPr>
          <w:rFonts w:ascii="Times New Roman" w:hAnsi="Times New Roman" w:cs="Times New Roman"/>
          <w:lang w:val="es-MX"/>
        </w:rPr>
        <w:t>para 2023, en un entorno de riesgos a la baja y elevados niveles de incertidumbre, debido, principalmente, a la prolongación del conflicto Rusia-Ucrania; y en el ámbito interno, resaltó que el dinamismo que mantiene la mayoría de</w:t>
      </w:r>
    </w:p>
    <w:p w14:paraId="76534500" w14:textId="58F20D3C" w:rsidR="008C2E50" w:rsidRPr="0011046F" w:rsidRDefault="008359E2" w:rsidP="0011046F">
      <w:pPr>
        <w:pStyle w:val="Sinespaciado"/>
        <w:jc w:val="both"/>
        <w:rPr>
          <w:rFonts w:ascii="Times New Roman" w:hAnsi="Times New Roman" w:cs="Times New Roman"/>
          <w:lang w:val="es-MX"/>
        </w:rPr>
      </w:pPr>
      <w:r w:rsidRPr="00585A69">
        <w:rPr>
          <w:rFonts w:ascii="Times New Roman" w:hAnsi="Times New Roman" w:cs="Times New Roman"/>
          <w:lang w:val="es-MX"/>
        </w:rPr>
        <w:t>indicadores de corto plazo de la actividad económica, es congruente con el rango de crecimiento económico previsto para el presente año de entre 3.0% y 5.0%.</w:t>
      </w:r>
    </w:p>
    <w:p w14:paraId="738B0343" w14:textId="77777777" w:rsidR="008C2E50" w:rsidRPr="00515068" w:rsidRDefault="008C2E50" w:rsidP="00C56D80">
      <w:pPr>
        <w:pStyle w:val="Sinespaciado"/>
        <w:rPr>
          <w:rFonts w:ascii="Times New Roman" w:hAnsi="Times New Roman" w:cs="Times New Roman"/>
          <w:color w:val="FF0000"/>
          <w:sz w:val="14"/>
        </w:rPr>
      </w:pPr>
    </w:p>
    <w:p w14:paraId="370921B1" w14:textId="77777777" w:rsidR="000F2612" w:rsidRPr="00515068" w:rsidRDefault="000F2612" w:rsidP="00C56D80">
      <w:pPr>
        <w:pStyle w:val="Sinespaciado"/>
        <w:rPr>
          <w:rFonts w:ascii="Times New Roman" w:hAnsi="Times New Roman" w:cs="Times New Roman"/>
          <w:color w:val="FF0000"/>
          <w:sz w:val="14"/>
        </w:rPr>
        <w:sectPr w:rsidR="000F2612" w:rsidRPr="00515068" w:rsidSect="00776700">
          <w:type w:val="continuous"/>
          <w:pgSz w:w="12240" w:h="15840"/>
          <w:pgMar w:top="1417" w:right="1701" w:bottom="1417" w:left="1701" w:header="708" w:footer="708" w:gutter="0"/>
          <w:cols w:num="2" w:space="708"/>
          <w:docGrid w:linePitch="360"/>
        </w:sectPr>
      </w:pPr>
    </w:p>
    <w:p w14:paraId="745E62FB" w14:textId="77777777" w:rsidR="0071038C" w:rsidRPr="00515068" w:rsidRDefault="0071038C" w:rsidP="0071038C">
      <w:pPr>
        <w:spacing w:after="0"/>
        <w:rPr>
          <w:rFonts w:ascii="Times New Roman" w:hAnsi="Times New Roman" w:cs="Times New Roman"/>
          <w:color w:val="FF0000"/>
        </w:rPr>
        <w:sectPr w:rsidR="0071038C" w:rsidRPr="00515068" w:rsidSect="00960BE9">
          <w:type w:val="continuous"/>
          <w:pgSz w:w="12240" w:h="15840"/>
          <w:pgMar w:top="1417" w:right="1701" w:bottom="1417" w:left="1701" w:header="708" w:footer="708" w:gutter="0"/>
          <w:cols w:space="708"/>
          <w:docGrid w:linePitch="360"/>
        </w:sectPr>
      </w:pPr>
    </w:p>
    <w:p w14:paraId="640835A9" w14:textId="77777777" w:rsidR="00854981" w:rsidRDefault="00854981" w:rsidP="00C56D80">
      <w:pPr>
        <w:spacing w:after="0"/>
        <w:rPr>
          <w:rFonts w:ascii="Times New Roman" w:hAnsi="Times New Roman" w:cs="Times New Roman"/>
          <w:color w:val="FF0000"/>
        </w:rPr>
      </w:pPr>
    </w:p>
    <w:p w14:paraId="29FF859D" w14:textId="77777777" w:rsidR="001042A3" w:rsidRDefault="001042A3" w:rsidP="00C56D80">
      <w:pPr>
        <w:spacing w:after="0"/>
        <w:rPr>
          <w:rFonts w:ascii="Times New Roman" w:hAnsi="Times New Roman" w:cs="Times New Roman"/>
          <w:color w:val="FF0000"/>
        </w:rPr>
      </w:pPr>
    </w:p>
    <w:p w14:paraId="4AB59D1E" w14:textId="77777777" w:rsidR="001042A3" w:rsidRDefault="001042A3" w:rsidP="00C56D80">
      <w:pPr>
        <w:spacing w:after="0"/>
        <w:rPr>
          <w:rFonts w:ascii="Times New Roman" w:hAnsi="Times New Roman" w:cs="Times New Roman"/>
          <w:color w:val="FF0000"/>
        </w:rPr>
      </w:pPr>
    </w:p>
    <w:p w14:paraId="345973DF" w14:textId="7FD39DEA" w:rsidR="0033702C" w:rsidRDefault="0033702C">
      <w:pPr>
        <w:rPr>
          <w:rFonts w:ascii="Times New Roman" w:hAnsi="Times New Roman" w:cs="Times New Roman"/>
          <w:color w:val="FF0000"/>
        </w:rPr>
      </w:pPr>
      <w:r>
        <w:rPr>
          <w:rFonts w:ascii="Times New Roman" w:hAnsi="Times New Roman" w:cs="Times New Roman"/>
          <w:color w:val="FF0000"/>
        </w:rPr>
        <w:br w:type="page"/>
      </w:r>
    </w:p>
    <w:p w14:paraId="48BDECCF" w14:textId="77777777" w:rsidR="001042A3" w:rsidRPr="00515068" w:rsidRDefault="001042A3" w:rsidP="00C56D80">
      <w:pPr>
        <w:spacing w:after="0"/>
        <w:rPr>
          <w:rFonts w:ascii="Times New Roman" w:hAnsi="Times New Roman" w:cs="Times New Roman"/>
          <w:color w:val="FF0000"/>
        </w:rPr>
        <w:sectPr w:rsidR="001042A3" w:rsidRPr="00515068" w:rsidSect="00960BE9">
          <w:headerReference w:type="default" r:id="rId56"/>
          <w:footerReference w:type="default" r:id="rId57"/>
          <w:type w:val="continuous"/>
          <w:pgSz w:w="12240" w:h="15840"/>
          <w:pgMar w:top="1417" w:right="1701" w:bottom="1417" w:left="1701" w:header="708" w:footer="708" w:gutter="0"/>
          <w:cols w:space="708"/>
          <w:docGrid w:linePitch="360"/>
        </w:sectPr>
      </w:pPr>
    </w:p>
    <w:p w14:paraId="39329D5D" w14:textId="17C76165" w:rsidR="00C56D80" w:rsidRPr="00D13023"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D13023" w:rsidSect="00960BE9">
          <w:headerReference w:type="default" r:id="rId58"/>
          <w:footerReference w:type="default" r:id="rId59"/>
          <w:type w:val="continuous"/>
          <w:pgSz w:w="12240" w:h="15840"/>
          <w:pgMar w:top="1417" w:right="1701" w:bottom="1417" w:left="1701" w:header="708" w:footer="708" w:gutter="0"/>
          <w:cols w:space="708"/>
          <w:docGrid w:linePitch="360"/>
        </w:sectPr>
      </w:pPr>
      <w:r w:rsidRPr="00D13023">
        <w:rPr>
          <w:rFonts w:ascii="Times New Roman" w:hAnsi="Times New Roman" w:cs="Times New Roman"/>
          <w:b/>
          <w:color w:val="FFFFFF" w:themeColor="background1"/>
          <w:sz w:val="24"/>
          <w:szCs w:val="24"/>
        </w:rPr>
        <w:lastRenderedPageBreak/>
        <w:t>Anexo</w:t>
      </w:r>
    </w:p>
    <w:p w14:paraId="65CBBC4B" w14:textId="77777777" w:rsidR="00C56D80" w:rsidRPr="00515068" w:rsidRDefault="00C56D80" w:rsidP="00C56D80">
      <w:pPr>
        <w:pStyle w:val="Sinespaciado"/>
        <w:rPr>
          <w:rFonts w:ascii="Times New Roman" w:hAnsi="Times New Roman" w:cs="Times New Roman"/>
          <w:color w:val="FF0000"/>
          <w:sz w:val="18"/>
          <w:szCs w:val="18"/>
        </w:rPr>
      </w:pPr>
    </w:p>
    <w:p w14:paraId="54037C56" w14:textId="77777777" w:rsidR="0076345F" w:rsidRPr="00515068" w:rsidRDefault="0076345F" w:rsidP="00C56D80">
      <w:pPr>
        <w:pStyle w:val="Sinespaciado"/>
        <w:rPr>
          <w:rFonts w:ascii="Times New Roman" w:hAnsi="Times New Roman" w:cs="Times New Roman"/>
          <w:color w:val="FF0000"/>
          <w:sz w:val="18"/>
          <w:szCs w:val="18"/>
        </w:rPr>
      </w:pPr>
    </w:p>
    <w:p w14:paraId="4B719103" w14:textId="77777777" w:rsidR="006906B8" w:rsidRPr="00515068" w:rsidRDefault="00D13023" w:rsidP="00C56D80">
      <w:pPr>
        <w:pStyle w:val="Sinespaciado"/>
        <w:rPr>
          <w:rFonts w:ascii="Times New Roman" w:hAnsi="Times New Roman" w:cs="Times New Roman"/>
          <w:color w:val="FF0000"/>
          <w:sz w:val="18"/>
          <w:szCs w:val="18"/>
        </w:rPr>
      </w:pPr>
      <w:r w:rsidRPr="00D13023">
        <w:rPr>
          <w:noProof/>
          <w:lang w:eastAsia="es-GT"/>
        </w:rPr>
        <w:drawing>
          <wp:inline distT="0" distB="0" distL="0" distR="0" wp14:anchorId="5979005E" wp14:editId="12100EDC">
            <wp:extent cx="5612130" cy="4514634"/>
            <wp:effectExtent l="0" t="0" r="7620" b="63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12130" cy="4514634"/>
                    </a:xfrm>
                    <a:prstGeom prst="rect">
                      <a:avLst/>
                    </a:prstGeom>
                    <a:noFill/>
                    <a:ln>
                      <a:noFill/>
                    </a:ln>
                  </pic:spPr>
                </pic:pic>
              </a:graphicData>
            </a:graphic>
          </wp:inline>
        </w:drawing>
      </w:r>
    </w:p>
    <w:p w14:paraId="5ED4EBD7" w14:textId="77777777" w:rsidR="00467154" w:rsidRPr="00515068" w:rsidRDefault="00467154" w:rsidP="00C56D80">
      <w:pPr>
        <w:pStyle w:val="Sinespaciado"/>
        <w:rPr>
          <w:rFonts w:ascii="Times New Roman" w:hAnsi="Times New Roman" w:cs="Times New Roman"/>
          <w:color w:val="FF0000"/>
          <w:sz w:val="18"/>
          <w:szCs w:val="18"/>
        </w:rPr>
      </w:pPr>
    </w:p>
    <w:p w14:paraId="29688973" w14:textId="77777777" w:rsidR="00467154" w:rsidRPr="00515068" w:rsidRDefault="00467154" w:rsidP="00C56D80">
      <w:pPr>
        <w:pStyle w:val="Sinespaciado"/>
        <w:rPr>
          <w:rFonts w:ascii="Times New Roman" w:hAnsi="Times New Roman" w:cs="Times New Roman"/>
          <w:color w:val="FF0000"/>
          <w:sz w:val="18"/>
          <w:szCs w:val="18"/>
        </w:rPr>
      </w:pPr>
    </w:p>
    <w:p w14:paraId="2A6DBB4C" w14:textId="77777777" w:rsidR="00467154" w:rsidRPr="00515068" w:rsidRDefault="00467154" w:rsidP="00C56D80">
      <w:pPr>
        <w:pStyle w:val="Sinespaciado"/>
        <w:rPr>
          <w:rFonts w:ascii="Times New Roman" w:hAnsi="Times New Roman" w:cs="Times New Roman"/>
          <w:color w:val="FF0000"/>
          <w:sz w:val="18"/>
          <w:szCs w:val="18"/>
        </w:rPr>
      </w:pPr>
    </w:p>
    <w:p w14:paraId="4EB72721" w14:textId="77777777" w:rsidR="00467154" w:rsidRPr="00515068" w:rsidRDefault="00467154" w:rsidP="00C56D80">
      <w:pPr>
        <w:pStyle w:val="Sinespaciado"/>
        <w:rPr>
          <w:rFonts w:ascii="Times New Roman" w:hAnsi="Times New Roman" w:cs="Times New Roman"/>
          <w:color w:val="FF0000"/>
          <w:sz w:val="18"/>
          <w:szCs w:val="18"/>
        </w:rPr>
      </w:pPr>
    </w:p>
    <w:p w14:paraId="6364F2A1" w14:textId="77777777" w:rsidR="00467154" w:rsidRPr="00515068" w:rsidRDefault="00467154" w:rsidP="00C56D80">
      <w:pPr>
        <w:pStyle w:val="Sinespaciado"/>
        <w:rPr>
          <w:rFonts w:ascii="Times New Roman" w:hAnsi="Times New Roman" w:cs="Times New Roman"/>
          <w:color w:val="FF0000"/>
          <w:sz w:val="18"/>
          <w:szCs w:val="18"/>
        </w:rPr>
      </w:pPr>
    </w:p>
    <w:p w14:paraId="32BCFBEE" w14:textId="77777777" w:rsidR="00467154" w:rsidRPr="00515068" w:rsidRDefault="00467154" w:rsidP="00C56D80">
      <w:pPr>
        <w:pStyle w:val="Sinespaciado"/>
        <w:rPr>
          <w:rFonts w:ascii="Times New Roman" w:hAnsi="Times New Roman" w:cs="Times New Roman"/>
          <w:color w:val="FF0000"/>
          <w:sz w:val="18"/>
          <w:szCs w:val="18"/>
        </w:rPr>
      </w:pPr>
    </w:p>
    <w:p w14:paraId="1719B374" w14:textId="77777777" w:rsidR="006906B8" w:rsidRPr="00515068" w:rsidRDefault="006906B8" w:rsidP="00C56D80">
      <w:pPr>
        <w:pStyle w:val="Sinespaciado"/>
        <w:rPr>
          <w:rFonts w:ascii="Times New Roman" w:hAnsi="Times New Roman" w:cs="Times New Roman"/>
          <w:color w:val="FF0000"/>
          <w:sz w:val="18"/>
          <w:szCs w:val="18"/>
        </w:rPr>
      </w:pPr>
    </w:p>
    <w:p w14:paraId="50062263" w14:textId="77777777" w:rsidR="006906B8" w:rsidRPr="00515068" w:rsidRDefault="006906B8" w:rsidP="00C56D80">
      <w:pPr>
        <w:pStyle w:val="Sinespaciado"/>
        <w:rPr>
          <w:rFonts w:ascii="Times New Roman" w:hAnsi="Times New Roman" w:cs="Times New Roman"/>
          <w:color w:val="FF0000"/>
          <w:sz w:val="18"/>
          <w:szCs w:val="18"/>
        </w:rPr>
      </w:pPr>
    </w:p>
    <w:p w14:paraId="1662011D" w14:textId="77777777" w:rsidR="006906B8" w:rsidRPr="00515068" w:rsidRDefault="006906B8" w:rsidP="00C56D80">
      <w:pPr>
        <w:pStyle w:val="Sinespaciado"/>
        <w:rPr>
          <w:rFonts w:ascii="Times New Roman" w:hAnsi="Times New Roman" w:cs="Times New Roman"/>
          <w:color w:val="FF0000"/>
          <w:sz w:val="18"/>
          <w:szCs w:val="18"/>
        </w:rPr>
      </w:pPr>
    </w:p>
    <w:p w14:paraId="48D18482" w14:textId="77777777" w:rsidR="006906B8" w:rsidRPr="00515068" w:rsidRDefault="006906B8" w:rsidP="00C56D80">
      <w:pPr>
        <w:pStyle w:val="Sinespaciado"/>
        <w:rPr>
          <w:rFonts w:ascii="Times New Roman" w:hAnsi="Times New Roman" w:cs="Times New Roman"/>
          <w:color w:val="FF0000"/>
          <w:sz w:val="18"/>
          <w:szCs w:val="18"/>
        </w:rPr>
      </w:pPr>
    </w:p>
    <w:p w14:paraId="28D55A4D" w14:textId="77777777" w:rsidR="006906B8" w:rsidRPr="00515068" w:rsidRDefault="006906B8" w:rsidP="00C56D80">
      <w:pPr>
        <w:pStyle w:val="Sinespaciado"/>
        <w:rPr>
          <w:rFonts w:ascii="Times New Roman" w:hAnsi="Times New Roman" w:cs="Times New Roman"/>
          <w:color w:val="FF0000"/>
          <w:sz w:val="18"/>
          <w:szCs w:val="18"/>
        </w:rPr>
      </w:pPr>
    </w:p>
    <w:p w14:paraId="1BF6051B" w14:textId="77777777" w:rsidR="006906B8" w:rsidRPr="00515068" w:rsidRDefault="006906B8" w:rsidP="00C56D80">
      <w:pPr>
        <w:pStyle w:val="Sinespaciado"/>
        <w:rPr>
          <w:rFonts w:ascii="Times New Roman" w:hAnsi="Times New Roman" w:cs="Times New Roman"/>
          <w:color w:val="FF0000"/>
          <w:sz w:val="18"/>
          <w:szCs w:val="18"/>
        </w:rPr>
      </w:pPr>
    </w:p>
    <w:p w14:paraId="482E9B13" w14:textId="77777777" w:rsidR="006906B8" w:rsidRPr="00515068" w:rsidRDefault="006906B8" w:rsidP="00C56D80">
      <w:pPr>
        <w:pStyle w:val="Sinespaciado"/>
        <w:rPr>
          <w:rFonts w:ascii="Times New Roman" w:hAnsi="Times New Roman" w:cs="Times New Roman"/>
          <w:color w:val="FF0000"/>
          <w:sz w:val="18"/>
          <w:szCs w:val="18"/>
        </w:rPr>
      </w:pPr>
    </w:p>
    <w:p w14:paraId="3EFFFF92" w14:textId="77777777" w:rsidR="006906B8" w:rsidRPr="00515068" w:rsidRDefault="006906B8" w:rsidP="00C56D80">
      <w:pPr>
        <w:pStyle w:val="Sinespaciado"/>
        <w:rPr>
          <w:rFonts w:ascii="Times New Roman" w:hAnsi="Times New Roman" w:cs="Times New Roman"/>
          <w:color w:val="FF0000"/>
          <w:sz w:val="18"/>
          <w:szCs w:val="18"/>
        </w:rPr>
      </w:pPr>
    </w:p>
    <w:p w14:paraId="7DFC4B71" w14:textId="77777777" w:rsidR="006906B8" w:rsidRPr="00515068" w:rsidRDefault="006906B8" w:rsidP="00C56D80">
      <w:pPr>
        <w:pStyle w:val="Sinespaciado"/>
        <w:rPr>
          <w:rFonts w:ascii="Times New Roman" w:hAnsi="Times New Roman" w:cs="Times New Roman"/>
          <w:color w:val="FF0000"/>
          <w:sz w:val="18"/>
          <w:szCs w:val="18"/>
        </w:rPr>
      </w:pPr>
    </w:p>
    <w:p w14:paraId="52E73239" w14:textId="77777777" w:rsidR="006906B8" w:rsidRPr="00515068" w:rsidRDefault="006906B8" w:rsidP="00C56D80">
      <w:pPr>
        <w:pStyle w:val="Sinespaciado"/>
        <w:rPr>
          <w:rFonts w:ascii="Times New Roman" w:hAnsi="Times New Roman" w:cs="Times New Roman"/>
          <w:color w:val="FF0000"/>
          <w:sz w:val="18"/>
          <w:szCs w:val="18"/>
        </w:rPr>
      </w:pPr>
    </w:p>
    <w:p w14:paraId="0A7E9E6F" w14:textId="77777777" w:rsidR="006906B8" w:rsidRPr="00515068" w:rsidRDefault="006906B8" w:rsidP="00C56D80">
      <w:pPr>
        <w:pStyle w:val="Sinespaciado"/>
        <w:rPr>
          <w:rFonts w:ascii="Times New Roman" w:hAnsi="Times New Roman" w:cs="Times New Roman"/>
          <w:color w:val="FF0000"/>
          <w:sz w:val="18"/>
          <w:szCs w:val="18"/>
        </w:rPr>
      </w:pPr>
    </w:p>
    <w:p w14:paraId="3690C71D" w14:textId="77777777" w:rsidR="006906B8" w:rsidRPr="00515068" w:rsidRDefault="006906B8" w:rsidP="00C56D80">
      <w:pPr>
        <w:pStyle w:val="Sinespaciado"/>
        <w:rPr>
          <w:rFonts w:ascii="Times New Roman" w:hAnsi="Times New Roman" w:cs="Times New Roman"/>
          <w:color w:val="FF0000"/>
          <w:sz w:val="18"/>
          <w:szCs w:val="18"/>
        </w:rPr>
      </w:pPr>
    </w:p>
    <w:p w14:paraId="6B33859D" w14:textId="77777777" w:rsidR="006906B8" w:rsidRPr="00515068" w:rsidRDefault="006906B8" w:rsidP="00C56D80">
      <w:pPr>
        <w:pStyle w:val="Sinespaciado"/>
        <w:rPr>
          <w:rFonts w:ascii="Times New Roman" w:hAnsi="Times New Roman" w:cs="Times New Roman"/>
          <w:color w:val="FF0000"/>
          <w:sz w:val="18"/>
          <w:szCs w:val="18"/>
        </w:rPr>
      </w:pPr>
    </w:p>
    <w:p w14:paraId="3299CF52" w14:textId="77777777" w:rsidR="0076345F" w:rsidRPr="00515068" w:rsidRDefault="0076345F" w:rsidP="00C56D80">
      <w:pPr>
        <w:pStyle w:val="Sinespaciado"/>
        <w:rPr>
          <w:rFonts w:ascii="Times New Roman" w:hAnsi="Times New Roman" w:cs="Times New Roman"/>
          <w:color w:val="FF0000"/>
          <w:sz w:val="18"/>
          <w:szCs w:val="18"/>
        </w:rPr>
      </w:pPr>
    </w:p>
    <w:sectPr w:rsidR="0076345F" w:rsidRPr="00515068"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FC041" w14:textId="77777777" w:rsidR="00584C3E" w:rsidRDefault="00584C3E" w:rsidP="008030B6">
      <w:pPr>
        <w:spacing w:after="0" w:line="240" w:lineRule="auto"/>
      </w:pPr>
      <w:r>
        <w:separator/>
      </w:r>
    </w:p>
  </w:endnote>
  <w:endnote w:type="continuationSeparator" w:id="0">
    <w:p w14:paraId="4145810C" w14:textId="77777777" w:rsidR="00584C3E" w:rsidRDefault="00584C3E"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6C1858A1" w14:textId="78BAE493" w:rsidR="001C5B4A" w:rsidRPr="006906B8" w:rsidRDefault="001C5B4A" w:rsidP="00DF6AE8">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3E7E07">
          <w:rPr>
            <w:rFonts w:asciiTheme="majorHAnsi" w:hAnsiTheme="majorHAnsi" w:cs="Arial"/>
            <w:noProof/>
            <w:color w:val="323E4F" w:themeColor="text2" w:themeShade="BF"/>
            <w:sz w:val="20"/>
            <w:szCs w:val="20"/>
            <w:lang w:val="es-MX"/>
          </w:rPr>
          <w:t>1</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D0D0D4C" w14:textId="77777777" w:rsidR="001C5B4A" w:rsidRDefault="001C5B4A">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094857603"/>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34CEA9BF" w14:textId="77777777" w:rsidR="001C5B4A" w:rsidRPr="006906B8" w:rsidRDefault="001C5B4A">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12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752C725" w14:textId="77777777" w:rsidR="001C5B4A" w:rsidRDefault="001C5B4A">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48222389"/>
      <w:docPartObj>
        <w:docPartGallery w:val="Page Numbers (Bottom of Page)"/>
        <w:docPartUnique/>
      </w:docPartObj>
    </w:sdtPr>
    <w:sdtEndPr>
      <w:rPr>
        <w:rFonts w:asciiTheme="majorHAnsi" w:hAnsiTheme="majorHAnsi" w:cs="Times New Roman"/>
        <w:b/>
        <w:color w:val="5B9BD5" w:themeColor="accent1"/>
        <w:sz w:val="20"/>
      </w:rPr>
    </w:sdtEndPr>
    <w:sdtContent>
      <w:p w14:paraId="65D96810" w14:textId="77777777" w:rsidR="001C5B4A" w:rsidRPr="008030B6" w:rsidRDefault="001C5B4A">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6302AC">
          <w:rPr>
            <w:rFonts w:asciiTheme="majorHAnsi" w:hAnsiTheme="majorHAnsi" w:cs="Times New Roman"/>
            <w:b/>
            <w:noProof/>
            <w:color w:val="5B9BD5" w:themeColor="accent1"/>
            <w:sz w:val="20"/>
            <w:lang w:val="es-ES"/>
          </w:rPr>
          <w:t>10</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607A2C37" w14:textId="77777777" w:rsidR="001C5B4A" w:rsidRDefault="001C5B4A">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69653907" w14:textId="19B70FB6" w:rsidR="001C5B4A" w:rsidRPr="006906B8" w:rsidRDefault="001C5B4A">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3E7E07">
          <w:rPr>
            <w:rFonts w:asciiTheme="majorHAnsi" w:hAnsiTheme="majorHAnsi" w:cs="Arial"/>
            <w:noProof/>
            <w:color w:val="323E4F" w:themeColor="text2" w:themeShade="BF"/>
            <w:sz w:val="20"/>
            <w:szCs w:val="20"/>
            <w:lang w:val="es-MX"/>
          </w:rPr>
          <w:t>11</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6B49A2CC" w14:textId="77777777" w:rsidR="001C5B4A" w:rsidRDefault="001C5B4A">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84181258"/>
      <w:docPartObj>
        <w:docPartGallery w:val="Page Numbers (Bottom of Page)"/>
        <w:docPartUnique/>
      </w:docPartObj>
    </w:sdtPr>
    <w:sdtEndPr>
      <w:rPr>
        <w:rFonts w:asciiTheme="majorHAnsi" w:hAnsiTheme="majorHAnsi" w:cs="Times New Roman"/>
        <w:b/>
        <w:color w:val="5B9BD5" w:themeColor="accent1"/>
        <w:sz w:val="20"/>
      </w:rPr>
    </w:sdtEndPr>
    <w:sdtContent>
      <w:p w14:paraId="04E77AFE" w14:textId="77777777" w:rsidR="001C5B4A" w:rsidRPr="008030B6" w:rsidRDefault="001C5B4A">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B77BCA">
          <w:rPr>
            <w:rFonts w:asciiTheme="majorHAnsi" w:hAnsiTheme="majorHAnsi" w:cs="Times New Roman"/>
            <w:b/>
            <w:noProof/>
            <w:color w:val="5B9BD5" w:themeColor="accent1"/>
            <w:sz w:val="20"/>
            <w:lang w:val="es-ES"/>
          </w:rPr>
          <w:t>11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3F66117B" w14:textId="77777777" w:rsidR="001C5B4A" w:rsidRDefault="001C5B4A">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64031163"/>
      <w:docPartObj>
        <w:docPartGallery w:val="Page Numbers (Bottom of Page)"/>
        <w:docPartUnique/>
      </w:docPartObj>
    </w:sdtPr>
    <w:sdtEndPr>
      <w:rPr>
        <w:rFonts w:asciiTheme="majorHAnsi" w:hAnsiTheme="majorHAnsi" w:cs="Times New Roman"/>
        <w:b/>
        <w:color w:val="5B9BD5" w:themeColor="accent1"/>
        <w:sz w:val="20"/>
      </w:rPr>
    </w:sdtEndPr>
    <w:sdtContent>
      <w:p w14:paraId="70923216" w14:textId="1DF56BC1" w:rsidR="001C5B4A" w:rsidRPr="008030B6" w:rsidRDefault="001C5B4A">
        <w:pPr>
          <w:pStyle w:val="Piedepgina"/>
          <w:jc w:val="right"/>
          <w:rPr>
            <w:rFonts w:asciiTheme="majorHAnsi" w:hAnsiTheme="majorHAnsi" w:cs="Times New Roman"/>
            <w:b/>
            <w:color w:val="5B9BD5" w:themeColor="accent1"/>
            <w:sz w:val="20"/>
          </w:rPr>
        </w:pPr>
        <w:r w:rsidRPr="00C85B13">
          <w:rPr>
            <w:lang w:val="es-ES"/>
          </w:rPr>
          <w:t xml:space="preserve">Página | </w:t>
        </w:r>
        <w:r w:rsidRPr="00C85B13">
          <w:rPr>
            <w:lang w:val="es-ES"/>
          </w:rPr>
          <w:fldChar w:fldCharType="begin"/>
        </w:r>
        <w:r w:rsidRPr="00C85B13">
          <w:rPr>
            <w:lang w:val="es-ES"/>
          </w:rPr>
          <w:instrText>PAGE   \* MERGEFORMAT</w:instrText>
        </w:r>
        <w:r w:rsidRPr="00C85B13">
          <w:rPr>
            <w:lang w:val="es-ES"/>
          </w:rPr>
          <w:fldChar w:fldCharType="separate"/>
        </w:r>
        <w:r w:rsidR="003E7E07">
          <w:rPr>
            <w:noProof/>
            <w:lang w:val="es-ES"/>
          </w:rPr>
          <w:t>13</w:t>
        </w:r>
        <w:r w:rsidRPr="00C85B13">
          <w:rPr>
            <w:lang w:val="es-ES"/>
          </w:rPr>
          <w:fldChar w:fldCharType="end"/>
        </w:r>
        <w:r w:rsidRPr="008030B6">
          <w:rPr>
            <w:rFonts w:asciiTheme="majorHAnsi" w:hAnsiTheme="majorHAnsi" w:cs="Times New Roman"/>
            <w:b/>
            <w:color w:val="5B9BD5" w:themeColor="accent1"/>
            <w:sz w:val="20"/>
            <w:lang w:val="es-ES"/>
          </w:rPr>
          <w:t xml:space="preserve"> </w:t>
        </w:r>
      </w:p>
    </w:sdtContent>
  </w:sdt>
  <w:p w14:paraId="33985F31" w14:textId="77777777" w:rsidR="001C5B4A" w:rsidRDefault="001C5B4A">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A34B0CD" w14:textId="3527E65B" w:rsidR="001C5B4A" w:rsidRPr="006906B8" w:rsidRDefault="001C5B4A">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3E7E07">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426F641E" w14:textId="77777777" w:rsidR="001C5B4A" w:rsidRDefault="001C5B4A">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2932366"/>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BAF05C6" w14:textId="491731BF" w:rsidR="001C5B4A" w:rsidRPr="006906B8" w:rsidRDefault="001C5B4A">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11046F">
          <w:rPr>
            <w:rFonts w:asciiTheme="majorHAnsi" w:hAnsiTheme="majorHAnsi" w:cs="Arial"/>
            <w:noProof/>
            <w:color w:val="323E4F" w:themeColor="text2" w:themeShade="BF"/>
            <w:sz w:val="20"/>
            <w:szCs w:val="20"/>
            <w:lang w:val="es-MX"/>
          </w:rPr>
          <w:t>16</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47D43CF" w14:textId="77777777" w:rsidR="001C5B4A" w:rsidRDefault="001C5B4A">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829304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36402642" w14:textId="66C39B73" w:rsidR="001C5B4A" w:rsidRPr="006906B8" w:rsidRDefault="001C5B4A">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3E7E07">
          <w:rPr>
            <w:rFonts w:asciiTheme="majorHAnsi" w:hAnsiTheme="majorHAnsi" w:cs="Arial"/>
            <w:noProof/>
            <w:color w:val="323E4F" w:themeColor="text2" w:themeShade="BF"/>
            <w:sz w:val="20"/>
            <w:szCs w:val="20"/>
            <w:lang w:val="es-MX"/>
          </w:rPr>
          <w:t>16</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560881C6" w14:textId="77777777" w:rsidR="001C5B4A" w:rsidRDefault="001C5B4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0EF010C" w14:textId="77777777" w:rsidR="001C5B4A" w:rsidRPr="008030B6" w:rsidRDefault="001C5B4A">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3C07E275" w14:textId="77777777" w:rsidR="001C5B4A" w:rsidRDefault="001C5B4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5C3A291A" w14:textId="3498F465" w:rsidR="001C5B4A" w:rsidRPr="006906B8" w:rsidRDefault="001C5B4A">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3E7E07">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E47C4BB" w14:textId="77777777" w:rsidR="001C5B4A" w:rsidRDefault="001C5B4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94629527"/>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9E9D313" w14:textId="2C6D6EC0" w:rsidR="001C5B4A" w:rsidRPr="006906B8" w:rsidRDefault="001C5B4A">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3E7E07">
          <w:rPr>
            <w:rFonts w:asciiTheme="majorHAnsi" w:hAnsiTheme="majorHAnsi" w:cs="Arial"/>
            <w:noProof/>
            <w:color w:val="323E4F" w:themeColor="text2" w:themeShade="BF"/>
            <w:sz w:val="20"/>
            <w:szCs w:val="20"/>
            <w:lang w:val="es-MX"/>
          </w:rPr>
          <w:t>4</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2A536642" w14:textId="77777777" w:rsidR="001C5B4A" w:rsidRDefault="001C5B4A">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132059525"/>
      <w:docPartObj>
        <w:docPartGallery w:val="Page Numbers (Bottom of Page)"/>
        <w:docPartUnique/>
      </w:docPartObj>
    </w:sdtPr>
    <w:sdtEndPr>
      <w:rPr>
        <w:rFonts w:asciiTheme="majorHAnsi" w:hAnsiTheme="majorHAnsi" w:cs="Times New Roman"/>
        <w:b/>
        <w:color w:val="5B9BD5" w:themeColor="accent1"/>
        <w:sz w:val="20"/>
      </w:rPr>
    </w:sdtEndPr>
    <w:sdtContent>
      <w:p w14:paraId="4FB4DA05" w14:textId="77777777" w:rsidR="001C5B4A" w:rsidRPr="008030B6" w:rsidRDefault="001C5B4A">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1C5B4A">
          <w:rPr>
            <w:rFonts w:asciiTheme="majorHAnsi" w:hAnsiTheme="majorHAnsi" w:cs="Times New Roman"/>
            <w:b/>
            <w:noProof/>
            <w:color w:val="5B9BD5" w:themeColor="accent1"/>
            <w:sz w:val="20"/>
            <w:lang w:val="es-ES"/>
          </w:rPr>
          <w:t>6</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681CD70B" w14:textId="77777777" w:rsidR="001C5B4A" w:rsidRDefault="001C5B4A">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767B9950" w14:textId="31A6DDA7" w:rsidR="001C5B4A" w:rsidRPr="006906B8" w:rsidRDefault="001C5B4A">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3E7E07">
          <w:rPr>
            <w:rFonts w:asciiTheme="majorHAnsi" w:hAnsiTheme="majorHAnsi" w:cs="Arial"/>
            <w:noProof/>
            <w:color w:val="323E4F" w:themeColor="text2" w:themeShade="BF"/>
            <w:sz w:val="20"/>
            <w:szCs w:val="20"/>
            <w:lang w:val="es-MX"/>
          </w:rPr>
          <w:t>8</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EB58320" w14:textId="77777777" w:rsidR="001C5B4A" w:rsidRDefault="001C5B4A">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34323413"/>
      <w:docPartObj>
        <w:docPartGallery w:val="Page Numbers (Bottom of Page)"/>
        <w:docPartUnique/>
      </w:docPartObj>
    </w:sdtPr>
    <w:sdtEndPr>
      <w:rPr>
        <w:rFonts w:asciiTheme="majorHAnsi" w:hAnsiTheme="majorHAnsi" w:cs="Times New Roman"/>
        <w:b/>
        <w:color w:val="5B9BD5" w:themeColor="accent1"/>
        <w:sz w:val="20"/>
      </w:rPr>
    </w:sdtEndPr>
    <w:sdtContent>
      <w:p w14:paraId="5614B994" w14:textId="77777777" w:rsidR="001C5B4A" w:rsidRPr="008030B6" w:rsidRDefault="001C5B4A">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A02862">
          <w:rPr>
            <w:rFonts w:asciiTheme="majorHAnsi" w:hAnsiTheme="majorHAnsi" w:cs="Times New Roman"/>
            <w:b/>
            <w:noProof/>
            <w:color w:val="5B9BD5" w:themeColor="accent1"/>
            <w:sz w:val="20"/>
            <w:lang w:val="es-ES"/>
          </w:rPr>
          <w:t>9</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74203B1A" w14:textId="77777777" w:rsidR="001C5B4A" w:rsidRDefault="001C5B4A">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Times New Roman"/>
        <w:b/>
        <w:color w:val="5B9BD5" w:themeColor="accent1"/>
        <w:sz w:val="20"/>
      </w:rPr>
    </w:sdtEndPr>
    <w:sdtContent>
      <w:p w14:paraId="2DF49EF4" w14:textId="148E8004" w:rsidR="001C5B4A" w:rsidRPr="008030B6" w:rsidRDefault="001C5B4A">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3E7E07" w:rsidRPr="003E7E07">
          <w:rPr>
            <w:rFonts w:asciiTheme="majorHAnsi" w:hAnsiTheme="majorHAnsi" w:cs="Times New Roman"/>
            <w:b/>
            <w:noProof/>
            <w:color w:val="5B9BD5" w:themeColor="accent1"/>
            <w:sz w:val="20"/>
            <w:lang w:val="es-ES"/>
          </w:rPr>
          <w:t>9</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1C82C4DF" w14:textId="77777777" w:rsidR="001C5B4A" w:rsidRDefault="001C5B4A">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874220956"/>
      <w:docPartObj>
        <w:docPartGallery w:val="Page Numbers (Bottom of Page)"/>
        <w:docPartUnique/>
      </w:docPartObj>
    </w:sdtPr>
    <w:sdtEndPr>
      <w:rPr>
        <w:rFonts w:asciiTheme="majorHAnsi" w:hAnsiTheme="majorHAnsi" w:cs="Times New Roman"/>
        <w:b/>
        <w:color w:val="5B9BD5" w:themeColor="accent1"/>
        <w:sz w:val="20"/>
      </w:rPr>
    </w:sdtEndPr>
    <w:sdtContent>
      <w:p w14:paraId="5D3CF5D8" w14:textId="77777777" w:rsidR="001C5B4A" w:rsidRPr="008030B6" w:rsidRDefault="001C5B4A">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1A7D31">
          <w:rPr>
            <w:rFonts w:asciiTheme="majorHAnsi" w:hAnsiTheme="majorHAnsi" w:cs="Times New Roman"/>
            <w:b/>
            <w:noProof/>
            <w:color w:val="5B9BD5" w:themeColor="accent1"/>
            <w:sz w:val="20"/>
            <w:lang w:val="es-ES"/>
          </w:rPr>
          <w:t>9</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06B0441A" w14:textId="77777777" w:rsidR="001C5B4A" w:rsidRDefault="001C5B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2B164" w14:textId="77777777" w:rsidR="00584C3E" w:rsidRDefault="00584C3E" w:rsidP="008030B6">
      <w:pPr>
        <w:spacing w:after="0" w:line="240" w:lineRule="auto"/>
      </w:pPr>
      <w:r>
        <w:separator/>
      </w:r>
    </w:p>
  </w:footnote>
  <w:footnote w:type="continuationSeparator" w:id="0">
    <w:p w14:paraId="70508F71" w14:textId="77777777" w:rsidR="00584C3E" w:rsidRDefault="00584C3E"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CF14"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89984" behindDoc="0" locked="0" layoutInCell="1" allowOverlap="1" wp14:anchorId="00E44384" wp14:editId="4FFECFE1">
              <wp:simplePos x="0" y="0"/>
              <wp:positionH relativeFrom="column">
                <wp:posOffset>662940</wp:posOffset>
              </wp:positionH>
              <wp:positionV relativeFrom="paragraph">
                <wp:posOffset>-401955</wp:posOffset>
              </wp:positionV>
              <wp:extent cx="2600325" cy="781050"/>
              <wp:effectExtent l="0" t="0" r="9525" b="0"/>
              <wp:wrapSquare wrapText="bothSides"/>
              <wp:docPr id="224" name="Cuadro de texto 224"/>
              <wp:cNvGraphicFramePr/>
              <a:graphic xmlns:a="http://schemas.openxmlformats.org/drawingml/2006/main">
                <a:graphicData uri="http://schemas.microsoft.com/office/word/2010/wordprocessingShape">
                  <wps:wsp>
                    <wps:cNvSpPr txBox="1"/>
                    <wps:spPr>
                      <a:xfrm>
                        <a:off x="0" y="0"/>
                        <a:ext cx="2600325" cy="781050"/>
                      </a:xfrm>
                      <a:prstGeom prst="rect">
                        <a:avLst/>
                      </a:prstGeom>
                      <a:solidFill>
                        <a:schemeClr val="bg1"/>
                      </a:solidFill>
                      <a:ln w="6350">
                        <a:noFill/>
                      </a:ln>
                    </wps:spPr>
                    <wps:txbx>
                      <w:txbxContent>
                        <w:p w14:paraId="07D92356"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302D3D76"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29B9994"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365FA812"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0EBF8432" w14:textId="77777777" w:rsidR="001C5B4A" w:rsidRPr="00F45C80" w:rsidRDefault="001C5B4A"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mayo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44384" id="_x0000_t202" coordsize="21600,21600" o:spt="202" path="m,l,21600r21600,l21600,xe">
              <v:stroke joinstyle="miter"/>
              <v:path gradientshapeok="t" o:connecttype="rect"/>
            </v:shapetype>
            <v:shape id="Cuadro de texto 224" o:spid="_x0000_s1027" type="#_x0000_t202" style="position:absolute;left:0;text-align:left;margin-left:52.2pt;margin-top:-31.65pt;width:204.75pt;height: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l1SgIAAIQEAAAOAAAAZHJzL2Uyb0RvYy54bWysVN9v2jAQfp+0/8Hy+0hIgXYRoWJUTJNQ&#10;W4lOfTaOTSI5Ps82JOyv39kJlHV7mvbi3PnO9+P77jK/7xpFjsK6GnRBx6OUEqE5lLXeF/T7y/rT&#10;HSXOM10yBVoU9CQcvV98/DBvTS4yqECVwhIMol3emoJW3ps8SRyvRMPcCIzQaJRgG+ZRtfuktKzF&#10;6I1KsjSdJS3Y0ljgwjm8feiNdBHjSym4f5LSCU9UQbE2H08bz104k8Wc5XvLTFXzoQz2D1U0rNaY&#10;9BLqgXlGDrb+I1RTcwsOpB9xaBKQsuYi9oDdjNN33WwrZkTsBcFx5gKT+39h+ePx2ZK6LGiWTSjR&#10;rEGSVgdWWiClIF50HkgwIVCtcTn6bw2+8N0X6JDw873Dy9B/J20TvtgZQTtCfrrAjLEIx8tslqY3&#10;2ZQSjrbbu3E6jTwkb6+Ndf6rgIYEoaAWaYzosuPGeawEXc8uIZkDVZfrWqmohNERK2XJkSHpu32s&#10;EV/85qU0aQs6u8HU4ZGG8LyPrDQmCL32PQXJd7tuAGAH5Qn7t9CPkjN8XWORG+b8M7M4O9gy7oN/&#10;wkMqwCQwSJRUYH/+7T74I6VopaTFWSyo+3FgVlCivmkk+/N4MgnDG5XJ9DZDxV5bdtcWfWhWgJ2P&#10;cfMMj2Lw9+osSgvNK67NMmRFE9MccxfUn8WV7zcE146L5TI64bga5jd6a3gIHUALFLx0r8yagacw&#10;LY9wnlqWv6Or9+3hXh48yDpyGQDuUR1wx1GPFA9rGXbpWo9ebz+PxS8AAAD//wMAUEsDBBQABgAI&#10;AAAAIQDm7doP3gAAAAoBAAAPAAAAZHJzL2Rvd25yZXYueG1sTI/LTsMwEEX3SP0Ha5DYtU6bPmiI&#10;UxVE14ikC5ZuPCSh8TiK3Tbk6xlWsJurObqPdDfYVlyx940jBfNZBAKpdKahSsGxOEwfQfigyejW&#10;ESr4Rg+7bHKX6sS4G73jNQ+VYBPyiVZQh9AlUvqyRqv9zHVI/Pt0vdWBZV9J0+sbm9tWLqJoLa1u&#10;iBNq3eFLjeU5v1jOdcXredwHWRxKzJ/Navx6+xiVergf9k8gAg7hD4bf+lwdMu50chcyXrSso+WS&#10;UQXTdRyDYGI1j7cgTnxsNyCzVP6fkP0AAAD//wMAUEsBAi0AFAAGAAgAAAAhALaDOJL+AAAA4QEA&#10;ABMAAAAAAAAAAAAAAAAAAAAAAFtDb250ZW50X1R5cGVzXS54bWxQSwECLQAUAAYACAAAACEAOP0h&#10;/9YAAACUAQAACwAAAAAAAAAAAAAAAAAvAQAAX3JlbHMvLnJlbHNQSwECLQAUAAYACAAAACEAsTNZ&#10;dUoCAACEBAAADgAAAAAAAAAAAAAAAAAuAgAAZHJzL2Uyb0RvYy54bWxQSwECLQAUAAYACAAAACEA&#10;5u3aD94AAAAKAQAADwAAAAAAAAAAAAAAAACkBAAAZHJzL2Rvd25yZXYueG1sUEsFBgAAAAAEAAQA&#10;8wAAAK8FAAAAAA==&#10;" fillcolor="white [3212]" stroked="f" strokeweight=".5pt">
              <v:textbox>
                <w:txbxContent>
                  <w:p w14:paraId="07D92356"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302D3D76"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29B9994"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365FA812"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0EBF8432" w14:textId="77777777" w:rsidR="001C5B4A" w:rsidRPr="00F45C80" w:rsidRDefault="001C5B4A"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mayo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59264" behindDoc="1" locked="0" layoutInCell="1" allowOverlap="1" wp14:anchorId="7D79DC07" wp14:editId="46FAF66C">
          <wp:simplePos x="0" y="0"/>
          <wp:positionH relativeFrom="column">
            <wp:posOffset>-1076325</wp:posOffset>
          </wp:positionH>
          <wp:positionV relativeFrom="paragraph">
            <wp:posOffset>-734060</wp:posOffset>
          </wp:positionV>
          <wp:extent cx="3093621" cy="1283913"/>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D6F29"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6128" behindDoc="0" locked="0" layoutInCell="1" allowOverlap="1" wp14:anchorId="2BA1879E" wp14:editId="6EDC8C9E">
              <wp:simplePos x="0" y="0"/>
              <wp:positionH relativeFrom="column">
                <wp:posOffset>672465</wp:posOffset>
              </wp:positionH>
              <wp:positionV relativeFrom="paragraph">
                <wp:posOffset>-392430</wp:posOffset>
              </wp:positionV>
              <wp:extent cx="2590800" cy="781050"/>
              <wp:effectExtent l="0" t="0" r="0" b="0"/>
              <wp:wrapSquare wrapText="bothSides"/>
              <wp:docPr id="230" name="Cuadro de texto 230"/>
              <wp:cNvGraphicFramePr/>
              <a:graphic xmlns:a="http://schemas.openxmlformats.org/drawingml/2006/main">
                <a:graphicData uri="http://schemas.microsoft.com/office/word/2010/wordprocessingShape">
                  <wps:wsp>
                    <wps:cNvSpPr txBox="1"/>
                    <wps:spPr>
                      <a:xfrm>
                        <a:off x="0" y="0"/>
                        <a:ext cx="2590800" cy="781050"/>
                      </a:xfrm>
                      <a:prstGeom prst="rect">
                        <a:avLst/>
                      </a:prstGeom>
                      <a:solidFill>
                        <a:schemeClr val="bg1"/>
                      </a:solidFill>
                      <a:ln w="6350">
                        <a:noFill/>
                      </a:ln>
                    </wps:spPr>
                    <wps:txbx>
                      <w:txbxContent>
                        <w:p w14:paraId="4FA0A734"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13B50ED"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B9C8889"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F2ED3F2"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4285E57F" w14:textId="77777777" w:rsidR="001C5B4A" w:rsidRPr="00F45C80" w:rsidRDefault="001C5B4A"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1879E" id="_x0000_t202" coordsize="21600,21600" o:spt="202" path="m,l,21600r21600,l21600,xe">
              <v:stroke joinstyle="miter"/>
              <v:path gradientshapeok="t" o:connecttype="rect"/>
            </v:shapetype>
            <v:shape id="Cuadro de texto 230" o:spid="_x0000_s1032" type="#_x0000_t202" style="position:absolute;left:0;text-align:left;margin-left:52.95pt;margin-top:-30.9pt;width:204pt;height: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ruSwIAAIsEAAAOAAAAZHJzL2Uyb0RvYy54bWysVMFu2zAMvQ/YPwi6r3bSpk2DOkWWosOA&#10;oi2QDj0rspwYkEVNUmJnX78nOUnTbqdhF5kUqUfykfTNbddotlXO12QKPjjLOVNGUlmbVcF/vNx/&#10;GXPmgzCl0GRUwXfK89vp5083rZ2oIa1Jl8oxgBg/aW3B1yHYSZZ5uVaN8GdklYGxIteIANWtstKJ&#10;FuiNzoZ5fpm15ErrSCrvcXvXG/k04VeVkuGpqrwKTBccuYV0unQu45lNb8Rk5YRd13KfhviHLBpR&#10;GwQ9Qt2JINjG1X9ANbV05KkKZ5KajKqqlirVgGoG+YdqFmthVaoF5Hh7pMn/P1j5uH12rC4LPjwH&#10;P0Y0aNJ8I0pHrFQsqC4QiyYQ1Vo/gf/C4kXovlKHhh/uPS5j/V3lmvhFZQx2QO6ONAOLSVwOR9f5&#10;OIdJwnY1HuSjBJ+9vbbOh2+KGhaFgju0MbErtg8+IBO4HlxiME+6Lu9rrZMSR0fNtWNbgaYvVylH&#10;vHjnpQ1rC355jtDxkaH4vEfWBgFirX1NUQrdskskjQ71LqncgQZH/UR5K+9r5PogfHgWDiOE8rAW&#10;4QlHpQmxaC9xtib362/30R+dhZWzFiNZcP9zI5ziTH836Pn14OICsCEpF6OrIRR3almeWsymmRMI&#10;GGABrUxi9A/6IFaOmldszyxGhUkYidgFDwdxHvpFwfZJNZslJ0ytFeHBLKyM0JG72ImX7lU4u29X&#10;HJpHOgyvmHzoWu/bsz7bBKrq1NLIc8/qnn5MfOr0fjvjSp3qyevtHzL9DQAA//8DAFBLAwQUAAYA&#10;CAAAACEAKZ82Ot0AAAAKAQAADwAAAGRycy9kb3ducmV2LnhtbEyPQU+DQBCF7yb9D5tp4q1dqIEo&#10;sjRtY89G8OBxy46AZWcJu22RX+940uObeXnve/l2sr244ug7RwridQQCqXamo0bBe3VcPYLwQZPR&#10;vSNU8I0etsXiLteZcTd6w2sZGsEh5DOtoA1hyKT0dYtW+7UbkPj36UarA8uxkWbUNw63vdxEUSqt&#10;7ogbWj3gocX6XF4s97rq5TzvgqyONZZ7k8xfrx+zUvfLafcMIuAU/szwi8/oUDDTyV3IeNGzjpIn&#10;tipYpTFvYEcSP/DlpCCNNyCLXP6fUPwAAAD//wMAUEsBAi0AFAAGAAgAAAAhALaDOJL+AAAA4QEA&#10;ABMAAAAAAAAAAAAAAAAAAAAAAFtDb250ZW50X1R5cGVzXS54bWxQSwECLQAUAAYACAAAACEAOP0h&#10;/9YAAACUAQAACwAAAAAAAAAAAAAAAAAvAQAAX3JlbHMvLnJlbHNQSwECLQAUAAYACAAAACEA96Dq&#10;7ksCAACLBAAADgAAAAAAAAAAAAAAAAAuAgAAZHJzL2Uyb0RvYy54bWxQSwECLQAUAAYACAAAACEA&#10;KZ82Ot0AAAAKAQAADwAAAAAAAAAAAAAAAAClBAAAZHJzL2Rvd25yZXYueG1sUEsFBgAAAAAEAAQA&#10;8wAAAK8FAAAAAA==&#10;" fillcolor="white [3212]" stroked="f" strokeweight=".5pt">
              <v:textbox>
                <w:txbxContent>
                  <w:p w14:paraId="4FA0A734"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13B50ED"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B9C8889"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F2ED3F2"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4285E57F" w14:textId="77777777" w:rsidR="001C5B4A" w:rsidRPr="00F45C80" w:rsidRDefault="001C5B4A"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5648" behindDoc="1" locked="0" layoutInCell="1" allowOverlap="1" wp14:anchorId="1E0B6989" wp14:editId="36DC620B">
          <wp:simplePos x="0" y="0"/>
          <wp:positionH relativeFrom="column">
            <wp:posOffset>-1076325</wp:posOffset>
          </wp:positionH>
          <wp:positionV relativeFrom="paragraph">
            <wp:posOffset>-734060</wp:posOffset>
          </wp:positionV>
          <wp:extent cx="3093621" cy="1283913"/>
          <wp:effectExtent l="0" t="0" r="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F6E2F57" w14:textId="77777777" w:rsidR="001C5B4A" w:rsidRPr="008030B6" w:rsidRDefault="001C5B4A"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4743C"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7696" behindDoc="1" locked="0" layoutInCell="1" allowOverlap="1" wp14:anchorId="3FAA1F75" wp14:editId="7C858EB6">
          <wp:simplePos x="0" y="0"/>
          <wp:positionH relativeFrom="column">
            <wp:posOffset>-1076325</wp:posOffset>
          </wp:positionH>
          <wp:positionV relativeFrom="paragraph">
            <wp:posOffset>-734060</wp:posOffset>
          </wp:positionV>
          <wp:extent cx="3093621" cy="1283913"/>
          <wp:effectExtent l="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26C2405" w14:textId="77777777" w:rsidR="001C5B4A" w:rsidRPr="008030B6" w:rsidRDefault="001C5B4A"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19AEC855" w14:textId="77777777" w:rsidR="001C5B4A" w:rsidRPr="008030B6" w:rsidRDefault="001C5B4A"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614829A9" w14:textId="77777777" w:rsidR="001C5B4A" w:rsidRPr="008030B6" w:rsidRDefault="001C5B4A">
    <w:pPr>
      <w:pStyle w:val="Encabezado"/>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DB4A3"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8176" behindDoc="0" locked="0" layoutInCell="1" allowOverlap="1" wp14:anchorId="2AC0D9B3" wp14:editId="436C6BFD">
              <wp:simplePos x="0" y="0"/>
              <wp:positionH relativeFrom="column">
                <wp:posOffset>679450</wp:posOffset>
              </wp:positionH>
              <wp:positionV relativeFrom="paragraph">
                <wp:posOffset>-389255</wp:posOffset>
              </wp:positionV>
              <wp:extent cx="2673985" cy="781050"/>
              <wp:effectExtent l="0" t="0" r="0" b="0"/>
              <wp:wrapSquare wrapText="bothSides"/>
              <wp:docPr id="231" name="Cuadro de texto 231"/>
              <wp:cNvGraphicFramePr/>
              <a:graphic xmlns:a="http://schemas.openxmlformats.org/drawingml/2006/main">
                <a:graphicData uri="http://schemas.microsoft.com/office/word/2010/wordprocessingShape">
                  <wps:wsp>
                    <wps:cNvSpPr txBox="1"/>
                    <wps:spPr>
                      <a:xfrm>
                        <a:off x="0" y="0"/>
                        <a:ext cx="2673985" cy="781050"/>
                      </a:xfrm>
                      <a:prstGeom prst="rect">
                        <a:avLst/>
                      </a:prstGeom>
                      <a:solidFill>
                        <a:schemeClr val="bg1"/>
                      </a:solidFill>
                      <a:ln w="6350">
                        <a:noFill/>
                      </a:ln>
                    </wps:spPr>
                    <wps:txbx>
                      <w:txbxContent>
                        <w:p w14:paraId="225047A2"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CD8C3FA"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2E33B84"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26F0DCD"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9711296" w14:textId="77777777" w:rsidR="001C5B4A" w:rsidRPr="00F45C80" w:rsidRDefault="001C5B4A"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sidR="00872BB9">
                            <w:rPr>
                              <w:rFonts w:asciiTheme="majorHAnsi" w:hAnsiTheme="majorHAnsi" w:cs="Arial"/>
                              <w:color w:val="323E4F" w:themeColor="text2" w:themeShade="BF"/>
                              <w:sz w:val="18"/>
                              <w:szCs w:val="20"/>
                              <w:lang w:val="es-MX"/>
                            </w:rPr>
                            <w:t xml:space="preserve"> DE LAS FINANZAS PÚBLICAS, mayo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0D9B3" id="_x0000_t202" coordsize="21600,21600" o:spt="202" path="m,l,21600r21600,l21600,xe">
              <v:stroke joinstyle="miter"/>
              <v:path gradientshapeok="t" o:connecttype="rect"/>
            </v:shapetype>
            <v:shape id="Cuadro de texto 231" o:spid="_x0000_s1033" type="#_x0000_t202" style="position:absolute;left:0;text-align:left;margin-left:53.5pt;margin-top:-30.65pt;width:210.55pt;height: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ChTQIAAIsEAAAOAAAAZHJzL2Uyb0RvYy54bWysVE1vGjEQvVfqf7B8LwskAYKyRJSIqhJK&#10;IpEqZ+P1wkpej2sbdtNf32cvJCTtqerFO+MZz8d7M3tz29aaHZTzFZmcD3p9zpSRVFRmm/MfT8sv&#10;E858EKYQmozK+Yvy/Hb2+dNNY6dqSDvShXIMQYyfNjbnuxDsNMu83Kla+B5ZZWAsydUiQHXbrHCi&#10;QfRaZ8N+f5Q15ArrSCrvcXvXGfksxS9LJcNDWXoVmM45agvpdOncxDOb3Yjp1gm7q+SxDPEPVdSi&#10;Mkj6GupOBMH2rvojVF1JR57K0JNUZ1SWlVSpB3Qz6H/oZr0TVqVeAI63rzD5/xdW3h8eHauKnA8v&#10;BpwZUYOkxV4UjlihWFBtIBZNAKqxfgr/tcWL0H6lFoSf7j0uY/9t6er4RWcMdkD+8gozYjGJy+Fo&#10;fHE9ueJMwjaeDPpXiYfs7bV1PnxTVLMo5NyBxoSuOKx8QCVwPbnEZJ50VSwrrZMSR0cttGMHAdI3&#10;21QjXrzz0oY1OR9dIHV8ZCg+7yJrgwSx166nKIV20yaQRqd+N1S8AAZH3UR5K5cVal0JHx6Fwwih&#10;c6xFeMBRakIuOkqc7cj9+tt99AezsHLWYCRz7n/uhVOc6e8GnF8PLi/jDCfl8mo8hOLOLZtzi9nX&#10;CwIAYBXVJTH6B30SS0f1M7ZnHrPCJIxE7pyHk7gI3aJg+6Saz5MTptaKsDJrK2PoiF1k4ql9Fs4e&#10;6YpDc0+n4RXTD6x1vh3q832gskqURpw7VI/wY+IT08ftjCt1rievt3/I7DcAAAD//wMAUEsDBBQA&#10;BgAIAAAAIQCnxOQ43gAAAAoBAAAPAAAAZHJzL2Rvd25yZXYueG1sTI9Bb4JAFITvTfwPm2fSmy7Y&#10;iIayGDX13BR66HFlX4HKviXsqpRf39dTe5zMZOabbDfaTtxw8K0jBfEyAoFUOdNSreC9PC22IHzQ&#10;ZHTnCBV8o4ddPnvIdGrcnd7wVoRacAn5VCtoQuhTKX3VoNV+6Xok9j7dYHVgOdTSDPrO5baTqyhK&#10;pNUt8UKjezw2WF2Kq+VdV75cpn2Q5anC4mDW09frx6TU43zcP4MIOIa/MPziMzrkzHR2VzJedKyj&#10;DX8JChZJ/ASCE+vVNgZxVpDEG5B5Jv9fyH8AAAD//wMAUEsBAi0AFAAGAAgAAAAhALaDOJL+AAAA&#10;4QEAABMAAAAAAAAAAAAAAAAAAAAAAFtDb250ZW50X1R5cGVzXS54bWxQSwECLQAUAAYACAAAACEA&#10;OP0h/9YAAACUAQAACwAAAAAAAAAAAAAAAAAvAQAAX3JlbHMvLnJlbHNQSwECLQAUAAYACAAAACEA&#10;RwsQoU0CAACLBAAADgAAAAAAAAAAAAAAAAAuAgAAZHJzL2Uyb0RvYy54bWxQSwECLQAUAAYACAAA&#10;ACEAp8TkON4AAAAKAQAADwAAAAAAAAAAAAAAAACnBAAAZHJzL2Rvd25yZXYueG1sUEsFBgAAAAAE&#10;AAQA8wAAALIFAAAAAA==&#10;" fillcolor="white [3212]" stroked="f" strokeweight=".5pt">
              <v:textbox>
                <w:txbxContent>
                  <w:p w14:paraId="225047A2"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CD8C3FA"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2E33B84"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26F0DCD"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9711296" w14:textId="77777777" w:rsidR="001C5B4A" w:rsidRPr="00F45C80" w:rsidRDefault="001C5B4A"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sidR="00872BB9">
                      <w:rPr>
                        <w:rFonts w:asciiTheme="majorHAnsi" w:hAnsiTheme="majorHAnsi" w:cs="Arial"/>
                        <w:color w:val="323E4F" w:themeColor="text2" w:themeShade="BF"/>
                        <w:sz w:val="18"/>
                        <w:szCs w:val="20"/>
                        <w:lang w:val="es-MX"/>
                      </w:rPr>
                      <w:t xml:space="preserve"> DE LAS FINANZAS PÚBLICAS, mayo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9744" behindDoc="1" locked="0" layoutInCell="1" allowOverlap="1" wp14:anchorId="31779916" wp14:editId="5438A21B">
          <wp:simplePos x="0" y="0"/>
          <wp:positionH relativeFrom="column">
            <wp:posOffset>-1076325</wp:posOffset>
          </wp:positionH>
          <wp:positionV relativeFrom="paragraph">
            <wp:posOffset>-734060</wp:posOffset>
          </wp:positionV>
          <wp:extent cx="3093621" cy="1283913"/>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AA7BCCF" w14:textId="77777777" w:rsidR="001C5B4A" w:rsidRPr="008030B6" w:rsidRDefault="001C5B4A" w:rsidP="006906B8">
    <w:pPr>
      <w:pStyle w:val="Encabezado"/>
      <w:tabs>
        <w:tab w:val="left" w:pos="1276"/>
      </w:tabs>
      <w:rPr>
        <w:lang w:val="es-MX"/>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DA11"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708416" behindDoc="1" locked="0" layoutInCell="1" allowOverlap="1" wp14:anchorId="1BAFB9BB" wp14:editId="3F74FF32">
          <wp:simplePos x="0" y="0"/>
          <wp:positionH relativeFrom="column">
            <wp:posOffset>-1076325</wp:posOffset>
          </wp:positionH>
          <wp:positionV relativeFrom="paragraph">
            <wp:posOffset>-734060</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04DB876" w14:textId="77777777" w:rsidR="001C5B4A" w:rsidRPr="008030B6" w:rsidRDefault="001C5B4A"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20AA6222" w14:textId="77777777" w:rsidR="001C5B4A" w:rsidRPr="008030B6" w:rsidRDefault="001C5B4A"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43836EF8" w14:textId="77777777" w:rsidR="001C5B4A" w:rsidRPr="008030B6" w:rsidRDefault="001C5B4A">
    <w:pPr>
      <w:pStyle w:val="Encabezado"/>
      <w:rPr>
        <w:lang w:val="es-MX"/>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CCDB"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10464" behindDoc="0" locked="0" layoutInCell="1" allowOverlap="1" wp14:anchorId="066EE6DA" wp14:editId="679AE9D2">
              <wp:simplePos x="0" y="0"/>
              <wp:positionH relativeFrom="column">
                <wp:posOffset>670560</wp:posOffset>
              </wp:positionH>
              <wp:positionV relativeFrom="paragraph">
                <wp:posOffset>-397570</wp:posOffset>
              </wp:positionV>
              <wp:extent cx="2673985" cy="781050"/>
              <wp:effectExtent l="0" t="0" r="0" b="0"/>
              <wp:wrapSquare wrapText="bothSides"/>
              <wp:docPr id="59" name="Cuadro de texto 59"/>
              <wp:cNvGraphicFramePr/>
              <a:graphic xmlns:a="http://schemas.openxmlformats.org/drawingml/2006/main">
                <a:graphicData uri="http://schemas.microsoft.com/office/word/2010/wordprocessingShape">
                  <wps:wsp>
                    <wps:cNvSpPr txBox="1"/>
                    <wps:spPr>
                      <a:xfrm>
                        <a:off x="0" y="0"/>
                        <a:ext cx="2673985" cy="781050"/>
                      </a:xfrm>
                      <a:prstGeom prst="rect">
                        <a:avLst/>
                      </a:prstGeom>
                      <a:solidFill>
                        <a:schemeClr val="bg1"/>
                      </a:solidFill>
                      <a:ln w="6350">
                        <a:noFill/>
                      </a:ln>
                    </wps:spPr>
                    <wps:txbx>
                      <w:txbxContent>
                        <w:p w14:paraId="7EDBB674" w14:textId="77777777" w:rsidR="001C5B4A" w:rsidRPr="00F45C80" w:rsidRDefault="001C5B4A"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DF382F8" w14:textId="77777777" w:rsidR="001C5B4A" w:rsidRPr="00F45C80" w:rsidRDefault="001C5B4A"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1F43432" w14:textId="77777777" w:rsidR="001C5B4A" w:rsidRPr="00F45C80" w:rsidRDefault="001C5B4A"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831C4F" w14:textId="77777777" w:rsidR="001C5B4A" w:rsidRPr="00F45C80" w:rsidRDefault="001C5B4A"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0E1DABE" w14:textId="77777777" w:rsidR="001C5B4A" w:rsidRPr="00F45C80" w:rsidRDefault="001C5B4A" w:rsidP="001B456C">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sidR="00872BB9">
                            <w:rPr>
                              <w:rFonts w:asciiTheme="majorHAnsi" w:hAnsiTheme="majorHAnsi" w:cs="Arial"/>
                              <w:color w:val="323E4F" w:themeColor="text2" w:themeShade="BF"/>
                              <w:sz w:val="18"/>
                              <w:szCs w:val="20"/>
                              <w:lang w:val="es-MX"/>
                            </w:rPr>
                            <w:t xml:space="preserve"> DE LAS FINANZAS PÚBLICAS, mayo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EE6DA" id="_x0000_t202" coordsize="21600,21600" o:spt="202" path="m,l,21600r21600,l21600,xe">
              <v:stroke joinstyle="miter"/>
              <v:path gradientshapeok="t" o:connecttype="rect"/>
            </v:shapetype>
            <v:shape id="Cuadro de texto 59" o:spid="_x0000_s1034" type="#_x0000_t202" style="position:absolute;left:0;text-align:left;margin-left:52.8pt;margin-top:-31.3pt;width:210.55pt;height: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BTAIAAIkEAAAOAAAAZHJzL2Uyb0RvYy54bWysVE1vGjEQvVfqf7B8LwsEQkAsESWiqhQl&#10;kZIqZ+P1wkpej2sbdtNf32cvJCTtqerFO+MZz8d7Mzu/bmvNDsr5ikzOB70+Z8pIKiqzzfmPp/WX&#10;K858EKYQmozK+Yvy/Hrx+dO8sTM1pB3pQjmGIMbPGpvzXQh2lmVe7lQtfI+sMjCW5GoRoLptVjjR&#10;IHqts2G/f5k15ArrSCrvcXvTGfkixS9LJcN9WXoVmM45agvpdOncxDNbzMVs64TdVfJYhviHKmpR&#10;GSR9DXUjgmB7V/0Rqq6kI09l6EmqMyrLSqrUA7oZ9D9087gTVqVeAI63rzD5/xdW3h0eHKuKnI+n&#10;nBlRg6PVXhSOWKFYUG0gBgtgaqyfwfvRwj+0X6kF3ad7j8vYfVu6On7RF4MdgL+8goxQTOJyeDm5&#10;mF6NOZOwTa4G/XFiIXt7bZ0P3xTVLAo5dyAxYSsOtz6gErieXGIyT7oq1pXWSYmDo1basYMA5Ztt&#10;qhEv3nlpw5qcX14gdXxkKD7vImuDBLHXrqcohXbTJogmp343VLwABkfdPHkr1xVqvRU+PAiHAULn&#10;WIpwj6PUhFx0lDjbkfv1t/voD15h5azBQObc/9wLpzjT3w0Ynw5GozjBSRmNJ0Mo7tyyObeYfb0i&#10;ADDA+lmZxOgf9EksHdXP2J1lzAqTMBK5cx5O4ip0a4Ldk2q5TE6YWSvCrXm0MoaO2EUmntpn4eyR&#10;rjgzd3QaXTH7wFrn26G+3Acqq0RpxLlD9Qg/5j0xfdzNuFDnevJ6+4MsfgMAAP//AwBQSwMEFAAG&#10;AAgAAAAhAEe72z3cAAAACgEAAA8AAABkcnMvZG93bnJldi54bWxMjz1PwzAQhnck/oN1SGytTUQC&#10;CnGqguiMSBgY3fhIQuNzFLttyK/nmOh2r+7R+1FsZjeIE06h96Thbq1AIDXe9tRq+Kh3q0cQIRqy&#10;ZvCEGn4wwKa8vipMbv2Z3vFUxVawCYXcaOhiHHMpQ9OhM2HtRyT+ffnJmchyaqWdzJnN3SATpTLp&#10;TE+c0JkRXzpsDtXRca6vXw/LNsp612D1bNPl++1z0fr2Zt4+gYg4x38Y/upzdSi5094fyQYxsFZp&#10;xqiGVZbwwUSaZA8g9hoydQ+yLOTlhPIXAAD//wMAUEsBAi0AFAAGAAgAAAAhALaDOJL+AAAA4QEA&#10;ABMAAAAAAAAAAAAAAAAAAAAAAFtDb250ZW50X1R5cGVzXS54bWxQSwECLQAUAAYACAAAACEAOP0h&#10;/9YAAACUAQAACwAAAAAAAAAAAAAAAAAvAQAAX3JlbHMvLnJlbHNQSwECLQAUAAYACAAAACEAyf82&#10;wUwCAACJBAAADgAAAAAAAAAAAAAAAAAuAgAAZHJzL2Uyb0RvYy54bWxQSwECLQAUAAYACAAAACEA&#10;R7vbPdwAAAAKAQAADwAAAAAAAAAAAAAAAACmBAAAZHJzL2Rvd25yZXYueG1sUEsFBgAAAAAEAAQA&#10;8wAAAK8FAAAAAA==&#10;" fillcolor="white [3212]" stroked="f" strokeweight=".5pt">
              <v:textbox>
                <w:txbxContent>
                  <w:p w14:paraId="7EDBB674" w14:textId="77777777" w:rsidR="001C5B4A" w:rsidRPr="00F45C80" w:rsidRDefault="001C5B4A"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DF382F8" w14:textId="77777777" w:rsidR="001C5B4A" w:rsidRPr="00F45C80" w:rsidRDefault="001C5B4A"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1F43432" w14:textId="77777777" w:rsidR="001C5B4A" w:rsidRPr="00F45C80" w:rsidRDefault="001C5B4A"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831C4F" w14:textId="77777777" w:rsidR="001C5B4A" w:rsidRPr="00F45C80" w:rsidRDefault="001C5B4A"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0E1DABE" w14:textId="77777777" w:rsidR="001C5B4A" w:rsidRPr="00F45C80" w:rsidRDefault="001C5B4A" w:rsidP="001B456C">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sidR="00872BB9">
                      <w:rPr>
                        <w:rFonts w:asciiTheme="majorHAnsi" w:hAnsiTheme="majorHAnsi" w:cs="Arial"/>
                        <w:color w:val="323E4F" w:themeColor="text2" w:themeShade="BF"/>
                        <w:sz w:val="18"/>
                        <w:szCs w:val="20"/>
                        <w:lang w:val="es-MX"/>
                      </w:rPr>
                      <w:t xml:space="preserve"> DE LAS FINANZAS PÚBLICAS, mayo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1792" behindDoc="1" locked="0" layoutInCell="1" allowOverlap="1" wp14:anchorId="3D091912" wp14:editId="2113A414">
          <wp:simplePos x="0" y="0"/>
          <wp:positionH relativeFrom="column">
            <wp:posOffset>-1076325</wp:posOffset>
          </wp:positionH>
          <wp:positionV relativeFrom="paragraph">
            <wp:posOffset>-734060</wp:posOffset>
          </wp:positionV>
          <wp:extent cx="3093621" cy="1283913"/>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56BCCCC" w14:textId="77777777" w:rsidR="001C5B4A" w:rsidRPr="008030B6" w:rsidRDefault="001C5B4A">
    <w:pPr>
      <w:pStyle w:val="Encabezado"/>
      <w:rPr>
        <w:lang w:val="es-MX"/>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47B2"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0224" behindDoc="0" locked="0" layoutInCell="1" allowOverlap="1" wp14:anchorId="098A5342" wp14:editId="1AA8C31A">
              <wp:simplePos x="0" y="0"/>
              <wp:positionH relativeFrom="column">
                <wp:posOffset>672465</wp:posOffset>
              </wp:positionH>
              <wp:positionV relativeFrom="paragraph">
                <wp:posOffset>-373380</wp:posOffset>
              </wp:positionV>
              <wp:extent cx="2647950" cy="781050"/>
              <wp:effectExtent l="0" t="0" r="0" b="0"/>
              <wp:wrapSquare wrapText="bothSides"/>
              <wp:docPr id="232" name="Cuadro de texto 232"/>
              <wp:cNvGraphicFramePr/>
              <a:graphic xmlns:a="http://schemas.openxmlformats.org/drawingml/2006/main">
                <a:graphicData uri="http://schemas.microsoft.com/office/word/2010/wordprocessingShape">
                  <wps:wsp>
                    <wps:cNvSpPr txBox="1"/>
                    <wps:spPr>
                      <a:xfrm>
                        <a:off x="0" y="0"/>
                        <a:ext cx="2647950" cy="781050"/>
                      </a:xfrm>
                      <a:prstGeom prst="rect">
                        <a:avLst/>
                      </a:prstGeom>
                      <a:solidFill>
                        <a:schemeClr val="bg1"/>
                      </a:solidFill>
                      <a:ln w="6350">
                        <a:noFill/>
                      </a:ln>
                    </wps:spPr>
                    <wps:txbx>
                      <w:txbxContent>
                        <w:p w14:paraId="4D58A9D9"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D78D56D"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FA0B081"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52A03302"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66D1AE2A" w14:textId="77777777" w:rsidR="001C5B4A" w:rsidRPr="00F45C80" w:rsidRDefault="001C5B4A"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sidR="00872BB9">
                            <w:rPr>
                              <w:rFonts w:asciiTheme="majorHAnsi" w:hAnsiTheme="majorHAnsi" w:cs="Arial"/>
                              <w:color w:val="323E4F" w:themeColor="text2" w:themeShade="BF"/>
                              <w:sz w:val="18"/>
                              <w:szCs w:val="20"/>
                              <w:lang w:val="es-MX"/>
                            </w:rPr>
                            <w:t>mayo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A5342" id="_x0000_t202" coordsize="21600,21600" o:spt="202" path="m,l,21600r21600,l21600,xe">
              <v:stroke joinstyle="miter"/>
              <v:path gradientshapeok="t" o:connecttype="rect"/>
            </v:shapetype>
            <v:shape id="Cuadro de texto 232" o:spid="_x0000_s1035" type="#_x0000_t202" style="position:absolute;left:0;text-align:left;margin-left:52.95pt;margin-top:-29.4pt;width:208.5pt;height: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T4SwIAAIsEAAAOAAAAZHJzL2Uyb0RvYy54bWysVFFv2jAQfp+0/2D5fQQobSkiVIyKaVLV&#10;VqJTn43jQCTH59mGpPv1++wApd2epr04d77zd3ff3WV629aa7ZXzFZmcD3p9zpSRVFRmk/Mfz8sv&#10;Y858EKYQmozK+avy/Hb2+dO0sRM1pC3pQjkGEOMnjc35NgQ7yTIvt6oWvkdWGRhLcrUIUN0mK5xo&#10;gF7rbNjvX2UNucI6ksp73N51Rj5L+GWpZHgsS68C0zlHbiGdLp3reGazqZhsnLDbSh7SEP+QRS0q&#10;g6AnqDsRBNu56g+oupKOPJWhJ6nOqCwrqVINqGbQ/1DNaiusSrWAHG9PNPn/Bysf9k+OVUXOhxdD&#10;zoyo0aTFThSOWKFYUG0gFk0gqrF+Av+VxYvQfqUWDT/ee1zG+tvS1fGLyhjsoPz1RDOwmMTl8Gp0&#10;fXMJk4TtejzoQwZ89vbaOh++KapZFHLu0MbErtjf+9C5Hl1iME+6KpaV1kmJo6MW2rG9QNPXm5Qj&#10;wN95acOanF9dIHR8ZCg+75C1QS6x1q6mKIV23SaSxsd611S8ggZH3UR5K5cVcr0XPjwJhxFCeViL&#10;8Iij1IRYdJA425L79bf76I/OwspZg5HMuf+5E05xpr8b9PxmMBrFGU7K6PJ6CMWdW9bnFrOrFwQC&#10;BlhAK5MY/YM+iqWj+gXbM49RYRJGInbOw1FchG5RsH1SzefJCVNrRbg3KysjdOQuduK5fRHOHtoV&#10;h+aBjsMrJh+61vl2rM93gcoqtTTy3LF6oB8Tn4bisJ1xpc715PX2D5n9BgAA//8DAFBLAwQUAAYA&#10;CAAAACEAQWO/pN0AAAAKAQAADwAAAGRycy9kb3ducmV2LnhtbEyPwW7CMBBE75X4B2uRegOnUYNo&#10;GgcBKueKpIceTbxNUuJ1FBtI8/VdTu1xdkczb7LNaDtxxcG3jhQ8LSMQSJUzLdUKPsrDYg3CB01G&#10;d45QwQ962OSzh0ynxt3oiNci1IJDyKdaQRNCn0rpqwat9kvXI/Hvyw1WB5ZDLc2gbxxuOxlH0Upa&#10;3RI3NLrHfYPVubhY7nXl23naBlkeKix2Jpm+3z8npR7n4/YVRMAx/Jnhjs/okDPTyV3IeNGxjpIX&#10;tipYJGvewI4kjvlyUrB6jkHmmfw/If8FAAD//wMAUEsBAi0AFAAGAAgAAAAhALaDOJL+AAAA4QEA&#10;ABMAAAAAAAAAAAAAAAAAAAAAAFtDb250ZW50X1R5cGVzXS54bWxQSwECLQAUAAYACAAAACEAOP0h&#10;/9YAAACUAQAACwAAAAAAAAAAAAAAAAAvAQAAX3JlbHMvLnJlbHNQSwECLQAUAAYACAAAACEAjz5k&#10;+EsCAACLBAAADgAAAAAAAAAAAAAAAAAuAgAAZHJzL2Uyb0RvYy54bWxQSwECLQAUAAYACAAAACEA&#10;QWO/pN0AAAAKAQAADwAAAAAAAAAAAAAAAAClBAAAZHJzL2Rvd25yZXYueG1sUEsFBgAAAAAEAAQA&#10;8wAAAK8FAAAAAA==&#10;" fillcolor="white [3212]" stroked="f" strokeweight=".5pt">
              <v:textbox>
                <w:txbxContent>
                  <w:p w14:paraId="4D58A9D9"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D78D56D"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FA0B081"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52A03302"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66D1AE2A" w14:textId="77777777" w:rsidR="001C5B4A" w:rsidRPr="00F45C80" w:rsidRDefault="001C5B4A"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sidR="00872BB9">
                      <w:rPr>
                        <w:rFonts w:asciiTheme="majorHAnsi" w:hAnsiTheme="majorHAnsi" w:cs="Arial"/>
                        <w:color w:val="323E4F" w:themeColor="text2" w:themeShade="BF"/>
                        <w:sz w:val="18"/>
                        <w:szCs w:val="20"/>
                        <w:lang w:val="es-MX"/>
                      </w:rPr>
                      <w:t>mayo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3840" behindDoc="1" locked="0" layoutInCell="1" allowOverlap="1" wp14:anchorId="575171CB" wp14:editId="6A875F2C">
          <wp:simplePos x="0" y="0"/>
          <wp:positionH relativeFrom="column">
            <wp:posOffset>-1076325</wp:posOffset>
          </wp:positionH>
          <wp:positionV relativeFrom="paragraph">
            <wp:posOffset>-734060</wp:posOffset>
          </wp:positionV>
          <wp:extent cx="3093621" cy="1283913"/>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3306C7A" w14:textId="77777777" w:rsidR="001C5B4A" w:rsidRPr="008030B6" w:rsidRDefault="001C5B4A" w:rsidP="006906B8">
    <w:pPr>
      <w:pStyle w:val="Encabezado"/>
      <w:tabs>
        <w:tab w:val="left" w:pos="1276"/>
      </w:tabs>
      <w:rPr>
        <w:lang w:val="es-MX"/>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E3BC1"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6368" behindDoc="0" locked="0" layoutInCell="1" allowOverlap="1" wp14:anchorId="665B006F" wp14:editId="4C2CA047">
              <wp:simplePos x="0" y="0"/>
              <wp:positionH relativeFrom="column">
                <wp:posOffset>698740</wp:posOffset>
              </wp:positionH>
              <wp:positionV relativeFrom="paragraph">
                <wp:posOffset>-337365</wp:posOffset>
              </wp:positionV>
              <wp:extent cx="2800350" cy="781050"/>
              <wp:effectExtent l="0" t="0" r="0" b="0"/>
              <wp:wrapSquare wrapText="bothSides"/>
              <wp:docPr id="246" name="Cuadro de texto 246"/>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23FC2FD9"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CC4690F"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5FF1408"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5B0377F"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44DCCA5" w14:textId="77777777" w:rsidR="001C5B4A" w:rsidRPr="00F45C80" w:rsidRDefault="001C5B4A"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B006F" id="_x0000_t202" coordsize="21600,21600" o:spt="202" path="m,l,21600r21600,l21600,xe">
              <v:stroke joinstyle="miter"/>
              <v:path gradientshapeok="t" o:connecttype="rect"/>
            </v:shapetype>
            <v:shape id="Cuadro de texto 246" o:spid="_x0000_s1036" type="#_x0000_t202" style="position:absolute;left:0;text-align:left;margin-left:55pt;margin-top:-26.55pt;width:220.5pt;height: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vdSgIAAIsEAAAOAAAAZHJzL2Uyb0RvYy54bWysVFFv2jAQfp+0/2D5fSQwSmlEqBgV0yTU&#10;VqJTn41jE0uOz7MNCfv1OztAWbenaS/One/83d13d5ndd40mB+G8AlPS4SCnRBgOlTK7kn5/WX2a&#10;UuIDMxXTYERJj8LT+/nHD7PWFmIENehKOIIgxhetLWkdgi2yzPNaNMwPwAqDRgmuYQFVt8sqx1pE&#10;b3Q2yvNJ1oKrrAMuvMfbh95I5wlfSsHDk5ReBKJLirmFdLp0buOZzWes2Dlma8VPabB/yKJhymDQ&#10;C9QDC4zsnfoDqlHcgQcZBhyaDKRUXKQasJph/q6aTc2sSLUgOd5eaPL/D5Y/Hp4dUVVJR+MJJYY1&#10;2KTlnlUOSCVIEF0AEk1IVGt9gf4biy9C9wU6bPj53uNlrL+TrolfrIygHSk/XmhGLMLxcjTN8883&#10;aOJou50Oc5QRPnt7bZ0PXwU0JAolddjGxC47rH3oXc8uMZgHraqV0jopcXTEUjtyYNj07S7liOC/&#10;eWlD2pJOYhrxkYH4vEfWBnOJtfY1RSl02y6RdHeudwvVEWlw0E+Ut3ylMNc18+GZORwhLA/XIjzh&#10;ITVgLDhJlNTgfv7tPvpjZ9FKSYsjWVL/Y8+coER/M9jzu+F4HGc4KeOb2xEq7tqyvbaYfbMEJGCI&#10;C2h5EqN/0GdROmhecXsWMSqamOEYu6ThLC5Dvyi4fVwsFskJp9aysDYbyyN05C524qV7Zc6e2hWH&#10;5hHOw8uKd13rfXvWF/sAUqWWRp57Vk/048SnoThtZ1ypaz15vf1D5r8AAAD//wMAUEsDBBQABgAI&#10;AAAAIQAkSy8K3gAAAAoBAAAPAAAAZHJzL2Rvd25yZXYueG1sTI/BbsIwEETvlfoP1lbiBk6Kgkoa&#10;B9EKzhVJDz2aeJukxOsoNhDy9V1O7XF2RzNvss1oO3HBwbeOFMSLCARS5UxLtYLPcj9/AeGDJqM7&#10;R6jghh42+eNDplPjrnTASxFqwSHkU62gCaFPpfRVg1b7heuR+PftBqsDy6GWZtBXDredfI6ilbS6&#10;JW5odI/vDVan4my515W707QNstxXWLyZZPr5+JqUmj2N21cQAcfwZ4Y7PqNDzkxHdybjRcc6jnhL&#10;UDBPljEIdiRJzJejgtV6DTLP5P8J+S8AAAD//wMAUEsBAi0AFAAGAAgAAAAhALaDOJL+AAAA4QEA&#10;ABMAAAAAAAAAAAAAAAAAAAAAAFtDb250ZW50X1R5cGVzXS54bWxQSwECLQAUAAYACAAAACEAOP0h&#10;/9YAAACUAQAACwAAAAAAAAAAAAAAAAAvAQAAX3JlbHMvLnJlbHNQSwECLQAUAAYACAAAACEAWxEr&#10;3UoCAACLBAAADgAAAAAAAAAAAAAAAAAuAgAAZHJzL2Uyb0RvYy54bWxQSwECLQAUAAYACAAAACEA&#10;JEsvCt4AAAAKAQAADwAAAAAAAAAAAAAAAACkBAAAZHJzL2Rvd25yZXYueG1sUEsFBgAAAAAEAAQA&#10;8wAAAK8FAAAAAA==&#10;" fillcolor="white [3212]" stroked="f" strokeweight=".5pt">
              <v:textbox>
                <w:txbxContent>
                  <w:p w14:paraId="23FC2FD9"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CC4690F"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5FF1408"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5B0377F"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44DCCA5" w14:textId="77777777" w:rsidR="001C5B4A" w:rsidRPr="00F45C80" w:rsidRDefault="001C5B4A"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abril</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5888" behindDoc="1" locked="0" layoutInCell="1" allowOverlap="1" wp14:anchorId="670DAA98" wp14:editId="12566B27">
          <wp:simplePos x="0" y="0"/>
          <wp:positionH relativeFrom="column">
            <wp:posOffset>-1076325</wp:posOffset>
          </wp:positionH>
          <wp:positionV relativeFrom="paragraph">
            <wp:posOffset>-734060</wp:posOffset>
          </wp:positionV>
          <wp:extent cx="3093621" cy="1283913"/>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36F70573" w14:textId="77777777" w:rsidR="001C5B4A" w:rsidRPr="008030B6" w:rsidRDefault="001C5B4A" w:rsidP="006906B8">
    <w:pPr>
      <w:pStyle w:val="Encabezado"/>
      <w:tabs>
        <w:tab w:val="left" w:pos="1276"/>
      </w:tabs>
      <w:rPr>
        <w:lang w:val="es-MX"/>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7849"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2272" behindDoc="0" locked="0" layoutInCell="1" allowOverlap="1" wp14:anchorId="18597A28" wp14:editId="3BB012D8">
              <wp:simplePos x="0" y="0"/>
              <wp:positionH relativeFrom="column">
                <wp:posOffset>681990</wp:posOffset>
              </wp:positionH>
              <wp:positionV relativeFrom="paragraph">
                <wp:posOffset>-354330</wp:posOffset>
              </wp:positionV>
              <wp:extent cx="2705100" cy="781050"/>
              <wp:effectExtent l="0" t="0" r="0" b="0"/>
              <wp:wrapSquare wrapText="bothSides"/>
              <wp:docPr id="233" name="Cuadro de texto 233"/>
              <wp:cNvGraphicFramePr/>
              <a:graphic xmlns:a="http://schemas.openxmlformats.org/drawingml/2006/main">
                <a:graphicData uri="http://schemas.microsoft.com/office/word/2010/wordprocessingShape">
                  <wps:wsp>
                    <wps:cNvSpPr txBox="1"/>
                    <wps:spPr>
                      <a:xfrm>
                        <a:off x="0" y="0"/>
                        <a:ext cx="2705100" cy="781050"/>
                      </a:xfrm>
                      <a:prstGeom prst="rect">
                        <a:avLst/>
                      </a:prstGeom>
                      <a:solidFill>
                        <a:schemeClr val="bg1"/>
                      </a:solidFill>
                      <a:ln w="6350">
                        <a:noFill/>
                      </a:ln>
                    </wps:spPr>
                    <wps:txbx>
                      <w:txbxContent>
                        <w:p w14:paraId="2BAB7300"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B679047"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F16E65B"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2C9026EC"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131FAEF" w14:textId="77777777" w:rsidR="001C5B4A" w:rsidRPr="00F45C80" w:rsidRDefault="001C5B4A"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sidR="00872BB9">
                            <w:rPr>
                              <w:rFonts w:asciiTheme="majorHAnsi" w:hAnsiTheme="majorHAnsi" w:cs="Arial"/>
                              <w:color w:val="323E4F" w:themeColor="text2" w:themeShade="BF"/>
                              <w:sz w:val="18"/>
                              <w:szCs w:val="20"/>
                              <w:lang w:val="es-MX"/>
                            </w:rPr>
                            <w:t xml:space="preserve"> DE LAS FINANZAS PÚBLICAS, mayo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97A28" id="_x0000_t202" coordsize="21600,21600" o:spt="202" path="m,l,21600r21600,l21600,xe">
              <v:stroke joinstyle="miter"/>
              <v:path gradientshapeok="t" o:connecttype="rect"/>
            </v:shapetype>
            <v:shape id="Cuadro de texto 233" o:spid="_x0000_s1037" type="#_x0000_t202" style="position:absolute;left:0;text-align:left;margin-left:53.7pt;margin-top:-27.9pt;width:213pt;height: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cMSwIAAIwEAAAOAAAAZHJzL2Uyb0RvYy54bWysVE1v2zAMvQ/YfxB0X2ynnwvqFFmKDAOK&#10;tkA69KzIcmJAFjVJid39+j3JSZN1Ow27yBRJ8eM90je3favZTjnfkCl5Mco5U0ZS1Zh1yb8/Lz5d&#10;c+aDMJXQZFTJX5Xnt9OPH246O1Fj2pCulGMIYvyksyXfhGAnWeblRrXCj8gqA2NNrhUBV7fOKic6&#10;RG91Ns7zy6wjV1lHUnkP7d1g5NMUv66VDI917VVguuSoLaTTpXMVz2x6IyZrJ+ymkfsyxD9U0YrG&#10;IOlbqDsRBNu65o9QbSMdearDSFKbUV03UqUe0E2Rv+tmuRFWpV4AjrdvMPn/F1Y+7J4ca6qSj8/O&#10;ODOiBUnzragcsUqxoPpALJoAVGf9BP5Lixeh/0I9CD/oPZSx/752bfyiMwY7IH99gxmxmIRyfJVf&#10;FDlMErar6yK/SDxkx9fW+fBVUcuiUHIHGhO6YnfvAyqB68ElJvOkm2rRaJ0ucXTUXDu2EyB9tU41&#10;4sVvXtqwruSXZ0gdHxmKz4fI2iBB7HXoKUqhX/UJpCJVGlUrql6Bg6NhpLyViwbF3gsfnoTDDKE/&#10;7EV4xFFrQjLaS5xtyP38mz76g1pYOeswkyX3P7bCKc70NwPSPxfn53GI0+X84mqMizu1rE4tZtvO&#10;CQgU2EArkxj9gz6ItaP2Beszi1lhEkYid8nDQZyHYVOwflLNZskJY2tFuDdLK2PoCF6k4rl/Ec7u&#10;+YpT80CH6RWTd7QNvgPss22gukmcHlHd44+RT1Tv1zPu1Ok9eR1/ItNfAAAA//8DAFBLAwQUAAYA&#10;CAAAACEA3KXGNd0AAAAKAQAADwAAAGRycy9kb3ducmV2LnhtbEyPwW7CMBBE75X4B2sr9QZOoYEq&#10;jYOggjNq0kOPJt4mKfE6ig2EfH2XU3uc3dHMm3Q92FZcsPeNIwXPswgEUulMQ5WCz2I/fQXhgyaj&#10;W0eo4IYe1tnkIdWJcVf6wEseKsEh5BOtoA6hS6T0ZY1W+5nrkPj37XqrA8u+kqbXVw63rZxH0VJa&#10;3RA31LrD9xrLU3623OuK3WncBFnsS8y3Jh5/Dl+jUk+Pw+YNRMAh/Jnhjs/okDHT0Z3JeNGyjlYv&#10;bFUwjWPewI54seDLUcFyNQeZpfL/hOwXAAD//wMAUEsBAi0AFAAGAAgAAAAhALaDOJL+AAAA4QEA&#10;ABMAAAAAAAAAAAAAAAAAAAAAAFtDb250ZW50X1R5cGVzXS54bWxQSwECLQAUAAYACAAAACEAOP0h&#10;/9YAAACUAQAACwAAAAAAAAAAAAAAAAAvAQAAX3JlbHMvLnJlbHNQSwECLQAUAAYACAAAACEANQT3&#10;DEsCAACMBAAADgAAAAAAAAAAAAAAAAAuAgAAZHJzL2Uyb0RvYy54bWxQSwECLQAUAAYACAAAACEA&#10;3KXGNd0AAAAKAQAADwAAAAAAAAAAAAAAAAClBAAAZHJzL2Rvd25yZXYueG1sUEsFBgAAAAAEAAQA&#10;8wAAAK8FAAAAAA==&#10;" fillcolor="white [3212]" stroked="f" strokeweight=".5pt">
              <v:textbox>
                <w:txbxContent>
                  <w:p w14:paraId="2BAB7300"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B679047"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F16E65B"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2C9026EC"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131FAEF" w14:textId="77777777" w:rsidR="001C5B4A" w:rsidRPr="00F45C80" w:rsidRDefault="001C5B4A"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sidR="00872BB9">
                      <w:rPr>
                        <w:rFonts w:asciiTheme="majorHAnsi" w:hAnsiTheme="majorHAnsi" w:cs="Arial"/>
                        <w:color w:val="323E4F" w:themeColor="text2" w:themeShade="BF"/>
                        <w:sz w:val="18"/>
                        <w:szCs w:val="20"/>
                        <w:lang w:val="es-MX"/>
                      </w:rPr>
                      <w:t xml:space="preserve"> DE LAS FINANZAS PÚBLICAS, mayo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7936" behindDoc="1" locked="0" layoutInCell="1" allowOverlap="1" wp14:anchorId="6CCFB8CA" wp14:editId="77F112CB">
          <wp:simplePos x="0" y="0"/>
          <wp:positionH relativeFrom="column">
            <wp:posOffset>-1076325</wp:posOffset>
          </wp:positionH>
          <wp:positionV relativeFrom="paragraph">
            <wp:posOffset>-734060</wp:posOffset>
          </wp:positionV>
          <wp:extent cx="3093621" cy="1283913"/>
          <wp:effectExtent l="0" t="0" r="0" b="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6607206" w14:textId="77777777" w:rsidR="001C5B4A" w:rsidRPr="008030B6" w:rsidRDefault="001C5B4A"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A9D6A"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1312" behindDoc="1" locked="0" layoutInCell="1" allowOverlap="1" wp14:anchorId="24CC6D12" wp14:editId="51810B3A">
          <wp:simplePos x="0" y="0"/>
          <wp:positionH relativeFrom="column">
            <wp:posOffset>-1076325</wp:posOffset>
          </wp:positionH>
          <wp:positionV relativeFrom="paragraph">
            <wp:posOffset>-734060</wp:posOffset>
          </wp:positionV>
          <wp:extent cx="3093621" cy="1283913"/>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195AA13" w14:textId="77777777" w:rsidR="001C5B4A" w:rsidRPr="008030B6" w:rsidRDefault="001C5B4A"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05AA6815" w14:textId="77777777" w:rsidR="001C5B4A" w:rsidRPr="008030B6" w:rsidRDefault="001C5B4A"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567A48C" w14:textId="77777777" w:rsidR="001C5B4A" w:rsidRPr="008030B6" w:rsidRDefault="001C5B4A">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F4B3"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2032" behindDoc="0" locked="0" layoutInCell="1" allowOverlap="1" wp14:anchorId="5E98990B" wp14:editId="1F342732">
              <wp:simplePos x="0" y="0"/>
              <wp:positionH relativeFrom="column">
                <wp:posOffset>662940</wp:posOffset>
              </wp:positionH>
              <wp:positionV relativeFrom="paragraph">
                <wp:posOffset>-392430</wp:posOffset>
              </wp:positionV>
              <wp:extent cx="2657475" cy="781050"/>
              <wp:effectExtent l="0" t="0" r="9525" b="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657475" cy="781050"/>
                      </a:xfrm>
                      <a:prstGeom prst="rect">
                        <a:avLst/>
                      </a:prstGeom>
                      <a:solidFill>
                        <a:schemeClr val="bg1"/>
                      </a:solidFill>
                      <a:ln w="6350">
                        <a:noFill/>
                      </a:ln>
                    </wps:spPr>
                    <wps:txbx>
                      <w:txbxContent>
                        <w:p w14:paraId="68C151A6"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B663DB2"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C59C12F"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A551B04"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4DFA3481" w14:textId="77777777" w:rsidR="001C5B4A" w:rsidRPr="00F45C80" w:rsidRDefault="001C5B4A"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sidR="00556819">
                            <w:rPr>
                              <w:rFonts w:asciiTheme="majorHAnsi" w:hAnsiTheme="majorHAnsi" w:cs="Arial"/>
                              <w:color w:val="323E4F" w:themeColor="text2" w:themeShade="BF"/>
                              <w:sz w:val="18"/>
                              <w:szCs w:val="20"/>
                              <w:lang w:val="es-MX"/>
                            </w:rPr>
                            <w:t xml:space="preserve"> DE LAS FINANZAS PÚBLICAS, mayo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8990B" id="_x0000_t202" coordsize="21600,21600" o:spt="202" path="m,l,21600r21600,l21600,xe">
              <v:stroke joinstyle="miter"/>
              <v:path gradientshapeok="t" o:connecttype="rect"/>
            </v:shapetype>
            <v:shape id="Cuadro de texto 226" o:spid="_x0000_s1028" type="#_x0000_t202" style="position:absolute;left:0;text-align:left;margin-left:52.2pt;margin-top:-30.9pt;width:209.25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EMTAIAAIsEAAAOAAAAZHJzL2Uyb0RvYy54bWysVEtv2zAMvg/YfxB0X5x4ebRGnCJLkWFA&#10;0RZIh54VWYoNSKImKbGzXz9KTtKs22nYRSZFio/vIz2/67QiB+F8A6ako8GQEmE4VI3ZlfT7y/rT&#10;DSU+MFMxBUaU9Cg8vVt8/DBvbSFyqEFVwhEMYnzR2pLWIdgiyzyvhWZ+AFYYNEpwmgVU3S6rHGsx&#10;ulZZPhxOsxZcZR1w4T3e3vdGukjxpRQ8PEnpRSCqpFhbSKdL5zae2WLOip1jtm74qQz2D1Vo1hhM&#10;egl1zwIje9f8EUo33IEHGQYcdAZSNlykHrCb0fBdN5uaWZF6QXC8vcDk/19Y/nh4dqSpSprnU0oM&#10;00jSas8qB6QSJIguAIkmBKq1vkD/jcUXofsCHRJ+vvd4GfvvpNPxi50RtCPkxwvMGItwvMynk9l4&#10;NqGEo212MxpOEg/Z22vrfPgqQJMolNQhjQlddnjwAStB17NLTOZBNdW6USopcXTESjlyYEj6dpdq&#10;xBe/eSlD2pJOP2Pq+MhAfN5HVgYTxF77nqIUum2XQLr0u4XqiDA46CfKW75usNYH5sMzczhC2Dmu&#10;RXjCQyrAXHCSKKnB/fzbffRHZtFKSYsjWVL/Y8+coER9M8j57Wg8jjOclPFklqPiri3ba4vZ6xUg&#10;ACNcQMuTGP2DOovSgX7F7VnGrGhihmPukoazuAr9ouD2cbFcJiecWsvCg9lYHkNH7CITL90rc/ZE&#10;VxyaRzgPLyvesdb79qgv9wFkkyiNOPeonuDHiU9Mn7YzrtS1nrze/iGLXwAAAP//AwBQSwMEFAAG&#10;AAgAAAAhANNA+b3dAAAACgEAAA8AAABkcnMvZG93bnJldi54bWxMj0FPg0AUhO8m/ofNM/HWLpCW&#10;KGVpqrFnI3jwuGVfAcu+Jey2RX69z5M9TmYy802+nWwvLjj6zpGCeBmBQKqd6ahR8FntF08gfNBk&#10;dO8IFfygh21xf5frzLgrfeClDI3gEvKZVtCGMGRS+rpFq/3SDUjsHd1odWA5NtKM+srltpdJFKXS&#10;6o54odUDvrZYn8qz5V1XvZ3mXZDVvsbyxazn7/evWanHh2m3ARFwCv9h+MNndCiY6eDOZLzoWUer&#10;FUcVLNKYP3BinSTPIA4K0jgBWeTy9kLxCwAA//8DAFBLAQItABQABgAIAAAAIQC2gziS/gAAAOEB&#10;AAATAAAAAAAAAAAAAAAAAAAAAABbQ29udGVudF9UeXBlc10ueG1sUEsBAi0AFAAGAAgAAAAhADj9&#10;If/WAAAAlAEAAAsAAAAAAAAAAAAAAAAALwEAAF9yZWxzLy5yZWxzUEsBAi0AFAAGAAgAAAAhAGM0&#10;sQxMAgAAiwQAAA4AAAAAAAAAAAAAAAAALgIAAGRycy9lMm9Eb2MueG1sUEsBAi0AFAAGAAgAAAAh&#10;ANNA+b3dAAAACgEAAA8AAAAAAAAAAAAAAAAApgQAAGRycy9kb3ducmV2LnhtbFBLBQYAAAAABAAE&#10;APMAAACwBQAAAAA=&#10;" fillcolor="white [3212]" stroked="f" strokeweight=".5pt">
              <v:textbox>
                <w:txbxContent>
                  <w:p w14:paraId="68C151A6"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B663DB2"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C59C12F"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A551B04"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4DFA3481" w14:textId="77777777" w:rsidR="001C5B4A" w:rsidRPr="00F45C80" w:rsidRDefault="001C5B4A"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sidR="00556819">
                      <w:rPr>
                        <w:rFonts w:asciiTheme="majorHAnsi" w:hAnsiTheme="majorHAnsi" w:cs="Arial"/>
                        <w:color w:val="323E4F" w:themeColor="text2" w:themeShade="BF"/>
                        <w:sz w:val="18"/>
                        <w:szCs w:val="20"/>
                        <w:lang w:val="es-MX"/>
                      </w:rPr>
                      <w:t xml:space="preserve"> DE LAS FINANZAS PÚBLICAS, mayo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3360" behindDoc="1" locked="0" layoutInCell="1" allowOverlap="1" wp14:anchorId="2ED067BB" wp14:editId="0C283E1D">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A993AFD" w14:textId="77777777" w:rsidR="001C5B4A" w:rsidRPr="008030B6" w:rsidRDefault="001C5B4A"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89D9"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13536" behindDoc="0" locked="0" layoutInCell="1" allowOverlap="1" wp14:anchorId="7EE39574" wp14:editId="7BE988CF">
              <wp:simplePos x="0" y="0"/>
              <wp:positionH relativeFrom="column">
                <wp:posOffset>698740</wp:posOffset>
              </wp:positionH>
              <wp:positionV relativeFrom="paragraph">
                <wp:posOffset>-337365</wp:posOffset>
              </wp:positionV>
              <wp:extent cx="2800350" cy="781050"/>
              <wp:effectExtent l="0" t="0" r="0"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7C9CDCE0"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8D279C2"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D95CF09"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73451A7"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D2D5526" w14:textId="77777777" w:rsidR="001C5B4A" w:rsidRPr="00F45C80" w:rsidRDefault="001C5B4A"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sidR="00872BB9">
                            <w:rPr>
                              <w:rFonts w:asciiTheme="majorHAnsi" w:hAnsiTheme="majorHAnsi" w:cs="Arial"/>
                              <w:color w:val="323E4F" w:themeColor="text2" w:themeShade="BF"/>
                              <w:sz w:val="18"/>
                              <w:szCs w:val="20"/>
                              <w:lang w:val="es-MX"/>
                            </w:rPr>
                            <w:t xml:space="preserve"> DE LAS FINANZAS PÚBLICAS, mayo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39574" id="_x0000_t202" coordsize="21600,21600" o:spt="202" path="m,l,21600r21600,l21600,xe">
              <v:stroke joinstyle="miter"/>
              <v:path gradientshapeok="t" o:connecttype="rect"/>
            </v:shapetype>
            <v:shape id="Cuadro de texto 22" o:spid="_x0000_s1029" type="#_x0000_t202" style="position:absolute;left:0;text-align:left;margin-left:55pt;margin-top:-26.55pt;width:220.5pt;height: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BdSAIAAIkEAAAOAAAAZHJzL2Uyb0RvYy54bWysVMFu2zAMvQ/YPwi6r3aytE2DOEWWosOA&#10;oi2QDj0rspwYkEVNUmJnX78nOUmzbqdhF5kUqUfykfT0tms02ynnazIFH1zknCkjqazNuuDfX+4/&#10;jTnzQZhSaDKq4Hvl+e3s44dpaydqSBvSpXIMIMZPWlvwTQh2kmVeblQj/AVZZWCsyDUiQHXrrHSi&#10;BXqjs2GeX2UtudI6ksp73N71Rj5L+FWlZHiqKq8C0wVHbiGdLp2reGazqZisnbCbWh7SEP+QRSNq&#10;g6AnqDsRBNu6+g+oppaOPFXhQlKTUVXVUqUaUM0gf1fNciOsSrWAHG9PNPn/Bysfd8+O1WXBh0PO&#10;jGjQo8VWlI5YqVhQXSAGC2hqrZ/Ae2nhH7ov1KHdx3uPy1h9V7kmflEXgx2E708kA4pJXA7Hef75&#10;EiYJ2/V4kEMGfPb22jofvipqWBQK7tDExK3YPfjQux5dYjBPui7va62TEgdHLbRjO4GWr9YpR4D/&#10;5qUNawt+FdOIjwzF5z2yNsgl1trXFKXQrbqeomO9Kyr3oMFRP0/eyvsauT4IH56FwwChPCxFeMJR&#10;aUIsOkicbcj9/Nt99EdfYeWsxUAW3P/YCqc4098MOn4zGI3iBCdldHk9hOLOLatzi9k2CwIBA6yf&#10;lUmM/kEfxcpR84rdmceoMAkjEbvg4SguQr8m2D2p5vPkhJm1IjyYpZUROnIXO/HSvQpnD+2KM/NI&#10;x9EVk3dd63171ufbQFWdWhp57lk90I95T0Nx2M24UOd68nr7g8x+AQAA//8DAFBLAwQUAAYACAAA&#10;ACEAJEsvCt4AAAAKAQAADwAAAGRycy9kb3ducmV2LnhtbEyPwW7CMBBE75X6D9ZW4gZOioJKGgfR&#10;Cs4VSQ89mnibpMTrKDYQ8vVdTu1xdkczb7LNaDtxwcG3jhTEiwgEUuVMS7WCz3I/fwHhgyajO0eo&#10;4IYeNvnjQ6ZT4650wEsRasEh5FOtoAmhT6X0VYNW+4Xrkfj37QarA8uhlmbQVw63nXyOopW0uiVu&#10;aHSP7w1Wp+JsudeVu9O0DbLcV1i8mWT6+fialJo9jdtXEAHH8GeGOz6jQ85MR3cm40XHOo54S1Aw&#10;T5YxCHYkScyXo4LVeg0yz+T/CfkvAAAA//8DAFBLAQItABQABgAIAAAAIQC2gziS/gAAAOEBAAAT&#10;AAAAAAAAAAAAAAAAAAAAAABbQ29udGVudF9UeXBlc10ueG1sUEsBAi0AFAAGAAgAAAAhADj9If/W&#10;AAAAlAEAAAsAAAAAAAAAAAAAAAAALwEAAF9yZWxzLy5yZWxzUEsBAi0AFAAGAAgAAAAhABJtIF1I&#10;AgAAiQQAAA4AAAAAAAAAAAAAAAAALgIAAGRycy9lMm9Eb2MueG1sUEsBAi0AFAAGAAgAAAAhACRL&#10;LwreAAAACgEAAA8AAAAAAAAAAAAAAAAAogQAAGRycy9kb3ducmV2LnhtbFBLBQYAAAAABAAEAPMA&#10;AACtBQAAAAA=&#10;" fillcolor="white [3212]" stroked="f" strokeweight=".5pt">
              <v:textbox>
                <w:txbxContent>
                  <w:p w14:paraId="7C9CDCE0"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8D279C2"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D95CF09"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73451A7"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D2D5526" w14:textId="77777777" w:rsidR="001C5B4A" w:rsidRPr="00F45C80" w:rsidRDefault="001C5B4A"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sidR="00872BB9">
                      <w:rPr>
                        <w:rFonts w:asciiTheme="majorHAnsi" w:hAnsiTheme="majorHAnsi" w:cs="Arial"/>
                        <w:color w:val="323E4F" w:themeColor="text2" w:themeShade="BF"/>
                        <w:sz w:val="18"/>
                        <w:szCs w:val="20"/>
                        <w:lang w:val="es-MX"/>
                      </w:rPr>
                      <w:t xml:space="preserve"> DE LAS FINANZAS PÚBLICAS, mayo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712512" behindDoc="1" locked="0" layoutInCell="1" allowOverlap="1" wp14:anchorId="49326F33" wp14:editId="2EE0D710">
          <wp:simplePos x="0" y="0"/>
          <wp:positionH relativeFrom="column">
            <wp:posOffset>-1076325</wp:posOffset>
          </wp:positionH>
          <wp:positionV relativeFrom="paragraph">
            <wp:posOffset>-734060</wp:posOffset>
          </wp:positionV>
          <wp:extent cx="3093621" cy="1283913"/>
          <wp:effectExtent l="0" t="0" r="0" b="0"/>
          <wp:wrapNone/>
          <wp:docPr id="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E2B20D2" w14:textId="77777777" w:rsidR="001C5B4A" w:rsidRPr="008030B6" w:rsidRDefault="001C5B4A"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85CCC"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5408" behindDoc="1" locked="0" layoutInCell="1" allowOverlap="1" wp14:anchorId="02A74AFF" wp14:editId="66F4C55E">
          <wp:simplePos x="0" y="0"/>
          <wp:positionH relativeFrom="column">
            <wp:posOffset>-1076325</wp:posOffset>
          </wp:positionH>
          <wp:positionV relativeFrom="paragraph">
            <wp:posOffset>-734060</wp:posOffset>
          </wp:positionV>
          <wp:extent cx="3093621" cy="1283913"/>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E4CBE2C" w14:textId="77777777" w:rsidR="001C5B4A" w:rsidRPr="008030B6" w:rsidRDefault="001C5B4A"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7128836F" w14:textId="77777777" w:rsidR="001C5B4A" w:rsidRPr="008030B6" w:rsidRDefault="001C5B4A"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3A473748" w14:textId="77777777" w:rsidR="001C5B4A" w:rsidRPr="008030B6" w:rsidRDefault="001C5B4A">
    <w:pPr>
      <w:pStyle w:val="Encabezado"/>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5B2A"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4080" behindDoc="0" locked="0" layoutInCell="1" allowOverlap="1" wp14:anchorId="574491D9" wp14:editId="7C9C157C">
              <wp:simplePos x="0" y="0"/>
              <wp:positionH relativeFrom="column">
                <wp:posOffset>662940</wp:posOffset>
              </wp:positionH>
              <wp:positionV relativeFrom="paragraph">
                <wp:posOffset>-363855</wp:posOffset>
              </wp:positionV>
              <wp:extent cx="2800350" cy="781050"/>
              <wp:effectExtent l="0" t="0" r="0" b="0"/>
              <wp:wrapSquare wrapText="bothSides"/>
              <wp:docPr id="229" name="Cuadro de texto 229"/>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3EAB92CB"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72B43D2"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1D5B378"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E52D6D0"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B07C9B1" w14:textId="77777777" w:rsidR="001C5B4A" w:rsidRPr="00F45C80" w:rsidRDefault="001C5B4A"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sidR="00872BB9">
                            <w:rPr>
                              <w:rFonts w:asciiTheme="majorHAnsi" w:hAnsiTheme="majorHAnsi" w:cs="Arial"/>
                              <w:color w:val="323E4F" w:themeColor="text2" w:themeShade="BF"/>
                              <w:sz w:val="18"/>
                              <w:szCs w:val="20"/>
                              <w:lang w:val="es-MX"/>
                            </w:rPr>
                            <w:t xml:space="preserve"> DE LAS FINANZAS PÚBLICAS, mayo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491D9" id="_x0000_t202" coordsize="21600,21600" o:spt="202" path="m,l,21600r21600,l21600,xe">
              <v:stroke joinstyle="miter"/>
              <v:path gradientshapeok="t" o:connecttype="rect"/>
            </v:shapetype>
            <v:shape id="Cuadro de texto 229" o:spid="_x0000_s1030" type="#_x0000_t202" style="position:absolute;left:0;text-align:left;margin-left:52.2pt;margin-top:-28.65pt;width:220.5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fESgIAAIsEAAAOAAAAZHJzL2Uyb0RvYy54bWysVMFu2zAMvQ/YPwi6L3bctE2NOEWWIsOA&#10;oC2QDj0rshwLkEVNUmJnXz9KjtO022nYRSZF6pF8JD277xpFDsI6Cbqg41FKidAcSql3Bf3xsvoy&#10;pcR5pkumQIuCHoWj9/PPn2atyUUGNahSWIIg2uWtKWjtvcmTxPFaNMyNwAiNxgpswzyqdpeUlrWI&#10;3qgkS9ObpAVbGgtcOIe3D72RziN+VQnun6rKCU9UQTE3H08bz204k/mM5TvLTC35KQ32D1k0TGoM&#10;eoZ6YJ6RvZV/QDWSW3BQ+RGHJoGqklzEGrCacfqhmk3NjIi1IDnOnGly/w+WPx6eLZFlQbPsjhLN&#10;GmzScs9KC6QUxIvOAwkmJKo1Lkf/jcEXvvsKHTZ8uHd4GervKtuEL1ZG0I6UH880IxbheJlN0/Tq&#10;Gk0cbbfTcYoywidvr411/puAhgShoBbbGNllh7XzvevgEoI5ULJcSaWiEkZHLJUlB4ZN3+5ijgj+&#10;zktp0hb0JqQRHmkIz3tkpTGXUGtfU5B8t+0iSVdDvVsoj0iDhX6inOEribmumfPPzOIIYXm4Fv4J&#10;j0oBxoKTREkN9tff7oM/dhatlLQ4kgV1P/fMCkrUd409vxtPJmGGozK5vs1QsZeW7aVF75slIAFj&#10;XEDDoxj8vRrEykLzituzCFHRxDTH2AX1g7j0/aLg9nGxWEQnnFrD/FpvDA/QgbvQiZfulVlzalcY&#10;mkcYhpflH7rW+/asL/YeKhlbGnjuWT3RjxMfh+K0nWGlLvXo9fYPmf8GAAD//wMAUEsDBBQABgAI&#10;AAAAIQADF9N43QAAAAoBAAAPAAAAZHJzL2Rvd25yZXYueG1sTI89T8MwEIZ3JP6DdUhsrQPELQpx&#10;qoLojEgYGN34SELjcxS7bciv55jK+N49ej/yzeR6ccIxdJ403C0TEEi1tx01Gj6q3eIRRIiGrOk9&#10;oYYfDLAprq9yk1l/pnc8lbERbEIhMxraGIdMylC36ExY+gGJf19+dCayHBtpR3Nmc9fL+yRZSWc6&#10;4oTWDPjSYn0oj45zffV6mLdRVrsay2er5u+3z1nr25tp+wQi4hQvMPzV5+pQcKe9P5INomedpCmj&#10;GhZq/QCCCZUqvuw1rNQaZJHL/xOKXwAAAP//AwBQSwECLQAUAAYACAAAACEAtoM4kv4AAADhAQAA&#10;EwAAAAAAAAAAAAAAAAAAAAAAW0NvbnRlbnRfVHlwZXNdLnhtbFBLAQItABQABgAIAAAAIQA4/SH/&#10;1gAAAJQBAAALAAAAAAAAAAAAAAAAAC8BAABfcmVscy8ucmVsc1BLAQItABQABgAIAAAAIQB2bQfE&#10;SgIAAIsEAAAOAAAAAAAAAAAAAAAAAC4CAABkcnMvZTJvRG9jLnhtbFBLAQItABQABgAIAAAAIQAD&#10;F9N43QAAAAoBAAAPAAAAAAAAAAAAAAAAAKQEAABkcnMvZG93bnJldi54bWxQSwUGAAAAAAQABADz&#10;AAAArgUAAAAA&#10;" fillcolor="white [3212]" stroked="f" strokeweight=".5pt">
              <v:textbox>
                <w:txbxContent>
                  <w:p w14:paraId="3EAB92CB"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72B43D2"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1D5B378"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E52D6D0" w14:textId="77777777" w:rsidR="001C5B4A" w:rsidRPr="00F45C80" w:rsidRDefault="001C5B4A"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B07C9B1" w14:textId="77777777" w:rsidR="001C5B4A" w:rsidRPr="00F45C80" w:rsidRDefault="001C5B4A"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sidR="00872BB9">
                      <w:rPr>
                        <w:rFonts w:asciiTheme="majorHAnsi" w:hAnsiTheme="majorHAnsi" w:cs="Arial"/>
                        <w:color w:val="323E4F" w:themeColor="text2" w:themeShade="BF"/>
                        <w:sz w:val="18"/>
                        <w:szCs w:val="20"/>
                        <w:lang w:val="es-MX"/>
                      </w:rPr>
                      <w:t xml:space="preserve"> DE LAS FINANZAS PÚBLICAS, mayo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7456" behindDoc="1" locked="0" layoutInCell="1" allowOverlap="1" wp14:anchorId="0AF12638" wp14:editId="6053E2AC">
          <wp:simplePos x="0" y="0"/>
          <wp:positionH relativeFrom="column">
            <wp:posOffset>-1076325</wp:posOffset>
          </wp:positionH>
          <wp:positionV relativeFrom="paragraph">
            <wp:posOffset>-734060</wp:posOffset>
          </wp:positionV>
          <wp:extent cx="3093621" cy="1283913"/>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EA014B5" w14:textId="77777777" w:rsidR="001C5B4A" w:rsidRPr="008030B6" w:rsidRDefault="001C5B4A" w:rsidP="006906B8">
    <w:pPr>
      <w:pStyle w:val="Encabezado"/>
      <w:tabs>
        <w:tab w:val="left" w:pos="1276"/>
      </w:tabs>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FEA4C"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9504" behindDoc="1" locked="0" layoutInCell="1" allowOverlap="1" wp14:anchorId="0D2BC065" wp14:editId="6280A959">
          <wp:simplePos x="0" y="0"/>
          <wp:positionH relativeFrom="column">
            <wp:posOffset>-1076325</wp:posOffset>
          </wp:positionH>
          <wp:positionV relativeFrom="paragraph">
            <wp:posOffset>-734060</wp:posOffset>
          </wp:positionV>
          <wp:extent cx="3093621" cy="1283913"/>
          <wp:effectExtent l="0" t="0" r="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3C1C37BB" w14:textId="77777777" w:rsidR="001C5B4A" w:rsidRPr="008030B6" w:rsidRDefault="001C5B4A"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2192DDC6" w14:textId="77777777" w:rsidR="001C5B4A" w:rsidRPr="008030B6" w:rsidRDefault="001C5B4A"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1A52AA6E" w14:textId="77777777" w:rsidR="001C5B4A" w:rsidRPr="008030B6" w:rsidRDefault="001C5B4A">
    <w:pPr>
      <w:pStyle w:val="Encabezado"/>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4BE8"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4320" behindDoc="0" locked="0" layoutInCell="1" allowOverlap="1" wp14:anchorId="7CEDA02F" wp14:editId="432717A5">
              <wp:simplePos x="0" y="0"/>
              <wp:positionH relativeFrom="column">
                <wp:posOffset>687393</wp:posOffset>
              </wp:positionH>
              <wp:positionV relativeFrom="paragraph">
                <wp:posOffset>-351910</wp:posOffset>
              </wp:positionV>
              <wp:extent cx="2800350" cy="781050"/>
              <wp:effectExtent l="0" t="0" r="0" b="0"/>
              <wp:wrapSquare wrapText="bothSides"/>
              <wp:docPr id="245" name="Cuadro de texto 245"/>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chemeClr val="bg1"/>
                      </a:solidFill>
                      <a:ln w="6350">
                        <a:noFill/>
                      </a:ln>
                    </wps:spPr>
                    <wps:txbx>
                      <w:txbxContent>
                        <w:p w14:paraId="2626A282"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33351F7B"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8058BC0"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27CF04F7"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4BFE44C2" w14:textId="77777777" w:rsidR="001C5B4A" w:rsidRPr="00F45C80" w:rsidRDefault="001C5B4A"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w:t>
                          </w:r>
                          <w:r w:rsidR="00872BB9">
                            <w:rPr>
                              <w:rFonts w:asciiTheme="majorHAnsi" w:hAnsiTheme="majorHAnsi" w:cs="Arial"/>
                              <w:color w:val="323E4F" w:themeColor="text2" w:themeShade="BF"/>
                              <w:sz w:val="18"/>
                              <w:szCs w:val="20"/>
                              <w:lang w:val="es-MX"/>
                            </w:rPr>
                            <w:t>LICAS, mayo</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DA02F" id="_x0000_t202" coordsize="21600,21600" o:spt="202" path="m,l,21600r21600,l21600,xe">
              <v:stroke joinstyle="miter"/>
              <v:path gradientshapeok="t" o:connecttype="rect"/>
            </v:shapetype>
            <v:shape id="Cuadro de texto 245" o:spid="_x0000_s1031" type="#_x0000_t202" style="position:absolute;left:0;text-align:left;margin-left:54.15pt;margin-top:-27.7pt;width:220.5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DGSgIAAIsEAAAOAAAAZHJzL2Uyb0RvYy54bWysVFFv2jAQfp+0/2D5fSQwaGlEqBgV0yTU&#10;VqJTn41jE0uOz7MNCfv1OztAWbenaS/One/83d13d5ndd40mB+G8AlPS4SCnRBgOlTK7kn5/WX2a&#10;UuIDMxXTYERJj8LT+/nHD7PWFmIENehKOIIgxhetLWkdgi2yzPNaNMwPwAqDRgmuYQFVt8sqx1pE&#10;b3Q2yvObrAVXWQdceI+3D72RzhO+lIKHJym9CESXFHML6XTp3MYzm89YsXPM1oqf0mD/kEXDlMGg&#10;F6gHFhjZO/UHVKO4Aw8yDDg0GUipuEg1YDXD/F01m5pZkWpBcry90OT/Hyx/PDw7oqqSjsYTSgxr&#10;sEnLPasckEqQILoAJJqQqNb6Av03Fl+E7gt02PDzvcfLWH8nXRO/WBlBO1J+vNCMWITj5Wia558n&#10;aOJou50Oc5QRPnt7bZ0PXwU0JAolddjGxC47rH3oXc8uMZgHraqV0jopcXTEUjtyYNj07S7liOC/&#10;eWlD2pLexDTiIwPxeY+sDeYSa+1rilLotl0iaXyudwvVEWlw0E+Ut3ylMNc18+GZORwhLA/XIjzh&#10;ITVgLDhJlNTgfv7tPvpjZ9FKSYsjWVL/Y8+coER/M9jzu+F4HGc4KePJ7QgVd23ZXlvMvlkCEjDE&#10;BbQ8idE/6LMoHTSvuD2LGBVNzHCMXdJwFpehXxTcPi4Wi+SEU2tZWJuN5RE6chc78dK9MmdP7YpD&#10;8wjn4WXFu671vj3ri30AqVJLI889qyf6ceLTUJy2M67UtZ683v4h818AAAD//wMAUEsDBBQABgAI&#10;AAAAIQCq3YqK3QAAAAoBAAAPAAAAZHJzL2Rvd25yZXYueG1sTI9NT4NAEIbvJv0Pm2nirV3UghVZ&#10;mmrs2QgePG7ZEbDsLGG3LfLrO57q8Z158n5km9F24oSDbx0puFtGIJAqZ1qqFXyWu8UahA+ajO4c&#10;oYJf9LDJZzeZTo070weeilALNiGfagVNCH0qpa8atNovXY/Ev283WB1YDrU0gz6zue3kfRQl0uqW&#10;OKHRPb42WB2Ko+VcV74dpm2Q5a7C4sXE08/716TU7XzcPoMIOIYrDH/1uTrk3GnvjmS86FhH6wdG&#10;FSzieAWCiXj1xJe9guQxAZln8v+E/AIAAP//AwBQSwECLQAUAAYACAAAACEAtoM4kv4AAADhAQAA&#10;EwAAAAAAAAAAAAAAAAAAAAAAW0NvbnRlbnRfVHlwZXNdLnhtbFBLAQItABQABgAIAAAAIQA4/SH/&#10;1gAAAJQBAAALAAAAAAAAAAAAAAAAAC8BAABfcmVscy8ucmVsc1BLAQItABQABgAIAAAAIQBMnpDG&#10;SgIAAIsEAAAOAAAAAAAAAAAAAAAAAC4CAABkcnMvZTJvRG9jLnhtbFBLAQItABQABgAIAAAAIQCq&#10;3YqK3QAAAAoBAAAPAAAAAAAAAAAAAAAAAKQEAABkcnMvZG93bnJldi54bWxQSwUGAAAAAAQABADz&#10;AAAArgUAAAAA&#10;" fillcolor="white [3212]" stroked="f" strokeweight=".5pt">
              <v:textbox>
                <w:txbxContent>
                  <w:p w14:paraId="2626A282"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33351F7B"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8058BC0"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27CF04F7" w14:textId="77777777" w:rsidR="001C5B4A" w:rsidRPr="00F45C80" w:rsidRDefault="001C5B4A"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4BFE44C2" w14:textId="77777777" w:rsidR="001C5B4A" w:rsidRPr="00F45C80" w:rsidRDefault="001C5B4A"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w:t>
                    </w:r>
                    <w:r w:rsidR="00872BB9">
                      <w:rPr>
                        <w:rFonts w:asciiTheme="majorHAnsi" w:hAnsiTheme="majorHAnsi" w:cs="Arial"/>
                        <w:color w:val="323E4F" w:themeColor="text2" w:themeShade="BF"/>
                        <w:sz w:val="18"/>
                        <w:szCs w:val="20"/>
                        <w:lang w:val="es-MX"/>
                      </w:rPr>
                      <w:t>LICAS, mayo</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1552" behindDoc="1" locked="0" layoutInCell="1" allowOverlap="1" wp14:anchorId="4DC2F66C" wp14:editId="4B747323">
          <wp:simplePos x="0" y="0"/>
          <wp:positionH relativeFrom="column">
            <wp:posOffset>-1076325</wp:posOffset>
          </wp:positionH>
          <wp:positionV relativeFrom="paragraph">
            <wp:posOffset>-734060</wp:posOffset>
          </wp:positionV>
          <wp:extent cx="3093621" cy="1283913"/>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3FF7FE50" w14:textId="77777777" w:rsidR="001C5B4A" w:rsidRDefault="001C5B4A"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27E426CB" w14:textId="77777777" w:rsidR="001C5B4A" w:rsidRPr="002C0967" w:rsidRDefault="001C5B4A" w:rsidP="002C0967">
    <w:pPr>
      <w:pStyle w:val="Encabezado"/>
      <w:tabs>
        <w:tab w:val="left" w:pos="1276"/>
      </w:tabs>
      <w:rPr>
        <w:rFonts w:asciiTheme="majorHAnsi" w:hAnsiTheme="majorHAnsi" w:cs="Arial"/>
        <w:b/>
        <w:color w:val="5B9BD5" w:themeColor="accent1"/>
        <w:sz w:val="10"/>
        <w:lang w:val="es-MX"/>
      </w:rPr>
    </w:pPr>
  </w:p>
  <w:p w14:paraId="76B10A84" w14:textId="77777777" w:rsidR="001C5B4A" w:rsidRPr="008030B6" w:rsidRDefault="001C5B4A">
    <w:pPr>
      <w:pStyle w:val="Encabezado"/>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2B8A" w14:textId="77777777" w:rsidR="001C5B4A" w:rsidRDefault="001C5B4A"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3600" behindDoc="1" locked="0" layoutInCell="1" allowOverlap="1" wp14:anchorId="4D71E0C1" wp14:editId="24C81A31">
          <wp:simplePos x="0" y="0"/>
          <wp:positionH relativeFrom="column">
            <wp:posOffset>-1076325</wp:posOffset>
          </wp:positionH>
          <wp:positionV relativeFrom="paragraph">
            <wp:posOffset>-734060</wp:posOffset>
          </wp:positionV>
          <wp:extent cx="3093621" cy="1283913"/>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10054C1" w14:textId="77777777" w:rsidR="001C5B4A" w:rsidRPr="008030B6" w:rsidRDefault="001C5B4A"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14C04143" w14:textId="77777777" w:rsidR="001C5B4A" w:rsidRPr="008030B6" w:rsidRDefault="001C5B4A"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2E947651" w14:textId="77777777" w:rsidR="001C5B4A" w:rsidRPr="008030B6" w:rsidRDefault="001C5B4A">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8687890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04035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0E44"/>
    <w:rsid w:val="00006406"/>
    <w:rsid w:val="000075D4"/>
    <w:rsid w:val="00013059"/>
    <w:rsid w:val="000150E7"/>
    <w:rsid w:val="00015E02"/>
    <w:rsid w:val="0002331B"/>
    <w:rsid w:val="00037748"/>
    <w:rsid w:val="00040839"/>
    <w:rsid w:val="00055701"/>
    <w:rsid w:val="00055C7A"/>
    <w:rsid w:val="000908C0"/>
    <w:rsid w:val="00093D7C"/>
    <w:rsid w:val="00095D7D"/>
    <w:rsid w:val="000E4207"/>
    <w:rsid w:val="000F2612"/>
    <w:rsid w:val="000F63A0"/>
    <w:rsid w:val="001042A3"/>
    <w:rsid w:val="0011046F"/>
    <w:rsid w:val="00112F6C"/>
    <w:rsid w:val="0011435E"/>
    <w:rsid w:val="001A7D31"/>
    <w:rsid w:val="001B456C"/>
    <w:rsid w:val="001C01B8"/>
    <w:rsid w:val="001C3AFC"/>
    <w:rsid w:val="001C5B4A"/>
    <w:rsid w:val="001E5527"/>
    <w:rsid w:val="001F3983"/>
    <w:rsid w:val="0021637E"/>
    <w:rsid w:val="0023120C"/>
    <w:rsid w:val="00233911"/>
    <w:rsid w:val="0024077F"/>
    <w:rsid w:val="00243E44"/>
    <w:rsid w:val="00250970"/>
    <w:rsid w:val="00250C9B"/>
    <w:rsid w:val="00252096"/>
    <w:rsid w:val="00260D42"/>
    <w:rsid w:val="002617F1"/>
    <w:rsid w:val="00283D03"/>
    <w:rsid w:val="00285F51"/>
    <w:rsid w:val="00286DB5"/>
    <w:rsid w:val="002C0967"/>
    <w:rsid w:val="002C5760"/>
    <w:rsid w:val="0033702C"/>
    <w:rsid w:val="00371E68"/>
    <w:rsid w:val="003801CE"/>
    <w:rsid w:val="003854FF"/>
    <w:rsid w:val="003860E1"/>
    <w:rsid w:val="0039212B"/>
    <w:rsid w:val="00395039"/>
    <w:rsid w:val="003A48F5"/>
    <w:rsid w:val="003B53FC"/>
    <w:rsid w:val="003E7E07"/>
    <w:rsid w:val="0040097F"/>
    <w:rsid w:val="004229AD"/>
    <w:rsid w:val="00451C7E"/>
    <w:rsid w:val="004577E8"/>
    <w:rsid w:val="00467154"/>
    <w:rsid w:val="004747BE"/>
    <w:rsid w:val="0049255C"/>
    <w:rsid w:val="00492F01"/>
    <w:rsid w:val="004A0389"/>
    <w:rsid w:val="004A6E07"/>
    <w:rsid w:val="004A768C"/>
    <w:rsid w:val="004B0480"/>
    <w:rsid w:val="004B1AE0"/>
    <w:rsid w:val="004B368F"/>
    <w:rsid w:val="004C41E9"/>
    <w:rsid w:val="004E4CAA"/>
    <w:rsid w:val="004F07CD"/>
    <w:rsid w:val="004F6834"/>
    <w:rsid w:val="00501CF3"/>
    <w:rsid w:val="00511BE9"/>
    <w:rsid w:val="00515068"/>
    <w:rsid w:val="00515677"/>
    <w:rsid w:val="00515AED"/>
    <w:rsid w:val="005419C5"/>
    <w:rsid w:val="0055103F"/>
    <w:rsid w:val="00556819"/>
    <w:rsid w:val="00560D6F"/>
    <w:rsid w:val="00570B6A"/>
    <w:rsid w:val="00572820"/>
    <w:rsid w:val="005806F0"/>
    <w:rsid w:val="00584C3E"/>
    <w:rsid w:val="00585A69"/>
    <w:rsid w:val="0058660F"/>
    <w:rsid w:val="005A4DB0"/>
    <w:rsid w:val="005B5C01"/>
    <w:rsid w:val="005B6627"/>
    <w:rsid w:val="005E386C"/>
    <w:rsid w:val="00614059"/>
    <w:rsid w:val="006266DD"/>
    <w:rsid w:val="006302AC"/>
    <w:rsid w:val="00655596"/>
    <w:rsid w:val="00672F97"/>
    <w:rsid w:val="0067690E"/>
    <w:rsid w:val="006906B8"/>
    <w:rsid w:val="006A2A15"/>
    <w:rsid w:val="006B4A2A"/>
    <w:rsid w:val="007063EC"/>
    <w:rsid w:val="0071038C"/>
    <w:rsid w:val="00711E49"/>
    <w:rsid w:val="0075021C"/>
    <w:rsid w:val="00750FE3"/>
    <w:rsid w:val="007602BA"/>
    <w:rsid w:val="0076345F"/>
    <w:rsid w:val="00776700"/>
    <w:rsid w:val="007B0601"/>
    <w:rsid w:val="007B344C"/>
    <w:rsid w:val="007C1DEB"/>
    <w:rsid w:val="007C49F4"/>
    <w:rsid w:val="007E74D2"/>
    <w:rsid w:val="008030B6"/>
    <w:rsid w:val="00815C32"/>
    <w:rsid w:val="00816A9D"/>
    <w:rsid w:val="0082027C"/>
    <w:rsid w:val="00821B3D"/>
    <w:rsid w:val="008359E2"/>
    <w:rsid w:val="00840733"/>
    <w:rsid w:val="00841A3C"/>
    <w:rsid w:val="00854981"/>
    <w:rsid w:val="00863E34"/>
    <w:rsid w:val="00871E6D"/>
    <w:rsid w:val="00872BB9"/>
    <w:rsid w:val="00874C9B"/>
    <w:rsid w:val="00895F40"/>
    <w:rsid w:val="008A32ED"/>
    <w:rsid w:val="008A4F88"/>
    <w:rsid w:val="008B1626"/>
    <w:rsid w:val="008B221F"/>
    <w:rsid w:val="008B2C28"/>
    <w:rsid w:val="008C2E50"/>
    <w:rsid w:val="008D1118"/>
    <w:rsid w:val="008E00B7"/>
    <w:rsid w:val="008F6F4F"/>
    <w:rsid w:val="009169FC"/>
    <w:rsid w:val="0094241B"/>
    <w:rsid w:val="00960BE9"/>
    <w:rsid w:val="0098424B"/>
    <w:rsid w:val="00991CB3"/>
    <w:rsid w:val="00993DD2"/>
    <w:rsid w:val="0099630E"/>
    <w:rsid w:val="009A002A"/>
    <w:rsid w:val="009A198C"/>
    <w:rsid w:val="009C126C"/>
    <w:rsid w:val="009D4B77"/>
    <w:rsid w:val="009E0410"/>
    <w:rsid w:val="00A01418"/>
    <w:rsid w:val="00A02862"/>
    <w:rsid w:val="00A05516"/>
    <w:rsid w:val="00A070D9"/>
    <w:rsid w:val="00A30D0C"/>
    <w:rsid w:val="00A57E56"/>
    <w:rsid w:val="00A604D3"/>
    <w:rsid w:val="00AC3377"/>
    <w:rsid w:val="00AD7C37"/>
    <w:rsid w:val="00AE122B"/>
    <w:rsid w:val="00AE12E5"/>
    <w:rsid w:val="00AE7265"/>
    <w:rsid w:val="00B01538"/>
    <w:rsid w:val="00B6454C"/>
    <w:rsid w:val="00B77BCA"/>
    <w:rsid w:val="00B87B86"/>
    <w:rsid w:val="00BA23E7"/>
    <w:rsid w:val="00BA3966"/>
    <w:rsid w:val="00BE17ED"/>
    <w:rsid w:val="00C067A7"/>
    <w:rsid w:val="00C1011D"/>
    <w:rsid w:val="00C17274"/>
    <w:rsid w:val="00C17FDF"/>
    <w:rsid w:val="00C24781"/>
    <w:rsid w:val="00C31244"/>
    <w:rsid w:val="00C44B4C"/>
    <w:rsid w:val="00C503BE"/>
    <w:rsid w:val="00C56D80"/>
    <w:rsid w:val="00C60D3A"/>
    <w:rsid w:val="00C66E5B"/>
    <w:rsid w:val="00C76B98"/>
    <w:rsid w:val="00C85B13"/>
    <w:rsid w:val="00CA1EC8"/>
    <w:rsid w:val="00CB4C8F"/>
    <w:rsid w:val="00CC39FE"/>
    <w:rsid w:val="00CD5A70"/>
    <w:rsid w:val="00CE01A9"/>
    <w:rsid w:val="00D04A4E"/>
    <w:rsid w:val="00D06D9C"/>
    <w:rsid w:val="00D12478"/>
    <w:rsid w:val="00D13023"/>
    <w:rsid w:val="00D22BC7"/>
    <w:rsid w:val="00D508C0"/>
    <w:rsid w:val="00D509EF"/>
    <w:rsid w:val="00DC3A4C"/>
    <w:rsid w:val="00DD0CF2"/>
    <w:rsid w:val="00DF6AE8"/>
    <w:rsid w:val="00DF7969"/>
    <w:rsid w:val="00E02DD8"/>
    <w:rsid w:val="00E13AB2"/>
    <w:rsid w:val="00E161E3"/>
    <w:rsid w:val="00E21B05"/>
    <w:rsid w:val="00E34FF8"/>
    <w:rsid w:val="00E46C09"/>
    <w:rsid w:val="00E564DE"/>
    <w:rsid w:val="00E81EF7"/>
    <w:rsid w:val="00EB56B7"/>
    <w:rsid w:val="00EE3B08"/>
    <w:rsid w:val="00F01B17"/>
    <w:rsid w:val="00F0543B"/>
    <w:rsid w:val="00F0629D"/>
    <w:rsid w:val="00F23E3F"/>
    <w:rsid w:val="00F40523"/>
    <w:rsid w:val="00F45C80"/>
    <w:rsid w:val="00F466B9"/>
    <w:rsid w:val="00F46A2C"/>
    <w:rsid w:val="00F743E8"/>
    <w:rsid w:val="00F75D29"/>
    <w:rsid w:val="00F86729"/>
    <w:rsid w:val="00F979D8"/>
    <w:rsid w:val="00FB4B07"/>
    <w:rsid w:val="00FB6185"/>
    <w:rsid w:val="00FC23EC"/>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1D79D"/>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con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chart" Target="charts/chart7.xml"/><Relationship Id="rId39" Type="http://schemas.openxmlformats.org/officeDocument/2006/relationships/footer" Target="footer10.xml"/><Relationship Id="rId21" Type="http://schemas.openxmlformats.org/officeDocument/2006/relationships/header" Target="header5.xml"/><Relationship Id="rId34" Type="http://schemas.openxmlformats.org/officeDocument/2006/relationships/footer" Target="footer8.xml"/><Relationship Id="rId42" Type="http://schemas.openxmlformats.org/officeDocument/2006/relationships/header" Target="header12.xml"/><Relationship Id="rId47" Type="http://schemas.openxmlformats.org/officeDocument/2006/relationships/header" Target="header13.xml"/><Relationship Id="rId50" Type="http://schemas.openxmlformats.org/officeDocument/2006/relationships/footer" Target="footer14.xml"/><Relationship Id="rId55" Type="http://schemas.openxmlformats.org/officeDocument/2006/relationships/image" Target="media/image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chart" Target="charts/chart10.xml"/><Relationship Id="rId41" Type="http://schemas.openxmlformats.org/officeDocument/2006/relationships/footer" Target="footer11.xml"/><Relationship Id="rId54" Type="http://schemas.openxmlformats.org/officeDocument/2006/relationships/footer" Target="footer1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chart" Target="charts/chart13.xml"/><Relationship Id="rId53" Type="http://schemas.openxmlformats.org/officeDocument/2006/relationships/header" Target="header15.xml"/><Relationship Id="rId58"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6.xml"/><Relationship Id="rId28" Type="http://schemas.openxmlformats.org/officeDocument/2006/relationships/chart" Target="charts/chart9.xml"/><Relationship Id="rId36" Type="http://schemas.openxmlformats.org/officeDocument/2006/relationships/header" Target="header9.xml"/><Relationship Id="rId49" Type="http://schemas.openxmlformats.org/officeDocument/2006/relationships/header" Target="header14.xml"/><Relationship Id="rId57" Type="http://schemas.openxmlformats.org/officeDocument/2006/relationships/footer" Target="footer16.xm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header" Target="header7.xml"/><Relationship Id="rId44" Type="http://schemas.openxmlformats.org/officeDocument/2006/relationships/chart" Target="charts/chart12.xml"/><Relationship Id="rId52" Type="http://schemas.openxmlformats.org/officeDocument/2006/relationships/image" Target="media/image4.emf"/><Relationship Id="rId6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chart" Target="charts/chart8.xml"/><Relationship Id="rId30" Type="http://schemas.openxmlformats.org/officeDocument/2006/relationships/image" Target="media/image2.emf"/><Relationship Id="rId35" Type="http://schemas.openxmlformats.org/officeDocument/2006/relationships/chart" Target="charts/chart11.xml"/><Relationship Id="rId43" Type="http://schemas.openxmlformats.org/officeDocument/2006/relationships/footer" Target="footer12.xml"/><Relationship Id="rId48" Type="http://schemas.openxmlformats.org/officeDocument/2006/relationships/footer" Target="footer13.xml"/><Relationship Id="rId56" Type="http://schemas.openxmlformats.org/officeDocument/2006/relationships/header" Target="header16.xml"/><Relationship Id="rId8" Type="http://schemas.openxmlformats.org/officeDocument/2006/relationships/header" Target="header1.xml"/><Relationship Id="rId51" Type="http://schemas.openxmlformats.org/officeDocument/2006/relationships/image" Target="media/image3.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eader" Target="header4.xml"/><Relationship Id="rId25" Type="http://schemas.openxmlformats.org/officeDocument/2006/relationships/chart" Target="charts/chart6.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chart" Target="charts/chart14.xml"/><Relationship Id="rId59" Type="http://schemas.openxmlformats.org/officeDocument/2006/relationships/footer" Target="footer17.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1" Type="http://schemas.openxmlformats.org/officeDocument/2006/relationships/image" Target="media/image1.jpg"/></Relationships>
</file>

<file path=word/_rels/header17.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06CD-45D5-A36C-9CC31945BCED}"/>
              </c:ext>
            </c:extLst>
          </c:dPt>
          <c:dLbls>
            <c:dLbl>
              <c:idx val="1"/>
              <c:layout>
                <c:manualLayout>
                  <c:x val="0.12446254808780267"/>
                  <c:y val="6.0646900269541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CD-45D5-A36C-9CC31945BCE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2019</c:v>
                </c:pt>
                <c:pt idx="1">
                  <c:v>2020</c:v>
                </c:pt>
                <c:pt idx="2">
                  <c:v>2021</c:v>
                </c:pt>
                <c:pt idx="3">
                  <c:v>2022</c:v>
                </c:pt>
              </c:numCache>
            </c:numRef>
          </c:cat>
          <c:val>
            <c:numRef>
              <c:f>'Reporte Diario'!$M$62:$P$62</c:f>
              <c:numCache>
                <c:formatCode>_-* #,##0.0_-;\-* #,##0.0_-;_-* "-"??_-;_-@_-</c:formatCode>
                <c:ptCount val="4"/>
                <c:pt idx="0">
                  <c:v>-2232.4231083699997</c:v>
                </c:pt>
                <c:pt idx="1">
                  <c:v>-4427.6449477099995</c:v>
                </c:pt>
                <c:pt idx="2">
                  <c:v>-440.04725669999971</c:v>
                </c:pt>
                <c:pt idx="3">
                  <c:v>225.32888006998837</c:v>
                </c:pt>
              </c:numCache>
            </c:numRef>
          </c:val>
          <c:extLst>
            <c:ext xmlns:c16="http://schemas.microsoft.com/office/drawing/2014/chart" uri="{C3380CC4-5D6E-409C-BE32-E72D297353CC}">
              <c16:uniqueId val="{00000003-06CD-45D5-A36C-9CC31945BCED}"/>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22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0628867758312222"/>
          <c:h val="0.91978616142967484"/>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0"/>
            <c:invertIfNegative val="0"/>
            <c:bubble3D val="0"/>
            <c:spPr>
              <a:solidFill>
                <a:srgbClr val="FF9999"/>
              </a:solidFill>
              <a:ln>
                <a:solidFill>
                  <a:schemeClr val="tx1">
                    <a:lumMod val="95000"/>
                    <a:lumOff val="5000"/>
                  </a:schemeClr>
                </a:solidFill>
              </a:ln>
              <a:effectLst/>
            </c:spPr>
            <c:extLst>
              <c:ext xmlns:c16="http://schemas.microsoft.com/office/drawing/2014/chart" uri="{C3380CC4-5D6E-409C-BE32-E72D297353CC}">
                <c16:uniqueId val="{00000001-ABF4-4AF2-ACDE-65C0A9BD5B75}"/>
              </c:ext>
            </c:extLst>
          </c:dPt>
          <c:dPt>
            <c:idx val="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ABF4-4AF2-ACDE-65C0A9BD5B75}"/>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ABF4-4AF2-ACDE-65C0A9BD5B75}"/>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ABF4-4AF2-ACDE-65C0A9BD5B75}"/>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ABF4-4AF2-ACDE-65C0A9BD5B75}"/>
              </c:ext>
            </c:extLst>
          </c:dPt>
          <c:dPt>
            <c:idx val="11"/>
            <c:invertIfNegative val="0"/>
            <c:bubble3D val="0"/>
            <c:spPr>
              <a:solidFill>
                <a:srgbClr val="C00000">
                  <a:alpha val="75000"/>
                </a:srgbClr>
              </a:solidFill>
              <a:ln>
                <a:solidFill>
                  <a:schemeClr val="tx1">
                    <a:lumMod val="95000"/>
                    <a:lumOff val="5000"/>
                  </a:schemeClr>
                </a:solidFill>
              </a:ln>
              <a:effectLst/>
            </c:spPr>
            <c:extLst>
              <c:ext xmlns:c16="http://schemas.microsoft.com/office/drawing/2014/chart" uri="{C3380CC4-5D6E-409C-BE32-E72D297353CC}">
                <c16:uniqueId val="{0000000B-ABF4-4AF2-ACDE-65C0A9BD5B75}"/>
              </c:ext>
            </c:extLst>
          </c:dPt>
          <c:dPt>
            <c:idx val="1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ABF4-4AF2-ACDE-65C0A9BD5B75}"/>
              </c:ext>
            </c:extLst>
          </c:dPt>
          <c:dPt>
            <c:idx val="13"/>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F-ABF4-4AF2-ACDE-65C0A9BD5B75}"/>
              </c:ext>
            </c:extLst>
          </c:dPt>
          <c:dPt>
            <c:idx val="1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ABF4-4AF2-ACDE-65C0A9BD5B75}"/>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ABF4-4AF2-ACDE-65C0A9BD5B75}"/>
              </c:ext>
            </c:extLst>
          </c:dPt>
          <c:dLbls>
            <c:dLbl>
              <c:idx val="3"/>
              <c:layout>
                <c:manualLayout>
                  <c:x val="-1.0556811886403472E-2"/>
                  <c:y val="-2.529404187023839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BF4-4AF2-ACDE-65C0A9BD5B7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Comunicaciones</c:v>
                </c:pt>
                <c:pt idx="1">
                  <c:v>Economía</c:v>
                </c:pt>
                <c:pt idx="2">
                  <c:v>Ambiente </c:v>
                </c:pt>
                <c:pt idx="3">
                  <c:v>Cultura</c:v>
                </c:pt>
                <c:pt idx="4">
                  <c:v>Desarrollo</c:v>
                </c:pt>
                <c:pt idx="5">
                  <c:v>Secretarías</c:v>
                </c:pt>
                <c:pt idx="6">
                  <c:v>Finanzas</c:v>
                </c:pt>
                <c:pt idx="7">
                  <c:v>Gobernación</c:v>
                </c:pt>
                <c:pt idx="8">
                  <c:v>Agricultura</c:v>
                </c:pt>
                <c:pt idx="9">
                  <c:v>Salud Pública </c:v>
                </c:pt>
                <c:pt idx="10">
                  <c:v>Obligaciones </c:v>
                </c:pt>
                <c:pt idx="11">
                  <c:v>Total</c:v>
                </c:pt>
                <c:pt idx="12">
                  <c:v>MINREX</c:v>
                </c:pt>
                <c:pt idx="13">
                  <c:v>Trabajo </c:v>
                </c:pt>
                <c:pt idx="14">
                  <c:v>Defensa </c:v>
                </c:pt>
                <c:pt idx="15">
                  <c:v>Presidencia</c:v>
                </c:pt>
                <c:pt idx="16">
                  <c:v>Educación </c:v>
                </c:pt>
                <c:pt idx="17">
                  <c:v>PGN</c:v>
                </c:pt>
                <c:pt idx="18">
                  <c:v>Deuda Pública</c:v>
                </c:pt>
                <c:pt idx="19">
                  <c:v>Energía</c:v>
                </c:pt>
              </c:strCache>
            </c:strRef>
          </c:cat>
          <c:val>
            <c:numRef>
              <c:f>Hoja1!$B$2:$B$21</c:f>
              <c:numCache>
                <c:formatCode>0.0</c:formatCode>
                <c:ptCount val="20"/>
                <c:pt idx="0">
                  <c:v>22.776611816802596</c:v>
                </c:pt>
                <c:pt idx="1">
                  <c:v>22.817180489465628</c:v>
                </c:pt>
                <c:pt idx="2">
                  <c:v>27.002088285473587</c:v>
                </c:pt>
                <c:pt idx="3">
                  <c:v>27.938303310409722</c:v>
                </c:pt>
                <c:pt idx="4">
                  <c:v>30.203626586680887</c:v>
                </c:pt>
                <c:pt idx="5">
                  <c:v>30.951495556622266</c:v>
                </c:pt>
                <c:pt idx="6">
                  <c:v>31.605225718031534</c:v>
                </c:pt>
                <c:pt idx="7">
                  <c:v>31.970064005897093</c:v>
                </c:pt>
                <c:pt idx="8">
                  <c:v>32.77943499078048</c:v>
                </c:pt>
                <c:pt idx="9">
                  <c:v>32.852276629548875</c:v>
                </c:pt>
                <c:pt idx="10">
                  <c:v>34.472286131705289</c:v>
                </c:pt>
                <c:pt idx="11">
                  <c:v>35.287706655677042</c:v>
                </c:pt>
                <c:pt idx="12">
                  <c:v>35.684988517343548</c:v>
                </c:pt>
                <c:pt idx="13">
                  <c:v>36.054787421265431</c:v>
                </c:pt>
                <c:pt idx="14">
                  <c:v>37.049134691360337</c:v>
                </c:pt>
                <c:pt idx="15">
                  <c:v>37.397670307317071</c:v>
                </c:pt>
                <c:pt idx="16">
                  <c:v>38.304331606166365</c:v>
                </c:pt>
                <c:pt idx="17">
                  <c:v>39.440992639999997</c:v>
                </c:pt>
                <c:pt idx="18">
                  <c:v>42.138821678291535</c:v>
                </c:pt>
                <c:pt idx="19">
                  <c:v>75.952596314503111</c:v>
                </c:pt>
              </c:numCache>
            </c:numRef>
          </c:val>
          <c:extLst>
            <c:ext xmlns:c16="http://schemas.microsoft.com/office/drawing/2014/chart" uri="{C3380CC4-5D6E-409C-BE32-E72D297353CC}">
              <c16:uniqueId val="{00000015-ABF4-4AF2-ACDE-65C0A9BD5B75}"/>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8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10"/>
        <c:min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39340054817867E-2"/>
          <c:y val="3.3430232558139532E-2"/>
          <c:w val="0.94388122148938025"/>
          <c:h val="0.92151162790697672"/>
        </c:manualLayout>
      </c:layout>
      <c:ofPieChart>
        <c:ofPieType val="bar"/>
        <c:varyColors val="1"/>
        <c:ser>
          <c:idx val="0"/>
          <c:order val="0"/>
          <c:tx>
            <c:strRef>
              <c:f>Sheet1!$B$1</c:f>
              <c:strCache>
                <c:ptCount val="1"/>
                <c:pt idx="0">
                  <c:v>Column1</c:v>
                </c:pt>
              </c:strCache>
            </c:strRef>
          </c:tx>
          <c:spPr>
            <a:ln w="3175">
              <a:solidFill>
                <a:schemeClr val="tx1"/>
              </a:solidFill>
            </a:ln>
          </c:spPr>
          <c:dPt>
            <c:idx val="0"/>
            <c:bubble3D val="0"/>
            <c:spPr>
              <a:solidFill>
                <a:schemeClr val="accent1"/>
              </a:solidFill>
              <a:ln w="3175">
                <a:solidFill>
                  <a:schemeClr val="tx1"/>
                </a:solidFill>
              </a:ln>
              <a:effectLst/>
            </c:spPr>
            <c:extLst>
              <c:ext xmlns:c16="http://schemas.microsoft.com/office/drawing/2014/chart" uri="{C3380CC4-5D6E-409C-BE32-E72D297353CC}">
                <c16:uniqueId val="{00000001-B0E4-4420-8E1E-C5943E871539}"/>
              </c:ext>
            </c:extLst>
          </c:dPt>
          <c:dPt>
            <c:idx val="1"/>
            <c:bubble3D val="0"/>
            <c:spPr>
              <a:solidFill>
                <a:schemeClr val="accent2"/>
              </a:solidFill>
              <a:ln w="3175">
                <a:solidFill>
                  <a:schemeClr val="tx1"/>
                </a:solidFill>
              </a:ln>
              <a:effectLst/>
            </c:spPr>
            <c:extLst>
              <c:ext xmlns:c16="http://schemas.microsoft.com/office/drawing/2014/chart" uri="{C3380CC4-5D6E-409C-BE32-E72D297353CC}">
                <c16:uniqueId val="{00000003-B0E4-4420-8E1E-C5943E871539}"/>
              </c:ext>
            </c:extLst>
          </c:dPt>
          <c:dPt>
            <c:idx val="2"/>
            <c:bubble3D val="0"/>
            <c:spPr>
              <a:solidFill>
                <a:schemeClr val="accent3"/>
              </a:solidFill>
              <a:ln w="3175">
                <a:solidFill>
                  <a:schemeClr val="tx1"/>
                </a:solidFill>
              </a:ln>
              <a:effectLst/>
            </c:spPr>
            <c:extLst>
              <c:ext xmlns:c16="http://schemas.microsoft.com/office/drawing/2014/chart" uri="{C3380CC4-5D6E-409C-BE32-E72D297353CC}">
                <c16:uniqueId val="{00000005-B0E4-4420-8E1E-C5943E871539}"/>
              </c:ext>
            </c:extLst>
          </c:dPt>
          <c:dPt>
            <c:idx val="3"/>
            <c:bubble3D val="0"/>
            <c:spPr>
              <a:solidFill>
                <a:srgbClr val="FF0000"/>
              </a:solidFill>
              <a:ln w="3175">
                <a:solidFill>
                  <a:schemeClr val="tx1"/>
                </a:solidFill>
              </a:ln>
              <a:effectLst/>
            </c:spPr>
            <c:extLst>
              <c:ext xmlns:c16="http://schemas.microsoft.com/office/drawing/2014/chart" uri="{C3380CC4-5D6E-409C-BE32-E72D297353CC}">
                <c16:uniqueId val="{00000007-B0E4-4420-8E1E-C5943E871539}"/>
              </c:ext>
            </c:extLst>
          </c:dPt>
          <c:dPt>
            <c:idx val="4"/>
            <c:bubble3D val="0"/>
            <c:spPr>
              <a:solidFill>
                <a:schemeClr val="accent5"/>
              </a:solidFill>
              <a:ln w="3175">
                <a:solidFill>
                  <a:schemeClr val="tx1"/>
                </a:solidFill>
              </a:ln>
              <a:effectLst/>
            </c:spPr>
            <c:extLst>
              <c:ext xmlns:c16="http://schemas.microsoft.com/office/drawing/2014/chart" uri="{C3380CC4-5D6E-409C-BE32-E72D297353CC}">
                <c16:uniqueId val="{00000009-B0E4-4420-8E1E-C5943E871539}"/>
              </c:ext>
            </c:extLst>
          </c:dPt>
          <c:dLbls>
            <c:dLbl>
              <c:idx val="0"/>
              <c:layout>
                <c:manualLayout>
                  <c:x val="0.13284127239472618"/>
                  <c:y val="-5.5146014096085605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183260629006739"/>
                      <c:h val="0.33156843692410787"/>
                    </c:manualLayout>
                  </c15:layout>
                </c:ext>
                <c:ext xmlns:c16="http://schemas.microsoft.com/office/drawing/2014/chart" uri="{C3380CC4-5D6E-409C-BE32-E72D297353CC}">
                  <c16:uniqueId val="{00000001-B0E4-4420-8E1E-C5943E871539}"/>
                </c:ext>
              </c:extLst>
            </c:dLbl>
            <c:dLbl>
              <c:idx val="1"/>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0E4-4420-8E1E-C5943E871539}"/>
                </c:ext>
              </c:extLst>
            </c:dLbl>
            <c:dLbl>
              <c:idx val="2"/>
              <c:layout>
                <c:manualLayout>
                  <c:x val="-5.9713206580884789E-2"/>
                  <c:y val="-2.6926788406768341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1588356333507089"/>
                      <c:h val="0.31207688345654794"/>
                    </c:manualLayout>
                  </c15:layout>
                </c:ext>
                <c:ext xmlns:c16="http://schemas.microsoft.com/office/drawing/2014/chart" uri="{C3380CC4-5D6E-409C-BE32-E72D297353CC}">
                  <c16:uniqueId val="{00000005-B0E4-4420-8E1E-C5943E871539}"/>
                </c:ext>
              </c:extLst>
            </c:dLbl>
            <c:dLbl>
              <c:idx val="3"/>
              <c:layout>
                <c:manualLayout>
                  <c:x val="-2.8335848262869581E-2"/>
                  <c:y val="3.418261015245419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6998070363155827"/>
                      <c:h val="0.26049522533087621"/>
                    </c:manualLayout>
                  </c15:layout>
                </c:ext>
                <c:ext xmlns:c16="http://schemas.microsoft.com/office/drawing/2014/chart" uri="{C3380CC4-5D6E-409C-BE32-E72D297353CC}">
                  <c16:uniqueId val="{00000007-B0E4-4420-8E1E-C5943E871539}"/>
                </c:ext>
              </c:extLst>
            </c:dLbl>
            <c:dLbl>
              <c:idx val="4"/>
              <c:layout>
                <c:manualLayout>
                  <c:x val="-0.22977164439810877"/>
                  <c:y val="-7.2491204556877197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baseline="0">
                        <a:solidFill>
                          <a:schemeClr val="bg1"/>
                        </a:solidFill>
                        <a:latin typeface="Times New Roman" panose="02020603050405020304" pitchFamily="18" charset="0"/>
                        <a:cs typeface="Times New Roman" panose="02020603050405020304" pitchFamily="18" charset="0"/>
                      </a:rPr>
                      <a:t>Colocado;
</a:t>
                    </a:r>
                    <a:fld id="{62AA4768-CB93-4CB1-A2D8-F7A71AE79038}" type="VALUE">
                      <a:rPr lang="en-US" sz="800" b="1" baseline="0">
                        <a:solidFill>
                          <a:schemeClr val="bg1"/>
                        </a:solidFill>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[VALOR]</a:t>
                    </a:fld>
                    <a:endParaRPr lang="en-US" sz="800" b="1" baseline="0">
                      <a:solidFill>
                        <a:schemeClr val="bg1"/>
                      </a:solidFill>
                      <a:latin typeface="Times New Roman" panose="02020603050405020304" pitchFamily="18" charset="0"/>
                      <a:cs typeface="Times New Roman" panose="02020603050405020304" pitchFamily="18" charset="0"/>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5065196118777838"/>
                      <c:h val="0.25749505779862619"/>
                    </c:manualLayout>
                  </c15:layout>
                  <c15:dlblFieldTable/>
                  <c15:showDataLabelsRange val="0"/>
                </c:ext>
                <c:ext xmlns:c16="http://schemas.microsoft.com/office/drawing/2014/chart" uri="{C3380CC4-5D6E-409C-BE32-E72D297353CC}">
                  <c16:uniqueId val="{00000009-B0E4-4420-8E1E-C5943E8715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Por Colocar</c:v>
                </c:pt>
                <c:pt idx="1">
                  <c:v>Colocado</c:v>
                </c:pt>
                <c:pt idx="2">
                  <c:v>Nuevo Endeudamiento</c:v>
                </c:pt>
                <c:pt idx="3">
                  <c:v>Roll Over</c:v>
                </c:pt>
              </c:strCache>
            </c:strRef>
          </c:cat>
          <c:val>
            <c:numRef>
              <c:f>Sheet1!$B$2:$B$5</c:f>
              <c:numCache>
                <c:formatCode>General</c:formatCode>
                <c:ptCount val="4"/>
                <c:pt idx="0" formatCode="#,##0.0">
                  <c:v>17275.110199999999</c:v>
                </c:pt>
                <c:pt idx="2" formatCode="#,##0.0">
                  <c:v>4530.2828</c:v>
                </c:pt>
                <c:pt idx="3" formatCode="#,##0.0">
                  <c:v>50.207000000000001</c:v>
                </c:pt>
              </c:numCache>
            </c:numRef>
          </c:val>
          <c:extLst>
            <c:ext xmlns:c16="http://schemas.microsoft.com/office/drawing/2014/chart" uri="{C3380CC4-5D6E-409C-BE32-E72D297353CC}">
              <c16:uniqueId val="{0000000A-B0E4-4420-8E1E-C5943E871539}"/>
            </c:ext>
          </c:extLst>
        </c:ser>
        <c:dLbls>
          <c:showLegendKey val="0"/>
          <c:showVal val="0"/>
          <c:showCatName val="0"/>
          <c:showSerName val="0"/>
          <c:showPercent val="0"/>
          <c:showBubbleSize val="0"/>
          <c:showLeaderLines val="1"/>
        </c:dLbls>
        <c:gapWidth val="54"/>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93235900862947"/>
          <c:y val="5.8604155567394782E-2"/>
          <c:w val="0.82699053762191144"/>
          <c:h val="0.71375163080640502"/>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Vacuna COVID-19</c:v>
                </c:pt>
                <c:pt idx="1">
                  <c:v>Prevención y tratamiento de COVID-19</c:v>
                </c:pt>
                <c:pt idx="2">
                  <c:v>Intervenciones varias</c:v>
                </c:pt>
              </c:strCache>
            </c:strRef>
          </c:cat>
          <c:val>
            <c:numRef>
              <c:f>Sheet1!$B$2:$B$4</c:f>
              <c:numCache>
                <c:formatCode>#,##0.0</c:formatCode>
                <c:ptCount val="3"/>
                <c:pt idx="0">
                  <c:v>1039.54</c:v>
                </c:pt>
                <c:pt idx="1">
                  <c:v>1619.9</c:v>
                </c:pt>
                <c:pt idx="2">
                  <c:v>3.86</c:v>
                </c:pt>
              </c:numCache>
            </c:numRef>
          </c:val>
          <c:extLst>
            <c:ext xmlns:c16="http://schemas.microsoft.com/office/drawing/2014/chart" uri="{C3380CC4-5D6E-409C-BE32-E72D297353CC}">
              <c16:uniqueId val="{00000000-3350-47E2-A0DA-E65C0AF1CD5E}"/>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1.47601476014760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50-47E2-A0DA-E65C0AF1CD5E}"/>
                </c:ext>
              </c:extLst>
            </c:dLbl>
            <c:dLbl>
              <c:idx val="1"/>
              <c:layout>
                <c:manualLayout>
                  <c:x val="4.9200492004919149E-3"/>
                  <c:y val="5.3276505061267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50-47E2-A0DA-E65C0AF1CD5E}"/>
                </c:ext>
              </c:extLst>
            </c:dLbl>
            <c:spPr>
              <a:noFill/>
              <a:ln>
                <a:noFill/>
              </a:ln>
              <a:effectLst/>
            </c:spPr>
            <c:txPr>
              <a:bodyPr rot="0" spcFirstLastPara="1" vertOverflow="ellipsis" vert="horz" wrap="square" anchor="ctr" anchorCtr="1"/>
              <a:lstStyle/>
              <a:p>
                <a:pPr>
                  <a:defRPr sz="6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Vacuna COVID-19</c:v>
                </c:pt>
                <c:pt idx="1">
                  <c:v>Prevención y tratamiento de COVID-19</c:v>
                </c:pt>
                <c:pt idx="2">
                  <c:v>Intervenciones varias</c:v>
                </c:pt>
              </c:strCache>
            </c:strRef>
          </c:cat>
          <c:val>
            <c:numRef>
              <c:f>Sheet1!$C$2:$C$4</c:f>
              <c:numCache>
                <c:formatCode>#,##0.0</c:formatCode>
                <c:ptCount val="3"/>
                <c:pt idx="0">
                  <c:v>131.4</c:v>
                </c:pt>
                <c:pt idx="1">
                  <c:v>473.2</c:v>
                </c:pt>
                <c:pt idx="2">
                  <c:v>0</c:v>
                </c:pt>
              </c:numCache>
            </c:numRef>
          </c:val>
          <c:extLst>
            <c:ext xmlns:c16="http://schemas.microsoft.com/office/drawing/2014/chart" uri="{C3380CC4-5D6E-409C-BE32-E72D297353CC}">
              <c16:uniqueId val="{00000003-3350-47E2-A0DA-E65C0AF1CD5E}"/>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18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1721978479627316"/>
          <c:y val="0.91009526845905053"/>
          <c:w val="0.60000038740544881"/>
          <c:h val="7.39217800225690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643732264094299E-2"/>
          <c:y val="0.15177651164779135"/>
          <c:w val="0.93573950857618815"/>
          <c:h val="0.84253263998466132"/>
        </c:manualLayout>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FC-4237-A951-8F93D607A91A}"/>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70FC-4237-A951-8F93D607A91A}"/>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70FC-4237-A951-8F93D607A9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FC-4237-A951-8F93D607A91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0FC-4237-A951-8F93D607A91A}"/>
              </c:ext>
            </c:extLst>
          </c:dPt>
          <c:dPt>
            <c:idx val="5"/>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B-70FC-4237-A951-8F93D607A91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0FC-4237-A951-8F93D607A91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0FC-4237-A951-8F93D607A91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0FC-4237-A951-8F93D607A91A}"/>
              </c:ext>
            </c:extLst>
          </c:dPt>
          <c:dLbls>
            <c:dLbl>
              <c:idx val="0"/>
              <c:layout>
                <c:manualLayout>
                  <c:x val="6.3960639606396058E-2"/>
                  <c:y val="-0.15783851594821835"/>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4600246002460024"/>
                      <c:h val="0.18983050847457628"/>
                    </c:manualLayout>
                  </c15:layout>
                </c:ext>
                <c:ext xmlns:c16="http://schemas.microsoft.com/office/drawing/2014/chart" uri="{C3380CC4-5D6E-409C-BE32-E72D297353CC}">
                  <c16:uniqueId val="{00000001-70FC-4237-A951-8F93D607A91A}"/>
                </c:ext>
              </c:extLst>
            </c:dLbl>
            <c:dLbl>
              <c:idx val="1"/>
              <c:layout>
                <c:manualLayout>
                  <c:x val="0.15037258719043883"/>
                  <c:y val="0.2221125370187561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FC-4237-A951-8F93D607A91A}"/>
                </c:ext>
              </c:extLst>
            </c:dLbl>
            <c:dLbl>
              <c:idx val="2"/>
              <c:layout>
                <c:manualLayout>
                  <c:x val="0.10824108241082406"/>
                  <c:y val="4.9360932548781844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210332103321033"/>
                      <c:h val="0.20338983050847459"/>
                    </c:manualLayout>
                  </c15:layout>
                </c:ext>
                <c:ext xmlns:c16="http://schemas.microsoft.com/office/drawing/2014/chart" uri="{C3380CC4-5D6E-409C-BE32-E72D297353CC}">
                  <c16:uniqueId val="{00000005-70FC-4237-A951-8F93D607A91A}"/>
                </c:ext>
              </c:extLst>
            </c:dLbl>
            <c:dLbl>
              <c:idx val="4"/>
              <c:layout>
                <c:manualLayout>
                  <c:x val="-5.9040590405904057E-2"/>
                  <c:y val="6.581112207963145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FC-4237-A951-8F93D607A91A}"/>
                </c:ext>
              </c:extLst>
            </c:dLbl>
            <c:dLbl>
              <c:idx val="5"/>
              <c:layout>
                <c:manualLayout>
                  <c:x val="-2.9520295202952029E-2"/>
                  <c:y val="6.0326165013322775E-17"/>
                </c:manualLayout>
              </c:layout>
              <c:showLegendKey val="0"/>
              <c:showVal val="1"/>
              <c:showCatName val="1"/>
              <c:showSerName val="0"/>
              <c:showPercent val="0"/>
              <c:showBubbleSize val="0"/>
              <c:extLst>
                <c:ext xmlns:c15="http://schemas.microsoft.com/office/drawing/2012/chart" uri="{CE6537A1-D6FC-4f65-9D91-7224C49458BB}">
                  <c15:layout>
                    <c:manualLayout>
                      <c:w val="0.24600246002460024"/>
                      <c:h val="0.20138203356367226"/>
                    </c:manualLayout>
                  </c15:layout>
                </c:ext>
                <c:ext xmlns:c16="http://schemas.microsoft.com/office/drawing/2014/chart" uri="{C3380CC4-5D6E-409C-BE32-E72D297353CC}">
                  <c16:uniqueId val="{0000000B-70FC-4237-A951-8F93D607A91A}"/>
                </c:ext>
              </c:extLst>
            </c:dLbl>
            <c:dLbl>
              <c:idx val="6"/>
              <c:layout>
                <c:manualLayout>
                  <c:x val="-2.4600246002460024E-2"/>
                  <c:y val="-1.2065233002664555E-16"/>
                </c:manualLayout>
              </c:layout>
              <c:showLegendKey val="0"/>
              <c:showVal val="1"/>
              <c:showCatName val="1"/>
              <c:showSerName val="0"/>
              <c:showPercent val="0"/>
              <c:showBubbleSize val="0"/>
              <c:extLst>
                <c:ext xmlns:c15="http://schemas.microsoft.com/office/drawing/2012/chart" uri="{CE6537A1-D6FC-4f65-9D91-7224C49458BB}">
                  <c15:layout>
                    <c:manualLayout>
                      <c:w val="0.26568265682656828"/>
                      <c:h val="0.14083580125041131"/>
                    </c:manualLayout>
                  </c15:layout>
                </c:ext>
                <c:ext xmlns:c16="http://schemas.microsoft.com/office/drawing/2014/chart" uri="{C3380CC4-5D6E-409C-BE32-E72D297353CC}">
                  <c16:uniqueId val="{0000000D-70FC-4237-A951-8F93D607A91A}"/>
                </c:ext>
              </c:extLst>
            </c:dLbl>
            <c:dLbl>
              <c:idx val="7"/>
              <c:layout>
                <c:manualLayout>
                  <c:x val="-3.1980319803198029E-2"/>
                  <c:y val="3.2905561039815727E-2"/>
                </c:manualLayout>
              </c:layout>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060270602706027"/>
                      <c:h val="0.14083580125041131"/>
                    </c:manualLayout>
                  </c15:layout>
                </c:ext>
                <c:ext xmlns:c16="http://schemas.microsoft.com/office/drawing/2014/chart" uri="{C3380CC4-5D6E-409C-BE32-E72D297353CC}">
                  <c16:uniqueId val="{0000000F-70FC-4237-A951-8F93D607A91A}"/>
                </c:ext>
              </c:extLst>
            </c:dLbl>
            <c:dLbl>
              <c:idx val="8"/>
              <c:layout>
                <c:manualLayout>
                  <c:x val="-0.29743014595500289"/>
                  <c:y val="-4.6774322701187776E-3"/>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Primera</a:t>
                    </a:r>
                    <a:r>
                      <a:rPr lang="en-US" b="1" baseline="0"/>
                      <a:t> dosis; </a:t>
                    </a:r>
                    <a:fld id="{CEEBAB03-2990-4A3F-8E5D-AEBCBEBFF091}" type="VALUE">
                      <a:rPr lang="en-US" b="1" baseline="0"/>
                      <a:pPr>
                        <a:defRPr sz="800" b="1">
                          <a:solidFill>
                            <a:schemeClr val="tx1"/>
                          </a:solidFill>
                          <a:latin typeface="Times New Roman" panose="02020603050405020304" pitchFamily="18" charset="0"/>
                          <a:cs typeface="Times New Roman" panose="02020603050405020304" pitchFamily="18" charset="0"/>
                        </a:defRPr>
                      </a:pPr>
                      <a:t>[VALOR]</a:t>
                    </a:fld>
                    <a:endParaRPr lang="en-US" b="1" baseline="0"/>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6410824108241082"/>
                      <c:h val="0.20745762711864407"/>
                    </c:manualLayout>
                  </c15:layout>
                  <c15:dlblFieldTable/>
                  <c15:showDataLabelsRange val="0"/>
                </c:ext>
                <c:ext xmlns:c16="http://schemas.microsoft.com/office/drawing/2014/chart" uri="{C3380CC4-5D6E-409C-BE32-E72D297353CC}">
                  <c16:uniqueId val="{00000011-70FC-4237-A951-8F93D607A9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2da Dosis </c:v>
                </c:pt>
                <c:pt idx="1">
                  <c:v>Dosis de Refuerzo</c:v>
                </c:pt>
                <c:pt idx="2">
                  <c:v>2da Dosis de refuerzo</c:v>
                </c:pt>
                <c:pt idx="4">
                  <c:v>Moderna</c:v>
                </c:pt>
                <c:pt idx="5">
                  <c:v>Astrazeneca</c:v>
                </c:pt>
                <c:pt idx="6">
                  <c:v>Sputnik</c:v>
                </c:pt>
                <c:pt idx="7">
                  <c:v>Pfizer</c:v>
                </c:pt>
              </c:strCache>
            </c:strRef>
          </c:cat>
          <c:val>
            <c:numRef>
              <c:f>Sheet1!$B$2:$B$9</c:f>
              <c:numCache>
                <c:formatCode>#,##0</c:formatCode>
                <c:ptCount val="8"/>
                <c:pt idx="0">
                  <c:v>6256596</c:v>
                </c:pt>
                <c:pt idx="1">
                  <c:v>2955093</c:v>
                </c:pt>
                <c:pt idx="2">
                  <c:v>104181</c:v>
                </c:pt>
                <c:pt idx="4">
                  <c:v>3531005</c:v>
                </c:pt>
                <c:pt idx="5">
                  <c:v>2027721</c:v>
                </c:pt>
                <c:pt idx="6">
                  <c:v>1572565</c:v>
                </c:pt>
                <c:pt idx="7">
                  <c:v>1121125</c:v>
                </c:pt>
              </c:numCache>
            </c:numRef>
          </c:val>
          <c:extLst>
            <c:ext xmlns:c16="http://schemas.microsoft.com/office/drawing/2014/chart" uri="{C3380CC4-5D6E-409C-BE32-E72D297353CC}">
              <c16:uniqueId val="{00000012-70FC-4237-A951-8F93D607A91A}"/>
            </c:ext>
          </c:extLst>
        </c:ser>
        <c:dLbls>
          <c:showLegendKey val="0"/>
          <c:showVal val="0"/>
          <c:showCatName val="0"/>
          <c:showSerName val="0"/>
          <c:showPercent val="0"/>
          <c:showBubbleSize val="0"/>
          <c:showLeaderLines val="1"/>
        </c:dLbls>
        <c:gapWidth val="34"/>
        <c:splitType val="pos"/>
        <c:splitPos val="4"/>
        <c:secondPieSize val="83"/>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93405390746822E-2"/>
          <c:y val="0.10941807014607603"/>
          <c:w val="0.94282050537040807"/>
          <c:h val="0.78447655115774884"/>
        </c:manualLayout>
      </c:layout>
      <c:barChart>
        <c:barDir val="col"/>
        <c:grouping val="stacked"/>
        <c:varyColors val="0"/>
        <c:ser>
          <c:idx val="0"/>
          <c:order val="0"/>
          <c:tx>
            <c:strRef>
              <c:f>Sheet1!$B$1</c:f>
              <c:strCache>
                <c:ptCount val="1"/>
                <c:pt idx="0">
                  <c:v>Primera Dosis</c:v>
                </c:pt>
              </c:strCache>
            </c:strRef>
          </c:tx>
          <c:spPr>
            <a:solidFill>
              <a:srgbClr val="2680A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Sheet1!$B$2:$B$9</c:f>
              <c:numCache>
                <c:formatCode>General</c:formatCode>
                <c:ptCount val="8"/>
                <c:pt idx="0">
                  <c:v>22.67</c:v>
                </c:pt>
                <c:pt idx="1">
                  <c:v>49.22</c:v>
                </c:pt>
                <c:pt idx="2">
                  <c:v>59.55</c:v>
                </c:pt>
                <c:pt idx="3">
                  <c:v>62.71</c:v>
                </c:pt>
                <c:pt idx="4">
                  <c:v>68.12</c:v>
                </c:pt>
                <c:pt idx="5">
                  <c:v>70.73</c:v>
                </c:pt>
                <c:pt idx="6">
                  <c:v>73.53</c:v>
                </c:pt>
                <c:pt idx="7">
                  <c:v>59.2</c:v>
                </c:pt>
              </c:numCache>
            </c:numRef>
          </c:val>
          <c:extLst>
            <c:ext xmlns:c16="http://schemas.microsoft.com/office/drawing/2014/chart" uri="{C3380CC4-5D6E-409C-BE32-E72D297353CC}">
              <c16:uniqueId val="{00000000-9780-43DD-9406-F1CA211D284B}"/>
            </c:ext>
          </c:extLst>
        </c:ser>
        <c:ser>
          <c:idx val="1"/>
          <c:order val="1"/>
          <c:tx>
            <c:strRef>
              <c:f>Sheet1!$C$1</c:f>
              <c:strCache>
                <c:ptCount val="1"/>
                <c:pt idx="0">
                  <c:v>Segunda Dosis</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Sheet1!$C$2:$C$9</c:f>
              <c:numCache>
                <c:formatCode>General</c:formatCode>
                <c:ptCount val="8"/>
                <c:pt idx="1">
                  <c:v>35.42</c:v>
                </c:pt>
                <c:pt idx="2">
                  <c:v>44.86</c:v>
                </c:pt>
                <c:pt idx="3">
                  <c:v>51.42</c:v>
                </c:pt>
                <c:pt idx="4">
                  <c:v>58.37</c:v>
                </c:pt>
                <c:pt idx="5">
                  <c:v>62.31</c:v>
                </c:pt>
                <c:pt idx="6" formatCode="0.0">
                  <c:v>66.34</c:v>
                </c:pt>
                <c:pt idx="7">
                  <c:v>53.65</c:v>
                </c:pt>
              </c:numCache>
            </c:numRef>
          </c:val>
          <c:extLst>
            <c:ext xmlns:c16="http://schemas.microsoft.com/office/drawing/2014/chart" uri="{C3380CC4-5D6E-409C-BE32-E72D297353CC}">
              <c16:uniqueId val="{00000001-9780-43DD-9406-F1CA211D284B}"/>
            </c:ext>
          </c:extLst>
        </c:ser>
        <c:ser>
          <c:idx val="2"/>
          <c:order val="2"/>
          <c:tx>
            <c:strRef>
              <c:f>Sheet1!$D$1</c:f>
              <c:strCache>
                <c:ptCount val="1"/>
                <c:pt idx="0">
                  <c:v>Refuerzo</c:v>
                </c:pt>
              </c:strCache>
            </c:strRef>
          </c:tx>
          <c:spPr>
            <a:solidFill>
              <a:srgbClr val="60346E"/>
            </a:solidFill>
            <a:ln w="12700">
              <a:solidFill>
                <a:schemeClr val="tx1"/>
              </a:solidFill>
            </a:ln>
            <a:effectLst/>
          </c:spPr>
          <c:invertIfNegative val="0"/>
          <c:dLbls>
            <c:dLbl>
              <c:idx val="1"/>
              <c:layout>
                <c:manualLayout>
                  <c:x val="-2.1038698126633912E-17"/>
                  <c:y val="-3.2292787944025882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80-43DD-9406-F1CA211D284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Sheet1!$D$2:$D$9</c:f>
              <c:numCache>
                <c:formatCode>General</c:formatCode>
                <c:ptCount val="8"/>
                <c:pt idx="1">
                  <c:v>4.93</c:v>
                </c:pt>
                <c:pt idx="2">
                  <c:v>18.72</c:v>
                </c:pt>
                <c:pt idx="3">
                  <c:v>25.81</c:v>
                </c:pt>
                <c:pt idx="4">
                  <c:v>32.04</c:v>
                </c:pt>
                <c:pt idx="5">
                  <c:v>37.119999999999997</c:v>
                </c:pt>
                <c:pt idx="6">
                  <c:v>43.24</c:v>
                </c:pt>
                <c:pt idx="7">
                  <c:v>36.56</c:v>
                </c:pt>
              </c:numCache>
            </c:numRef>
          </c:val>
          <c:extLst>
            <c:ext xmlns:c16="http://schemas.microsoft.com/office/drawing/2014/chart" uri="{C3380CC4-5D6E-409C-BE32-E72D297353CC}">
              <c16:uniqueId val="{00000003-9780-43DD-9406-F1CA211D284B}"/>
            </c:ext>
          </c:extLst>
        </c:ser>
        <c:ser>
          <c:idx val="3"/>
          <c:order val="3"/>
          <c:tx>
            <c:strRef>
              <c:f>Sheet1!$E$1</c:f>
              <c:strCache>
                <c:ptCount val="1"/>
                <c:pt idx="0">
                  <c:v>2da de Refuerzo</c:v>
                </c:pt>
              </c:strCache>
            </c:strRef>
          </c:tx>
          <c:spPr>
            <a:solidFill>
              <a:srgbClr val="FF0000"/>
            </a:solidFill>
            <a:ln>
              <a:solidFill>
                <a:schemeClr val="tx1"/>
              </a:solidFill>
            </a:ln>
            <a:effectLst/>
          </c:spPr>
          <c:invertIfNegative val="0"/>
          <c:dLbls>
            <c:dLbl>
              <c:idx val="2"/>
              <c:layout>
                <c:manualLayout>
                  <c:x val="-4.5099930006270084E-17"/>
                  <c:y val="-4.4488383588729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80-43DD-9406-F1CA211D284B}"/>
                </c:ext>
              </c:extLst>
            </c:dLbl>
            <c:dLbl>
              <c:idx val="4"/>
              <c:layout>
                <c:manualLayout>
                  <c:x val="-9.0199860012540169E-17"/>
                  <c:y val="-3.9545229856648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80-43DD-9406-F1CA211D284B}"/>
                </c:ext>
              </c:extLst>
            </c:dLbl>
            <c:dLbl>
              <c:idx val="5"/>
              <c:layout>
                <c:manualLayout>
                  <c:x val="-9.0199860012540169E-17"/>
                  <c:y val="-4.9431537320810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80-43DD-9406-F1CA211D284B}"/>
                </c:ext>
              </c:extLst>
            </c:dLbl>
            <c:dLbl>
              <c:idx val="6"/>
              <c:layout>
                <c:manualLayout>
                  <c:x val="-9.0199860012540169E-17"/>
                  <c:y val="-2.9658922392486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80-43DD-9406-F1CA211D284B}"/>
                </c:ext>
              </c:extLst>
            </c:dLbl>
            <c:dLbl>
              <c:idx val="7"/>
              <c:layout>
                <c:manualLayout>
                  <c:x val="0"/>
                  <c:y val="-3.9545229856648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80-43DD-9406-F1CA211D284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06 a 11 años</c:v>
                </c:pt>
                <c:pt idx="1">
                  <c:v>12 a 17 años</c:v>
                </c:pt>
                <c:pt idx="2">
                  <c:v>18 a 29 años</c:v>
                </c:pt>
                <c:pt idx="3">
                  <c:v>30 a 39 años</c:v>
                </c:pt>
                <c:pt idx="4">
                  <c:v>40 a 49 años</c:v>
                </c:pt>
                <c:pt idx="5">
                  <c:v>50 a 59 años</c:v>
                </c:pt>
                <c:pt idx="6">
                  <c:v>60 a 69 años</c:v>
                </c:pt>
                <c:pt idx="7">
                  <c:v>70 años y más</c:v>
                </c:pt>
              </c:strCache>
            </c:strRef>
          </c:cat>
          <c:val>
            <c:numRef>
              <c:f>Sheet1!$E$2:$E$9</c:f>
              <c:numCache>
                <c:formatCode>General</c:formatCode>
                <c:ptCount val="8"/>
                <c:pt idx="2">
                  <c:v>0.32</c:v>
                </c:pt>
                <c:pt idx="4">
                  <c:v>1.65</c:v>
                </c:pt>
                <c:pt idx="5">
                  <c:v>1.92</c:v>
                </c:pt>
                <c:pt idx="6">
                  <c:v>3.2</c:v>
                </c:pt>
                <c:pt idx="7">
                  <c:v>3.35</c:v>
                </c:pt>
              </c:numCache>
            </c:numRef>
          </c:val>
          <c:extLst>
            <c:ext xmlns:c16="http://schemas.microsoft.com/office/drawing/2014/chart" uri="{C3380CC4-5D6E-409C-BE32-E72D297353CC}">
              <c16:uniqueId val="{00000009-9780-43DD-9406-F1CA211D284B}"/>
            </c:ext>
          </c:extLst>
        </c:ser>
        <c:dLbls>
          <c:showLegendKey val="0"/>
          <c:showVal val="0"/>
          <c:showCatName val="0"/>
          <c:showSerName val="0"/>
          <c:showPercent val="0"/>
          <c:showBubbleSize val="0"/>
        </c:dLbls>
        <c:gapWidth val="55"/>
        <c:overlap val="100"/>
        <c:axId val="455930288"/>
        <c:axId val="455927008"/>
      </c:barChart>
      <c:catAx>
        <c:axId val="45593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crossAx val="455927008"/>
        <c:crosses val="autoZero"/>
        <c:auto val="1"/>
        <c:lblAlgn val="ctr"/>
        <c:lblOffset val="100"/>
        <c:noMultiLvlLbl val="0"/>
      </c:catAx>
      <c:valAx>
        <c:axId val="455927008"/>
        <c:scaling>
          <c:orientation val="minMax"/>
          <c:max val="200"/>
          <c:min val="0"/>
        </c:scaling>
        <c:delete val="1"/>
        <c:axPos val="l"/>
        <c:numFmt formatCode="General" sourceLinked="1"/>
        <c:majorTickMark val="out"/>
        <c:minorTickMark val="none"/>
        <c:tickLblPos val="nextTo"/>
        <c:crossAx val="455930288"/>
        <c:crosses val="autoZero"/>
        <c:crossBetween val="between"/>
      </c:valAx>
      <c:spPr>
        <a:noFill/>
        <a:ln>
          <a:noFill/>
        </a:ln>
        <a:effectLst/>
      </c:spPr>
    </c:plotArea>
    <c:legend>
      <c:legendPos val="r"/>
      <c:layout>
        <c:manualLayout>
          <c:xMode val="edge"/>
          <c:yMode val="edge"/>
          <c:x val="0.11329246205847886"/>
          <c:y val="2.7429443291906851E-2"/>
          <c:w val="0.32663741755527792"/>
          <c:h val="0.292066432872361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77137036002285"/>
          <c:y val="4.0172184628514261E-2"/>
          <c:w val="0.8618464690465466"/>
          <c:h val="0.75987913630898662"/>
        </c:manualLayout>
      </c:layout>
      <c:barChart>
        <c:barDir val="col"/>
        <c:grouping val="clustered"/>
        <c:varyColors val="0"/>
        <c:ser>
          <c:idx val="0"/>
          <c:order val="0"/>
          <c:tx>
            <c:strRef>
              <c:f>Hoja1!$B$1</c:f>
              <c:strCache>
                <c:ptCount val="1"/>
                <c:pt idx="0">
                  <c:v>Meta</c:v>
                </c:pt>
              </c:strCache>
            </c:strRef>
          </c:tx>
          <c:spPr>
            <a:solidFill>
              <a:schemeClr val="accent1"/>
            </a:solidFill>
            <a:ln>
              <a:noFill/>
            </a:ln>
            <a:effectLst>
              <a:outerShdw blurRad="50800" dist="38100" dir="5400000" algn="t"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ene</c:v>
                </c:pt>
                <c:pt idx="1">
                  <c:v>feb</c:v>
                </c:pt>
                <c:pt idx="2">
                  <c:v>mar</c:v>
                </c:pt>
                <c:pt idx="3">
                  <c:v>abr</c:v>
                </c:pt>
                <c:pt idx="4">
                  <c:v>may</c:v>
                </c:pt>
              </c:strCache>
            </c:strRef>
          </c:cat>
          <c:val>
            <c:numRef>
              <c:f>Hoja1!$B$2:$B$6</c:f>
              <c:numCache>
                <c:formatCode>#,##0.0</c:formatCode>
                <c:ptCount val="5"/>
                <c:pt idx="0">
                  <c:v>7222.3223719597572</c:v>
                </c:pt>
                <c:pt idx="1">
                  <c:v>11942.614447021222</c:v>
                </c:pt>
                <c:pt idx="2">
                  <c:v>18268.164682332506</c:v>
                </c:pt>
                <c:pt idx="3">
                  <c:v>26082.335593340969</c:v>
                </c:pt>
                <c:pt idx="4">
                  <c:v>31517.076443479687</c:v>
                </c:pt>
              </c:numCache>
            </c:numRef>
          </c:val>
          <c:extLst>
            <c:ext xmlns:c16="http://schemas.microsoft.com/office/drawing/2014/chart" uri="{C3380CC4-5D6E-409C-BE32-E72D297353CC}">
              <c16:uniqueId val="{00000000-7B9F-4A55-B54D-156C56BAE064}"/>
            </c:ext>
          </c:extLst>
        </c:ser>
        <c:dLbls>
          <c:showLegendKey val="0"/>
          <c:showVal val="0"/>
          <c:showCatName val="0"/>
          <c:showSerName val="0"/>
          <c:showPercent val="0"/>
          <c:showBubbleSize val="0"/>
        </c:dLbls>
        <c:gapWidth val="30"/>
        <c:overlap val="-27"/>
        <c:axId val="643078032"/>
        <c:axId val="643078360"/>
      </c:barChart>
      <c:lineChart>
        <c:grouping val="standard"/>
        <c:varyColors val="0"/>
        <c:ser>
          <c:idx val="1"/>
          <c:order val="1"/>
          <c:tx>
            <c:strRef>
              <c:f>Hoja1!$C$1</c:f>
              <c:strCache>
                <c:ptCount val="1"/>
                <c:pt idx="0">
                  <c:v>Observado</c:v>
                </c:pt>
              </c:strCache>
            </c:strRef>
          </c:tx>
          <c:spPr>
            <a:ln w="28575" cap="rnd">
              <a:solidFill>
                <a:srgbClr val="FF0000"/>
              </a:solidFill>
              <a:round/>
            </a:ln>
            <a:effectLst/>
          </c:spPr>
          <c:marker>
            <c:symbol val="circle"/>
            <c:size val="5"/>
            <c:spPr>
              <a:solidFill>
                <a:schemeClr val="bg1"/>
              </a:solidFill>
              <a:ln w="9525">
                <a:solidFill>
                  <a:schemeClr val="accent2"/>
                </a:solidFill>
              </a:ln>
              <a:effectLst/>
            </c:spPr>
          </c:marker>
          <c:dLbls>
            <c:dLbl>
              <c:idx val="0"/>
              <c:layout>
                <c:manualLayout>
                  <c:x val="-0.16881594372801875"/>
                  <c:y val="-6.282722513089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9F-4A55-B54D-156C56BAE064}"/>
                </c:ext>
              </c:extLst>
            </c:dLbl>
            <c:dLbl>
              <c:idx val="1"/>
              <c:layout>
                <c:manualLayout>
                  <c:x val="-0.19695193434935529"/>
                  <c:y val="-6.2827225130890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9F-4A55-B54D-156C56BAE064}"/>
                </c:ext>
              </c:extLst>
            </c:dLbl>
            <c:dLbl>
              <c:idx val="2"/>
              <c:layout>
                <c:manualLayout>
                  <c:x val="-0.20757904899831048"/>
                  <c:y val="-5.7124722310377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9F-4A55-B54D-156C56BAE064}"/>
                </c:ext>
              </c:extLst>
            </c:dLbl>
            <c:dLbl>
              <c:idx val="3"/>
              <c:layout>
                <c:manualLayout>
                  <c:x val="-0.21723388848660399"/>
                  <c:y val="-5.0777530942557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9F-4A55-B54D-156C56BAE064}"/>
                </c:ext>
              </c:extLst>
            </c:dLbl>
            <c:dLbl>
              <c:idx val="4"/>
              <c:layout>
                <c:manualLayout>
                  <c:x val="-0.12068549360366874"/>
                  <c:y val="-3.1735956839098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9F-4A55-B54D-156C56BAE064}"/>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ene</c:v>
                </c:pt>
                <c:pt idx="1">
                  <c:v>feb</c:v>
                </c:pt>
                <c:pt idx="2">
                  <c:v>mar</c:v>
                </c:pt>
                <c:pt idx="3">
                  <c:v>abr</c:v>
                </c:pt>
                <c:pt idx="4">
                  <c:v>may</c:v>
                </c:pt>
              </c:strCache>
            </c:strRef>
          </c:cat>
          <c:val>
            <c:numRef>
              <c:f>Hoja1!$C$2:$C$6</c:f>
              <c:numCache>
                <c:formatCode>#,##0.0</c:formatCode>
                <c:ptCount val="5"/>
                <c:pt idx="0">
                  <c:v>7765.8525129099999</c:v>
                </c:pt>
                <c:pt idx="1">
                  <c:v>12993.50783538</c:v>
                </c:pt>
                <c:pt idx="2">
                  <c:v>20632.712854339996</c:v>
                </c:pt>
                <c:pt idx="3">
                  <c:v>29885.718862170004</c:v>
                </c:pt>
                <c:pt idx="4">
                  <c:v>36082.664144839997</c:v>
                </c:pt>
              </c:numCache>
            </c:numRef>
          </c:val>
          <c:smooth val="0"/>
          <c:extLst>
            <c:ext xmlns:c16="http://schemas.microsoft.com/office/drawing/2014/chart" uri="{C3380CC4-5D6E-409C-BE32-E72D297353CC}">
              <c16:uniqueId val="{00000006-7B9F-4A55-B54D-156C56BAE064}"/>
            </c:ext>
          </c:extLst>
        </c:ser>
        <c:dLbls>
          <c:showLegendKey val="0"/>
          <c:showVal val="0"/>
          <c:showCatName val="0"/>
          <c:showSerName val="0"/>
          <c:showPercent val="0"/>
          <c:showBubbleSize val="0"/>
        </c:dLbls>
        <c:marker val="1"/>
        <c:smooth val="0"/>
        <c:axId val="643078032"/>
        <c:axId val="643078360"/>
      </c:lineChart>
      <c:catAx>
        <c:axId val="6430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360"/>
        <c:crosses val="autoZero"/>
        <c:auto val="1"/>
        <c:lblAlgn val="ctr"/>
        <c:lblOffset val="100"/>
        <c:noMultiLvlLbl val="0"/>
      </c:catAx>
      <c:valAx>
        <c:axId val="643078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032"/>
        <c:crosses val="autoZero"/>
        <c:crossBetween val="between"/>
      </c:valAx>
      <c:spPr>
        <a:noFill/>
        <a:ln>
          <a:noFill/>
        </a:ln>
        <a:effectLst/>
      </c:spPr>
    </c:plotArea>
    <c:legend>
      <c:legendPos val="b"/>
      <c:layout>
        <c:manualLayout>
          <c:xMode val="edge"/>
          <c:yMode val="edge"/>
          <c:x val="0.22647934757612215"/>
          <c:y val="0.91951561434065421"/>
          <c:w val="0.48579778641386123"/>
          <c:h val="8.0484492715598391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3531559458781092"/>
          <c:w val="0.87195209498957349"/>
          <c:h val="0.83750857136942669"/>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2597551572334212"/>
                  <c:y val="0.1449238086119944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54B-41A6-BCFC-B959E1E441AA}"/>
                </c:ext>
              </c:extLst>
            </c:dLbl>
            <c:dLbl>
              <c:idx val="1"/>
              <c:layout>
                <c:manualLayout>
                  <c:x val="-0.20949515898067012"/>
                  <c:y val="4.807677876939717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54B-41A6-BCFC-B959E1E441AA}"/>
                </c:ext>
              </c:extLst>
            </c:dLbl>
            <c:dLbl>
              <c:idx val="2"/>
              <c:layout>
                <c:manualLayout>
                  <c:x val="-0.22965081607924914"/>
                  <c:y val="9.566398679297534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554B-41A6-BCFC-B959E1E441AA}"/>
                </c:ext>
              </c:extLst>
            </c:dLbl>
            <c:dLbl>
              <c:idx val="3"/>
              <c:layout>
                <c:manualLayout>
                  <c:x val="-0.1334753922763996"/>
                  <c:y val="-0.152415379559645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54B-41A6-BCFC-B959E1E441AA}"/>
                </c:ext>
              </c:extLst>
            </c:dLbl>
            <c:dLbl>
              <c:idx val="4"/>
              <c:layout>
                <c:manualLayout>
                  <c:x val="-0.20087248500594454"/>
                  <c:y val="1.7495685204975405E-2"/>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554B-41A6-BCFC-B959E1E441AA}"/>
                </c:ext>
              </c:extLst>
            </c:dLbl>
            <c:dLbl>
              <c:idx val="5"/>
              <c:layout>
                <c:manualLayout>
                  <c:x val="-9.1559647663434163E-2"/>
                  <c:y val="9.858692080184028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54B-41A6-BCFC-B959E1E441A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2261.0179300599966</c:v>
                </c:pt>
                <c:pt idx="1">
                  <c:v>408.68425582000054</c:v>
                </c:pt>
                <c:pt idx="2">
                  <c:v>5.1446471699994163</c:v>
                </c:pt>
                <c:pt idx="3">
                  <c:v>206.80124568000201</c:v>
                </c:pt>
                <c:pt idx="4">
                  <c:v>2058.5338882699998</c:v>
                </c:pt>
                <c:pt idx="5">
                  <c:v>229.2203581699996</c:v>
                </c:pt>
              </c:numCache>
            </c:numRef>
          </c:val>
          <c:smooth val="1"/>
          <c:extLst>
            <c:ext xmlns:c16="http://schemas.microsoft.com/office/drawing/2014/chart" uri="{C3380CC4-5D6E-409C-BE32-E72D297353CC}">
              <c16:uniqueId val="{00000006-554B-41A6-BCFC-B959E1E441AA}"/>
            </c:ext>
          </c:extLst>
        </c:ser>
        <c:ser>
          <c:idx val="1"/>
          <c:order val="1"/>
          <c:tx>
            <c:strRef>
              <c:f>Hoja1!$C$1</c:f>
              <c:strCache>
                <c:ptCount val="1"/>
                <c:pt idx="0">
                  <c:v>2022-Pres</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1.2610579972727722E-2"/>
                  <c:y val="-2.000822851464960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54B-41A6-BCFC-B959E1E441AA}"/>
                </c:ext>
              </c:extLst>
            </c:dLbl>
            <c:dLbl>
              <c:idx val="1"/>
              <c:layout>
                <c:manualLayout>
                  <c:x val="-5.7654280190374177E-2"/>
                  <c:y val="-9.621100188634816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554B-41A6-BCFC-B959E1E441AA}"/>
                </c:ext>
              </c:extLst>
            </c:dLbl>
            <c:dLbl>
              <c:idx val="2"/>
              <c:layout>
                <c:manualLayout>
                  <c:x val="-6.1096740620881149E-2"/>
                  <c:y val="-0.107329846996204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54B-41A6-BCFC-B959E1E441AA}"/>
                </c:ext>
              </c:extLst>
            </c:dLbl>
            <c:dLbl>
              <c:idx val="3"/>
              <c:layout>
                <c:manualLayout>
                  <c:x val="4.7088361422259828E-3"/>
                  <c:y val="5.91521524811041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554B-41A6-BCFC-B959E1E441AA}"/>
                </c:ext>
              </c:extLst>
            </c:dLbl>
            <c:dLbl>
              <c:idx val="4"/>
              <c:layout>
                <c:manualLayout>
                  <c:x val="-7.6547739781441845E-2"/>
                  <c:y val="0.1259283601708839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554B-41A6-BCFC-B959E1E441AA}"/>
                </c:ext>
              </c:extLst>
            </c:dLbl>
            <c:dLbl>
              <c:idx val="5"/>
              <c:layout>
                <c:manualLayout>
                  <c:x val="-1.5626483737289712E-3"/>
                  <c:y val="-0.2711849319853749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554B-41A6-BCFC-B959E1E441A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2420.1760815799962</c:v>
                </c:pt>
                <c:pt idx="1">
                  <c:v>477.57856712031679</c:v>
                </c:pt>
                <c:pt idx="2">
                  <c:v>-23.617495190000454</c:v>
                </c:pt>
                <c:pt idx="3">
                  <c:v>67.688950009999189</c:v>
                </c:pt>
                <c:pt idx="4">
                  <c:v>1429.8111080700091</c:v>
                </c:pt>
                <c:pt idx="5">
                  <c:v>193.95048977000079</c:v>
                </c:pt>
              </c:numCache>
            </c:numRef>
          </c:val>
          <c:smooth val="1"/>
          <c:extLst>
            <c:ext xmlns:c16="http://schemas.microsoft.com/office/drawing/2014/chart" uri="{C3380CC4-5D6E-409C-BE32-E72D297353CC}">
              <c16:uniqueId val="{0000000D-554B-41A6-BCFC-B959E1E441AA}"/>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3986960055713655"/>
          <c:y val="2.5268776499091455E-2"/>
          <c:w val="0.60594304869319271"/>
          <c:h val="9.5344677468201092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marzo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E79-4492-A37F-22A62FEE699F}"/>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E79-4492-A37F-22A62FEE699F}"/>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E79-4492-A37F-22A62FEE699F}"/>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8E79-4492-A37F-22A62FEE699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8E79-4492-A37F-22A62FEE699F}"/>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8E79-4492-A37F-22A62FEE699F}"/>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8E79-4492-A37F-22A62FEE699F}"/>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8E79-4492-A37F-22A62FEE699F}"/>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8E79-4492-A37F-22A62FEE699F}"/>
              </c:ext>
            </c:extLst>
          </c:dPt>
          <c:dLbls>
            <c:dLbl>
              <c:idx val="0"/>
              <c:layout>
                <c:manualLayout>
                  <c:x val="-5.4160512063023324E-2"/>
                  <c:y val="-0.160197198117654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79-4492-A37F-22A62FEE699F}"/>
                </c:ext>
              </c:extLst>
            </c:dLbl>
            <c:dLbl>
              <c:idx val="1"/>
              <c:layout>
                <c:manualLayout>
                  <c:x val="9.0721697481828081E-2"/>
                  <c:y val="1.5889094572441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E79-4492-A37F-22A62FEE699F}"/>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E79-4492-A37F-22A62FEE699F}"/>
                </c:ext>
              </c:extLst>
            </c:dLbl>
            <c:dLbl>
              <c:idx val="3"/>
              <c:layout>
                <c:manualLayout>
                  <c:x val="-2.9988768033707537E-3"/>
                  <c:y val="-2.546838477963107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E79-4492-A37F-22A62FEE699F}"/>
                </c:ext>
              </c:extLst>
            </c:dLbl>
            <c:dLbl>
              <c:idx val="4"/>
              <c:layout>
                <c:manualLayout>
                  <c:x val="-8.4281626908896359E-2"/>
                  <c:y val="-5.50186869428367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79-4492-A37F-22A62FEE699F}"/>
                </c:ext>
              </c:extLst>
            </c:dLbl>
            <c:dLbl>
              <c:idx val="5"/>
              <c:layout>
                <c:manualLayout>
                  <c:x val="-5.2722370191170709E-2"/>
                  <c:y val="-0.1535193527698144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E79-4492-A37F-22A62FEE699F}"/>
                </c:ext>
              </c:extLst>
            </c:dLbl>
            <c:dLbl>
              <c:idx val="6"/>
              <c:layout>
                <c:manualLayout>
                  <c:x val="5.6907694514552E-2"/>
                  <c:y val="-6.72400248300660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E79-4492-A37F-22A62FEE699F}"/>
                </c:ext>
              </c:extLst>
            </c:dLbl>
            <c:dLbl>
              <c:idx val="7"/>
              <c:layout>
                <c:manualLayout>
                  <c:x val="0.12485064182339098"/>
                  <c:y val="-0.136246487344135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E79-4492-A37F-22A62FEE699F}"/>
                </c:ext>
              </c:extLst>
            </c:dLbl>
            <c:dLbl>
              <c:idx val="8"/>
              <c:layout>
                <c:manualLayout>
                  <c:x val="0.1755680650701528"/>
                  <c:y val="-3.83753306597224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E79-4492-A37F-22A62FEE699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_(* #,##0.0_);_(* \(#,##0.0\);_(* "-"??_);_(@_)</c:formatCode>
                <c:ptCount val="9"/>
                <c:pt idx="0">
                  <c:v>1569.0738124500001</c:v>
                </c:pt>
                <c:pt idx="1">
                  <c:v>2118.5710126500003</c:v>
                </c:pt>
                <c:pt idx="2">
                  <c:v>1414.4011785</c:v>
                </c:pt>
                <c:pt idx="3">
                  <c:v>45.953149119999999</c:v>
                </c:pt>
                <c:pt idx="4">
                  <c:v>306.69700754000002</c:v>
                </c:pt>
                <c:pt idx="5">
                  <c:v>293.13623551000001</c:v>
                </c:pt>
                <c:pt idx="6">
                  <c:v>106.04788370999999</c:v>
                </c:pt>
                <c:pt idx="7">
                  <c:v>97.370419209999994</c:v>
                </c:pt>
                <c:pt idx="8">
                  <c:v>249.37811176000014</c:v>
                </c:pt>
              </c:numCache>
            </c:numRef>
          </c:val>
          <c:extLst>
            <c:ext xmlns:c16="http://schemas.microsoft.com/office/drawing/2014/chart" uri="{C3380CC4-5D6E-409C-BE32-E72D297353CC}">
              <c16:uniqueId val="{00000012-8E79-4492-A37F-22A62FEE699F}"/>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9.29054054054054E-2"/>
          <c:w val="0.84944393037344834"/>
          <c:h val="0.77690000532028092"/>
        </c:manualLayout>
      </c:layout>
      <c:barChart>
        <c:barDir val="col"/>
        <c:grouping val="clustered"/>
        <c:varyColors val="0"/>
        <c:ser>
          <c:idx val="0"/>
          <c:order val="0"/>
          <c:tx>
            <c:strRef>
              <c:f>Hoja1!$B$1</c:f>
              <c:strCache>
                <c:ptCount val="1"/>
                <c:pt idx="0">
                  <c:v>Obs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7765.8525129099999</c:v>
                </c:pt>
                <c:pt idx="1">
                  <c:v>5227.6553224700001</c:v>
                </c:pt>
                <c:pt idx="2">
                  <c:v>7649.5032832999987</c:v>
                </c:pt>
                <c:pt idx="3">
                  <c:v>9239.0242157100001</c:v>
                </c:pt>
                <c:pt idx="4">
                  <c:v>6200.6288104499999</c:v>
                </c:pt>
              </c:numCache>
            </c:numRef>
          </c:val>
          <c:extLst>
            <c:ext xmlns:c16="http://schemas.microsoft.com/office/drawing/2014/chart" uri="{C3380CC4-5D6E-409C-BE32-E72D297353CC}">
              <c16:uniqueId val="{00000000-D8BD-4092-8156-96F26360021C}"/>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22225" cap="rnd">
              <a:solidFill>
                <a:srgbClr val="FF0000"/>
              </a:solidFill>
              <a:prstDash val="sysDash"/>
              <a:round/>
            </a:ln>
            <a:effectLst/>
          </c:spPr>
          <c:marker>
            <c:symbol val="circle"/>
            <c:size val="5"/>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1-D8BD-4092-8156-96F26360021C}"/>
                </c:ext>
              </c:extLst>
            </c:dLbl>
            <c:dLbl>
              <c:idx val="2"/>
              <c:delete val="1"/>
              <c:extLst>
                <c:ext xmlns:c15="http://schemas.microsoft.com/office/drawing/2012/chart" uri="{CE6537A1-D6FC-4f65-9D91-7224C49458BB}"/>
                <c:ext xmlns:c16="http://schemas.microsoft.com/office/drawing/2014/chart" uri="{C3380CC4-5D6E-409C-BE32-E72D297353CC}">
                  <c16:uniqueId val="{00000002-D8BD-4092-8156-96F26360021C}"/>
                </c:ext>
              </c:extLst>
            </c:dLbl>
            <c:dLbl>
              <c:idx val="3"/>
              <c:delete val="1"/>
              <c:extLst>
                <c:ext xmlns:c15="http://schemas.microsoft.com/office/drawing/2012/chart" uri="{CE6537A1-D6FC-4f65-9D91-7224C49458BB}"/>
                <c:ext xmlns:c16="http://schemas.microsoft.com/office/drawing/2014/chart" uri="{C3380CC4-5D6E-409C-BE32-E72D297353CC}">
                  <c16:uniqueId val="{00000003-D8BD-4092-8156-96F26360021C}"/>
                </c:ext>
              </c:extLst>
            </c:dLbl>
            <c:dLbl>
              <c:idx val="4"/>
              <c:delete val="1"/>
              <c:extLst>
                <c:ext xmlns:c15="http://schemas.microsoft.com/office/drawing/2012/chart" uri="{CE6537A1-D6FC-4f65-9D91-7224C49458BB}"/>
                <c:ext xmlns:c16="http://schemas.microsoft.com/office/drawing/2014/chart" uri="{C3380CC4-5D6E-409C-BE32-E72D297353CC}">
                  <c16:uniqueId val="{00000004-D8BD-4092-8156-96F26360021C}"/>
                </c:ext>
              </c:extLst>
            </c:dLbl>
            <c:dLbl>
              <c:idx val="5"/>
              <c:layout>
                <c:manualLayout>
                  <c:x val="-8.3764474008376541E-2"/>
                  <c:y val="9.29054054054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BD-4092-8156-96F26360021C}"/>
                </c:ext>
              </c:extLst>
            </c:dLbl>
            <c:dLbl>
              <c:idx val="6"/>
              <c:layout>
                <c:manualLayout>
                  <c:x val="-8.3702609551944945E-2"/>
                  <c:y val="-6.107906345436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BD-4092-8156-96F26360021C}"/>
                </c:ext>
              </c:extLst>
            </c:dLbl>
            <c:dLbl>
              <c:idx val="7"/>
              <c:layout>
                <c:manualLayout>
                  <c:x val="-4.4342223100989779E-2"/>
                  <c:y val="-0.12683818323184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BD-4092-8156-96F26360021C}"/>
                </c:ext>
              </c:extLst>
            </c:dLbl>
            <c:dLbl>
              <c:idx val="8"/>
              <c:layout>
                <c:manualLayout>
                  <c:x val="-8.8651880110259568E-2"/>
                  <c:y val="8.1140570017821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BD-4092-8156-96F26360021C}"/>
                </c:ext>
              </c:extLst>
            </c:dLbl>
            <c:dLbl>
              <c:idx val="9"/>
              <c:layout>
                <c:manualLayout>
                  <c:x val="-7.3862609862098194E-2"/>
                  <c:y val="-6.2589207227956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BD-4092-8156-96F26360021C}"/>
                </c:ext>
              </c:extLst>
            </c:dLbl>
            <c:dLbl>
              <c:idx val="10"/>
              <c:layout>
                <c:manualLayout>
                  <c:x val="0"/>
                  <c:y val="6.7567567567567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BD-4092-8156-96F26360021C}"/>
                </c:ext>
              </c:extLst>
            </c:dLbl>
            <c:dLbl>
              <c:idx val="11"/>
              <c:layout>
                <c:manualLayout>
                  <c:x val="-1.4781966001478377E-2"/>
                  <c:y val="-7.6013513513513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8BD-4092-8156-96F26360021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4">
                  <c:v>6200.6288104499999</c:v>
                </c:pt>
                <c:pt idx="5">
                  <c:v>5278.1721841493381</c:v>
                </c:pt>
                <c:pt idx="6">
                  <c:v>8716.7353736780951</c:v>
                </c:pt>
                <c:pt idx="7">
                  <c:v>5345.7361091428156</c:v>
                </c:pt>
                <c:pt idx="8">
                  <c:v>5091.9494663078058</c:v>
                </c:pt>
                <c:pt idx="9">
                  <c:v>8763.6375448371746</c:v>
                </c:pt>
                <c:pt idx="10">
                  <c:v>5705.0171798479123</c:v>
                </c:pt>
                <c:pt idx="11">
                  <c:v>5896.5595820328872</c:v>
                </c:pt>
              </c:numCache>
            </c:numRef>
          </c:val>
          <c:smooth val="1"/>
          <c:extLst>
            <c:ext xmlns:c16="http://schemas.microsoft.com/office/drawing/2014/chart" uri="{C3380CC4-5D6E-409C-BE32-E72D297353CC}">
              <c16:uniqueId val="{0000000C-D8BD-4092-8156-96F26360021C}"/>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ayout>
        <c:manualLayout>
          <c:xMode val="edge"/>
          <c:yMode val="edge"/>
          <c:x val="0.45821999522786927"/>
          <c:y val="0.76623749733985957"/>
          <c:w val="0.54178000477213073"/>
          <c:h val="0.1155192594168972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367019503562E-2"/>
          <c:y val="2.0471470641031241E-2"/>
          <c:w val="0.90205628106458469"/>
          <c:h val="0.75062772325873062"/>
        </c:manualLayout>
      </c:layout>
      <c:barChart>
        <c:barDir val="col"/>
        <c:grouping val="clustered"/>
        <c:varyColors val="0"/>
        <c:ser>
          <c:idx val="1"/>
          <c:order val="1"/>
          <c:tx>
            <c:strRef>
              <c:f>Sheet1!$C$1</c:f>
              <c:strCache>
                <c:ptCount val="1"/>
                <c:pt idx="0">
                  <c:v>2022</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EE-4831-9B72-BEA04FA52995}"/>
                </c:ext>
              </c:extLst>
            </c:dLbl>
            <c:dLbl>
              <c:idx val="1"/>
              <c:layout>
                <c:manualLayout>
                  <c:x val="0"/>
                  <c:y val="4.4705415012453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EE-4831-9B72-BEA04FA52995}"/>
                </c:ext>
              </c:extLst>
            </c:dLbl>
            <c:dLbl>
              <c:idx val="2"/>
              <c:layout>
                <c:manualLayout>
                  <c:x val="-4.4835220218999241E-17"/>
                  <c:y val="1.535102229868358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EE-4831-9B72-BEA04FA52995}"/>
                </c:ext>
              </c:extLst>
            </c:dLbl>
            <c:dLbl>
              <c:idx val="3"/>
              <c:layout>
                <c:manualLayout>
                  <c:x val="-4.5133238669494805E-17"/>
                  <c:y val="-4.5647746800379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EE-4831-9B72-BEA04FA52995}"/>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EE-4831-9B72-BEA04FA52995}"/>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EE-4831-9B72-BEA04FA52995}"/>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EE-4831-9B72-BEA04FA52995}"/>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EE-4831-9B72-BEA04FA52995}"/>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EE-4831-9B72-BEA04FA52995}"/>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EE-4831-9B72-BEA04FA52995}"/>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9.5136409548139795</c:v>
                </c:pt>
                <c:pt idx="1">
                  <c:v>17.328752165433642</c:v>
                </c:pt>
                <c:pt idx="2">
                  <c:v>19.685141533238919</c:v>
                </c:pt>
                <c:pt idx="3">
                  <c:v>12.472865890464078</c:v>
                </c:pt>
                <c:pt idx="4">
                  <c:v>14.566464186412389</c:v>
                </c:pt>
              </c:numCache>
            </c:numRef>
          </c:val>
          <c:extLst>
            <c:ext xmlns:c16="http://schemas.microsoft.com/office/drawing/2014/chart" uri="{C3380CC4-5D6E-409C-BE32-E72D297353CC}">
              <c16:uniqueId val="{0000000A-F9EE-4831-9B72-BEA04FA52995}"/>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2021</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2"/>
              <c:layout>
                <c:manualLayout>
                  <c:x val="-5.6805321873209733E-2"/>
                  <c:y val="3.7547343404341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EE-4831-9B72-BEA04FA52995}"/>
                </c:ext>
              </c:extLst>
            </c:dLbl>
            <c:dLbl>
              <c:idx val="3"/>
              <c:layout>
                <c:manualLayout>
                  <c:x val="-6.4623532102800293E-2"/>
                  <c:y val="-6.205186078124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9EE-4831-9B72-BEA04FA52995}"/>
                </c:ext>
              </c:extLst>
            </c:dLbl>
            <c:dLbl>
              <c:idx val="4"/>
              <c:layout>
                <c:manualLayout>
                  <c:x val="-1.5492491944359607E-2"/>
                  <c:y val="-1.4641696897194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EE-4831-9B72-BEA04FA52995}"/>
                </c:ext>
              </c:extLst>
            </c:dLbl>
            <c:dLbl>
              <c:idx val="5"/>
              <c:layout>
                <c:manualLayout>
                  <c:x val="-3.8444064127054117E-2"/>
                  <c:y val="-4.9434390431552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9EE-4831-9B72-BEA04FA52995}"/>
                </c:ext>
              </c:extLst>
            </c:dLbl>
            <c:dLbl>
              <c:idx val="6"/>
              <c:layout>
                <c:manualLayout>
                  <c:x val="-4.3034378563593108E-2"/>
                  <c:y val="-5.5233172687278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9EE-4831-9B72-BEA04FA52995}"/>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9EE-4831-9B72-BEA04FA5299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-4.3420352501965027</c:v>
                </c:pt>
                <c:pt idx="9">
                  <c:v>-5.6943807513343216</c:v>
                </c:pt>
                <c:pt idx="10">
                  <c:v>-3.3547814445017821</c:v>
                </c:pt>
                <c:pt idx="11">
                  <c:v>-3.7028426386675619</c:v>
                </c:pt>
              </c:numCache>
            </c:numRef>
          </c:val>
          <c:smooth val="0"/>
          <c:extLst>
            <c:ext xmlns:c16="http://schemas.microsoft.com/office/drawing/2014/chart" uri="{C3380CC4-5D6E-409C-BE32-E72D297353CC}">
              <c16:uniqueId val="{00000011-F9EE-4831-9B72-BEA04FA52995}"/>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4"/>
          <c:min val="-10"/>
        </c:scaling>
        <c:delete val="0"/>
        <c:axPos val="l"/>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61369901633537494"/>
          <c:y val="0.14206788228015424"/>
          <c:w val="0.25118035882908402"/>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5668845822316493"/>
          <c:h val="0.9363849689937902"/>
        </c:manualLayout>
      </c:layout>
      <c:barChart>
        <c:barDir val="bar"/>
        <c:grouping val="clustered"/>
        <c:varyColors val="0"/>
        <c:ser>
          <c:idx val="0"/>
          <c:order val="0"/>
          <c:tx>
            <c:strRef>
              <c:f>Sheet1!$B$1</c:f>
              <c:strCache>
                <c:ptCount val="1"/>
                <c:pt idx="0">
                  <c:v>2021</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1F-489B-B69C-93E50343E7A2}"/>
                </c:ext>
              </c:extLst>
            </c:dLbl>
            <c:dLbl>
              <c:idx val="1"/>
              <c:layout>
                <c:manualLayout>
                  <c:x val="9.0199860012540169E-17"/>
                  <c:y val="1.0866612333604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1F-489B-B69C-93E50343E7A2}"/>
                </c:ext>
              </c:extLst>
            </c:dLbl>
            <c:dLbl>
              <c:idx val="3"/>
              <c:layout>
                <c:manualLayout>
                  <c:x val="-3.7146354029999151E-3"/>
                  <c:y val="7.502377420213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1F-489B-B69C-93E50343E7A2}"/>
                </c:ext>
              </c:extLst>
            </c:dLbl>
            <c:dLbl>
              <c:idx val="4"/>
              <c:layout>
                <c:manualLayout>
                  <c:x val="-1.4067995310668316E-2"/>
                  <c:y val="-4.04704669923814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1F-489B-B69C-93E50343E7A2}"/>
                </c:ext>
              </c:extLst>
            </c:dLbl>
            <c:dLbl>
              <c:idx val="5"/>
              <c:layout>
                <c:manualLayout>
                  <c:x val="-4.6893317702227429E-3"/>
                  <c:y val="1.324503311258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1F-489B-B69C-93E50343E7A2}"/>
                </c:ext>
              </c:extLst>
            </c:dLbl>
            <c:dLbl>
              <c:idx val="6"/>
              <c:layout>
                <c:manualLayout>
                  <c:x val="-3.9985742522924955E-3"/>
                  <c:y val="3.179492815536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1F-489B-B69C-93E50343E7A2}"/>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1F-489B-B69C-93E50343E7A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Inversión Real Directa</c:v>
                </c:pt>
                <c:pt idx="2">
                  <c:v>Remuneraciones </c:v>
                </c:pt>
                <c:pt idx="3">
                  <c:v>Bienes y servicios </c:v>
                </c:pt>
                <c:pt idx="4">
                  <c:v>Intereses </c:v>
                </c:pt>
                <c:pt idx="5">
                  <c:v>Trans. De Capital</c:v>
                </c:pt>
                <c:pt idx="6">
                  <c:v>Trans. Corrientes</c:v>
                </c:pt>
              </c:strCache>
            </c:strRef>
          </c:cat>
          <c:val>
            <c:numRef>
              <c:f>Sheet1!$B$2:$B$8</c:f>
              <c:numCache>
                <c:formatCode>#,##0.0</c:formatCode>
                <c:ptCount val="7"/>
                <c:pt idx="0">
                  <c:v>65.355590859999893</c:v>
                </c:pt>
                <c:pt idx="1">
                  <c:v>59.773291530000051</c:v>
                </c:pt>
                <c:pt idx="2">
                  <c:v>539.35656530999768</c:v>
                </c:pt>
                <c:pt idx="3">
                  <c:v>1736.041461419999</c:v>
                </c:pt>
                <c:pt idx="4">
                  <c:v>1718.1497610400011</c:v>
                </c:pt>
                <c:pt idx="5">
                  <c:v>186.7416001799993</c:v>
                </c:pt>
                <c:pt idx="6">
                  <c:v>-907.44662014000005</c:v>
                </c:pt>
              </c:numCache>
            </c:numRef>
          </c:val>
          <c:extLst>
            <c:ext xmlns:c16="http://schemas.microsoft.com/office/drawing/2014/chart" uri="{C3380CC4-5D6E-409C-BE32-E72D297353CC}">
              <c16:uniqueId val="{00000007-CE1F-489B-B69C-93E50343E7A2}"/>
            </c:ext>
          </c:extLst>
        </c:ser>
        <c:ser>
          <c:idx val="1"/>
          <c:order val="1"/>
          <c:tx>
            <c:strRef>
              <c:f>Sheet1!$C$1</c:f>
              <c:strCache>
                <c:ptCount val="1"/>
                <c:pt idx="0">
                  <c:v>2022</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1F-489B-B69C-93E50343E7A2}"/>
                </c:ext>
              </c:extLst>
            </c:dLbl>
            <c:dLbl>
              <c:idx val="1"/>
              <c:layout>
                <c:manualLayout>
                  <c:x val="0"/>
                  <c:y val="-9.5602294455066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1F-489B-B69C-93E50343E7A2}"/>
                </c:ext>
              </c:extLst>
            </c:dLbl>
            <c:dLbl>
              <c:idx val="2"/>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1F-489B-B69C-93E50343E7A2}"/>
                </c:ext>
              </c:extLst>
            </c:dLbl>
            <c:dLbl>
              <c:idx val="3"/>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1F-489B-B69C-93E50343E7A2}"/>
                </c:ext>
              </c:extLst>
            </c:dLbl>
            <c:dLbl>
              <c:idx val="5"/>
              <c:layout>
                <c:manualLayout>
                  <c:x val="0"/>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E1F-489B-B69C-93E50343E7A2}"/>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E1F-489B-B69C-93E50343E7A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Inversión Real Directa</c:v>
                </c:pt>
                <c:pt idx="2">
                  <c:v>Remuneraciones </c:v>
                </c:pt>
                <c:pt idx="3">
                  <c:v>Bienes y servicios </c:v>
                </c:pt>
                <c:pt idx="4">
                  <c:v>Intereses </c:v>
                </c:pt>
                <c:pt idx="5">
                  <c:v>Trans. De Capital</c:v>
                </c:pt>
                <c:pt idx="6">
                  <c:v>Trans. Corrientes</c:v>
                </c:pt>
              </c:strCache>
            </c:strRef>
          </c:cat>
          <c:val>
            <c:numRef>
              <c:f>Sheet1!$C$2:$C$8</c:f>
              <c:numCache>
                <c:formatCode>#,##0.0</c:formatCode>
                <c:ptCount val="7"/>
                <c:pt idx="0">
                  <c:v>80.154412140000204</c:v>
                </c:pt>
                <c:pt idx="1">
                  <c:v>169.43660782999996</c:v>
                </c:pt>
                <c:pt idx="2">
                  <c:v>191.66409358000237</c:v>
                </c:pt>
                <c:pt idx="3">
                  <c:v>313.94048103000114</c:v>
                </c:pt>
                <c:pt idx="4">
                  <c:v>508.68292072999975</c:v>
                </c:pt>
                <c:pt idx="5">
                  <c:v>909.12793932000022</c:v>
                </c:pt>
                <c:pt idx="6">
                  <c:v>2574.4187352899999</c:v>
                </c:pt>
              </c:numCache>
            </c:numRef>
          </c:val>
          <c:extLst>
            <c:ext xmlns:c16="http://schemas.microsoft.com/office/drawing/2014/chart" uri="{C3380CC4-5D6E-409C-BE32-E72D297353CC}">
              <c16:uniqueId val="{0000000E-CE1F-489B-B69C-93E50343E7A2}"/>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3000"/>
          <c:min val="-10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1000"/>
      </c:valAx>
      <c:spPr>
        <a:pattFill prst="pct5">
          <a:fgClr>
            <a:schemeClr val="bg1">
              <a:lumMod val="85000"/>
            </a:schemeClr>
          </a:fgClr>
          <a:bgClr>
            <a:schemeClr val="bg1"/>
          </a:bgClr>
        </a:pattFill>
        <a:ln>
          <a:noFill/>
        </a:ln>
        <a:effectLst/>
      </c:spPr>
    </c:plotArea>
    <c:legend>
      <c:legendPos val="b"/>
      <c:layout>
        <c:manualLayout>
          <c:xMode val="edge"/>
          <c:yMode val="edge"/>
          <c:x val="0.71056061407961868"/>
          <c:y val="0.70718552684291325"/>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146213430638255E-2"/>
          <c:y val="4.5483174019693165E-2"/>
          <c:w val="0.87037698121307294"/>
          <c:h val="0.75423602553659574"/>
        </c:manualLayout>
      </c:layout>
      <c:barChart>
        <c:barDir val="col"/>
        <c:grouping val="clustered"/>
        <c:varyColors val="0"/>
        <c:ser>
          <c:idx val="1"/>
          <c:order val="1"/>
          <c:tx>
            <c:strRef>
              <c:f>Sheet1!$C$1</c:f>
              <c:strCache>
                <c:ptCount val="1"/>
                <c:pt idx="0">
                  <c:v>2022</c:v>
                </c:pt>
              </c:strCache>
            </c:strRef>
          </c:tx>
          <c:spPr>
            <a:solidFill>
              <a:srgbClr val="31859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31859C"/>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Sheet1!$C$2:$C$13</c:f>
              <c:numCache>
                <c:formatCode>0.0</c:formatCode>
                <c:ptCount val="12"/>
                <c:pt idx="0">
                  <c:v>9.0397193863427816</c:v>
                </c:pt>
                <c:pt idx="1">
                  <c:v>15.744528364482392</c:v>
                </c:pt>
                <c:pt idx="2">
                  <c:v>18.138352996504921</c:v>
                </c:pt>
                <c:pt idx="3">
                  <c:v>14.951290811092406</c:v>
                </c:pt>
                <c:pt idx="4">
                  <c:v>16.626980580658056</c:v>
                </c:pt>
              </c:numCache>
            </c:numRef>
          </c:val>
          <c:extLst>
            <c:ext xmlns:c16="http://schemas.microsoft.com/office/drawing/2014/chart" uri="{C3380CC4-5D6E-409C-BE32-E72D297353CC}">
              <c16:uniqueId val="{00000000-6223-4C2E-9C71-2B33A53CBBCC}"/>
            </c:ext>
          </c:extLst>
        </c:ser>
        <c:dLbls>
          <c:showLegendKey val="0"/>
          <c:showVal val="0"/>
          <c:showCatName val="0"/>
          <c:showSerName val="0"/>
          <c:showPercent val="0"/>
          <c:showBubbleSize val="0"/>
        </c:dLbls>
        <c:gapWidth val="37"/>
        <c:axId val="386382944"/>
        <c:axId val="386383928"/>
      </c:barChart>
      <c:lineChart>
        <c:grouping val="standard"/>
        <c:varyColors val="0"/>
        <c:ser>
          <c:idx val="0"/>
          <c:order val="0"/>
          <c:tx>
            <c:strRef>
              <c:f>Sheet1!$B$1</c:f>
              <c:strCache>
                <c:ptCount val="1"/>
                <c:pt idx="0">
                  <c:v>2021</c:v>
                </c:pt>
              </c:strCache>
            </c:strRef>
          </c:tx>
          <c:spPr>
            <a:ln w="22225" cap="rnd">
              <a:solidFill>
                <a:schemeClr val="accent4">
                  <a:lumMod val="50000"/>
                </a:schemeClr>
              </a:solidFill>
              <a:prstDash val="sysDash"/>
              <a:round/>
            </a:ln>
            <a:effectLst/>
          </c:spPr>
          <c:marker>
            <c:symbol val="triangle"/>
            <c:size val="5"/>
            <c:spPr>
              <a:solidFill>
                <a:srgbClr val="FFC000"/>
              </a:solidFill>
              <a:ln w="9525">
                <a:solidFill>
                  <a:schemeClr val="accent4">
                    <a:lumMod val="50000"/>
                  </a:schemeClr>
                </a:solid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1-6223-4C2E-9C71-2B33A53CBBCC}"/>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2-6223-4C2E-9C71-2B33A53CBBCC}"/>
                </c:ext>
              </c:extLst>
            </c:dLbl>
            <c:dLbl>
              <c:idx val="2"/>
              <c:layout>
                <c:manualLayout>
                  <c:x val="-6.4562410329985692E-2"/>
                  <c:y val="-0.1096374889478337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23-4C2E-9C71-2B33A53CBBCC}"/>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4-6223-4C2E-9C71-2B33A53CBBCC}"/>
                </c:ext>
              </c:extLst>
            </c:dLbl>
            <c:dLbl>
              <c:idx val="4"/>
              <c:layout>
                <c:manualLayout>
                  <c:x val="-6.4562410329985651E-2"/>
                  <c:y val="-5.6587091069849688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23-4C2E-9C71-2B33A53CBBCC}"/>
                </c:ext>
              </c:extLst>
            </c:dLbl>
            <c:dLbl>
              <c:idx val="5"/>
              <c:layout>
                <c:manualLayout>
                  <c:x val="-6.4562410329985651E-2"/>
                  <c:y val="5.540819333922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23-4C2E-9C71-2B33A53CBBCC}"/>
                </c:ext>
              </c:extLst>
            </c:dLbl>
            <c:dLbl>
              <c:idx val="8"/>
              <c:layout>
                <c:manualLayout>
                  <c:x val="-5.499760879961741E-2"/>
                  <c:y val="-5.0692602416740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23-4C2E-9C71-2B33A53CBBCC}"/>
                </c:ext>
              </c:extLst>
            </c:dLbl>
            <c:dLbl>
              <c:idx val="9"/>
              <c:layout>
                <c:manualLayout>
                  <c:x val="-5.9780009564801527E-2"/>
                  <c:y val="5.540819333922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23-4C2E-9C71-2B33A53CBBCC}"/>
                </c:ext>
              </c:extLst>
            </c:dLbl>
            <c:dLbl>
              <c:idx val="10"/>
              <c:layout>
                <c:manualLayout>
                  <c:x val="-3.5868005738880916E-2"/>
                  <c:y val="-6.2481579722959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23-4C2E-9C71-2B33A53CBBCC}"/>
                </c:ext>
              </c:extLst>
            </c:dLbl>
            <c:dLbl>
              <c:idx val="11"/>
              <c:layout>
                <c:manualLayout>
                  <c:x val="-2.191845818411884E-2"/>
                  <c:y val="5.540819333922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23-4C2E-9C71-2B33A53CBBC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Sheet1!$B$2:$B$13</c:f>
              <c:numCache>
                <c:formatCode>0.0</c:formatCode>
                <c:ptCount val="12"/>
                <c:pt idx="0">
                  <c:v>3.6453163052856183</c:v>
                </c:pt>
                <c:pt idx="1">
                  <c:v>5.9151064266832094</c:v>
                </c:pt>
                <c:pt idx="2">
                  <c:v>1.1274104866919572</c:v>
                </c:pt>
                <c:pt idx="3">
                  <c:v>6.9774866153619257</c:v>
                </c:pt>
                <c:pt idx="4">
                  <c:v>10.407434084911557</c:v>
                </c:pt>
                <c:pt idx="5">
                  <c:v>8.2331525982774849</c:v>
                </c:pt>
                <c:pt idx="6">
                  <c:v>10.117607309447223</c:v>
                </c:pt>
                <c:pt idx="7">
                  <c:v>9.7411370682155791</c:v>
                </c:pt>
                <c:pt idx="8">
                  <c:v>9.8421816318711564</c:v>
                </c:pt>
                <c:pt idx="9">
                  <c:v>8.319396414947164</c:v>
                </c:pt>
                <c:pt idx="10">
                  <c:v>9.8016820115595777</c:v>
                </c:pt>
                <c:pt idx="11">
                  <c:v>8.547459675941866</c:v>
                </c:pt>
              </c:numCache>
            </c:numRef>
          </c:val>
          <c:smooth val="0"/>
          <c:extLst>
            <c:ext xmlns:c16="http://schemas.microsoft.com/office/drawing/2014/chart" uri="{C3380CC4-5D6E-409C-BE32-E72D297353CC}">
              <c16:uniqueId val="{0000000B-6223-4C2E-9C71-2B33A53CBBCC}"/>
            </c:ext>
          </c:extLst>
        </c:ser>
        <c:dLbls>
          <c:showLegendKey val="0"/>
          <c:showVal val="0"/>
          <c:showCatName val="0"/>
          <c:showSerName val="0"/>
          <c:showPercent val="0"/>
          <c:showBubbleSize val="0"/>
        </c:dLbls>
        <c:marker val="1"/>
        <c:smooth val="0"/>
        <c:axId val="386382944"/>
        <c:axId val="386383928"/>
      </c:lineChart>
      <c:catAx>
        <c:axId val="3863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383928"/>
        <c:crosses val="autoZero"/>
        <c:auto val="1"/>
        <c:lblAlgn val="ctr"/>
        <c:lblOffset val="100"/>
        <c:noMultiLvlLbl val="0"/>
      </c:catAx>
      <c:valAx>
        <c:axId val="38638392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382944"/>
        <c:crosses val="autoZero"/>
        <c:crossBetween val="between"/>
      </c:valAx>
      <c:spPr>
        <a:noFill/>
        <a:ln>
          <a:noFill/>
        </a:ln>
        <a:effectLst/>
      </c:spPr>
    </c:plotArea>
    <c:legend>
      <c:legendPos val="b"/>
      <c:layout>
        <c:manualLayout>
          <c:xMode val="edge"/>
          <c:yMode val="edge"/>
          <c:x val="0.51261499414438327"/>
          <c:y val="6.5812662011413045E-2"/>
          <c:w val="0.43477859743859132"/>
          <c:h val="0.134779571651686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4.2359886072736733E-2"/>
          <c:w val="0.90422443251375917"/>
          <c:h val="0.8644578898389790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23C0-430F-AB79-5A4C6F6CA456}"/>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23C0-430F-AB79-5A4C6F6CA456}"/>
              </c:ext>
            </c:extLst>
          </c:dPt>
          <c:dLbls>
            <c:dLbl>
              <c:idx val="0"/>
              <c:layout>
                <c:manualLayout>
                  <c:x val="0"/>
                  <c:y val="1.7508953442101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C0-430F-AB79-5A4C6F6CA456}"/>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C0-430F-AB79-5A4C6F6CA456}"/>
                </c:ext>
              </c:extLst>
            </c:dLbl>
            <c:dLbl>
              <c:idx val="2"/>
              <c:layout>
                <c:manualLayout>
                  <c:x val="0"/>
                  <c:y val="7.3350858997778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C0-430F-AB79-5A4C6F6CA456}"/>
                </c:ext>
              </c:extLst>
            </c:dLbl>
            <c:dLbl>
              <c:idx val="3"/>
              <c:layout>
                <c:manualLayout>
                  <c:x val="4.6007900889521915E-3"/>
                  <c:y val="4.6928371768945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C0-430F-AB79-5A4C6F6CA456}"/>
                </c:ext>
              </c:extLst>
            </c:dLbl>
            <c:dLbl>
              <c:idx val="4"/>
              <c:layout>
                <c:manualLayout>
                  <c:x val="9.0578663772474256E-17"/>
                  <c:y val="-9.05151480020429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C0-430F-AB79-5A4C6F6CA456}"/>
                </c:ext>
              </c:extLst>
            </c:dLbl>
            <c:dLbl>
              <c:idx val="5"/>
              <c:layout>
                <c:manualLayout>
                  <c:x val="0"/>
                  <c:y val="0.1245490161601397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C0-430F-AB79-5A4C6F6CA456}"/>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23C0-430F-AB79-5A4C6F6CA45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c:formatCode>
                <c:ptCount val="6"/>
                <c:pt idx="0">
                  <c:v>33.180234651613659</c:v>
                </c:pt>
                <c:pt idx="1">
                  <c:v>34.17463943653793</c:v>
                </c:pt>
                <c:pt idx="2">
                  <c:v>35.167392245162397</c:v>
                </c:pt>
                <c:pt idx="3">
                  <c:v>29.996839293575619</c:v>
                </c:pt>
                <c:pt idx="4">
                  <c:v>31.957983085423137</c:v>
                </c:pt>
                <c:pt idx="5">
                  <c:v>35.287706655677042</c:v>
                </c:pt>
              </c:numCache>
            </c:numRef>
          </c:val>
          <c:extLst>
            <c:ext xmlns:c16="http://schemas.microsoft.com/office/drawing/2014/chart" uri="{C3380CC4-5D6E-409C-BE32-E72D297353CC}">
              <c16:uniqueId val="{00000009-23C0-430F-AB79-5A4C6F6CA456}"/>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3.0310875789735771E-2"/>
                  <c:y val="-0.1194046078502025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23C0-430F-AB79-5A4C6F6CA4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c:formatCode>
                <c:ptCount val="6"/>
                <c:pt idx="0">
                  <c:v>32.895417742462548</c:v>
                </c:pt>
                <c:pt idx="1">
                  <c:v>32.895417742462548</c:v>
                </c:pt>
                <c:pt idx="2">
                  <c:v>32.895417742462548</c:v>
                </c:pt>
                <c:pt idx="3">
                  <c:v>32.895417742462548</c:v>
                </c:pt>
                <c:pt idx="4">
                  <c:v>32.895417742462548</c:v>
                </c:pt>
              </c:numCache>
            </c:numRef>
          </c:val>
          <c:smooth val="0"/>
          <c:extLst>
            <c:ext xmlns:c16="http://schemas.microsoft.com/office/drawing/2014/chart" uri="{C3380CC4-5D6E-409C-BE32-E72D297353CC}">
              <c16:uniqueId val="{0000000B-23C0-430F-AB79-5A4C6F6CA456}"/>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36"/>
          <c:min val="23"/>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497AE-12AA-469A-BD91-B1A23CE8E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6557</Words>
  <Characters>36064</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Enrique De León Meneses</dc:creator>
  <cp:keywords/>
  <dc:description/>
  <cp:lastModifiedBy>Myriam Adelaida Galvez García</cp:lastModifiedBy>
  <cp:revision>2</cp:revision>
  <cp:lastPrinted>2022-02-04T21:28:00Z</cp:lastPrinted>
  <dcterms:created xsi:type="dcterms:W3CDTF">2022-07-15T16:01:00Z</dcterms:created>
  <dcterms:modified xsi:type="dcterms:W3CDTF">2022-07-15T16:01:00Z</dcterms:modified>
</cp:coreProperties>
</file>