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1" w:rsidRPr="00914A1F" w:rsidRDefault="00C2103B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CRONOGRAMA CUMPLIMIENTO DE COMPROMISO</w:t>
      </w:r>
    </w:p>
    <w:p w:rsidR="00C27E94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>PLAN DE ACCIÓN NACIONAL DE GOBIERNO ABIERTO 2016-2018</w:t>
      </w:r>
    </w:p>
    <w:tbl>
      <w:tblPr>
        <w:tblStyle w:val="Tablaconcuadrcula"/>
        <w:tblW w:w="18003" w:type="dxa"/>
        <w:tblInd w:w="-459" w:type="dxa"/>
        <w:tblLook w:val="04A0"/>
      </w:tblPr>
      <w:tblGrid>
        <w:gridCol w:w="4536"/>
        <w:gridCol w:w="13467"/>
      </w:tblGrid>
      <w:tr w:rsidR="00F353B8" w:rsidTr="00695825">
        <w:tc>
          <w:tcPr>
            <w:tcW w:w="18003" w:type="dxa"/>
            <w:gridSpan w:val="2"/>
            <w:shd w:val="clear" w:color="auto" w:fill="000000" w:themeFill="text1"/>
          </w:tcPr>
          <w:p w:rsidR="00F353B8" w:rsidRDefault="00F845EB" w:rsidP="00F845EB">
            <w:pPr>
              <w:jc w:val="center"/>
              <w:rPr>
                <w:b/>
              </w:rPr>
            </w:pPr>
            <w:r w:rsidRPr="00C223DB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17. ACCIONES PARA AVANZAR EN EL CUMPLIMIENTO DEL CÓDIGO Y MANUAL DE TRANSPARENCIA FISCAL DEL FONDO MONETARIO INTERNACIONAL (FMI)</w:t>
            </w:r>
          </w:p>
        </w:tc>
      </w:tr>
      <w:tr w:rsidR="003121D7" w:rsidTr="00695825">
        <w:trPr>
          <w:trHeight w:val="421"/>
        </w:trPr>
        <w:tc>
          <w:tcPr>
            <w:tcW w:w="4536" w:type="dxa"/>
            <w:shd w:val="clear" w:color="auto" w:fill="B8CCE4" w:themeFill="accent1" w:themeFillTint="66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Objetivo del Compromiso</w:t>
            </w:r>
          </w:p>
        </w:tc>
        <w:tc>
          <w:tcPr>
            <w:tcW w:w="13467" w:type="dxa"/>
          </w:tcPr>
          <w:p w:rsidR="003121D7" w:rsidRPr="00965304" w:rsidRDefault="00192C07" w:rsidP="00C27E94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Avanzar en el cumplimiento de los estándares que el Código y Manual de Transparencia Fiscal del FMI establecen, con el propósito que la ciudadanía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conozca la situación de las finanzas públicas del país.</w:t>
            </w:r>
          </w:p>
        </w:tc>
      </w:tr>
      <w:tr w:rsidR="003121D7" w:rsidTr="00695825">
        <w:trPr>
          <w:trHeight w:val="413"/>
        </w:trPr>
        <w:tc>
          <w:tcPr>
            <w:tcW w:w="4536" w:type="dxa"/>
            <w:shd w:val="clear" w:color="auto" w:fill="B8CCE4" w:themeFill="accent1" w:themeFillTint="66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Responsable/s</w:t>
            </w:r>
          </w:p>
        </w:tc>
        <w:tc>
          <w:tcPr>
            <w:tcW w:w="13467" w:type="dxa"/>
          </w:tcPr>
          <w:p w:rsidR="00192C07" w:rsidRPr="00C82570" w:rsidRDefault="00192C07" w:rsidP="00192C07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Víctor Martínez </w:t>
            </w:r>
            <w:r>
              <w:rPr>
                <w:rFonts w:eastAsia="Times New Roman"/>
                <w:color w:val="000000"/>
                <w:szCs w:val="20"/>
              </w:rPr>
              <w:t>- Viceministro</w:t>
            </w:r>
          </w:p>
          <w:p w:rsidR="00192C07" w:rsidRPr="00C82570" w:rsidRDefault="00192C07" w:rsidP="00192C07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Kildare Enríquez DTP</w:t>
            </w:r>
          </w:p>
          <w:p w:rsidR="00192C07" w:rsidRPr="00C82570" w:rsidRDefault="00192C07" w:rsidP="00192C07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Clara Luz Hernández DCE</w:t>
            </w:r>
          </w:p>
          <w:p w:rsidR="00192C07" w:rsidRPr="00C82570" w:rsidRDefault="00192C07" w:rsidP="00192C07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Rosa María Ortega DCP</w:t>
            </w:r>
          </w:p>
          <w:p w:rsidR="00192C07" w:rsidRPr="00C82570" w:rsidRDefault="00192C07" w:rsidP="00192C07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Wendy Beltetón Castellanos TN</w:t>
            </w:r>
          </w:p>
          <w:p w:rsidR="00192C07" w:rsidRPr="00C82570" w:rsidRDefault="00192C07" w:rsidP="00192C07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Carlos A. Mendoza DEF</w:t>
            </w:r>
          </w:p>
          <w:p w:rsidR="00192C07" w:rsidRPr="00192C07" w:rsidRDefault="00192C07" w:rsidP="00192C07">
            <w:pPr>
              <w:numPr>
                <w:ilvl w:val="0"/>
                <w:numId w:val="1"/>
              </w:numPr>
              <w:contextualSpacing/>
            </w:pPr>
            <w:r w:rsidRPr="00C82570">
              <w:rPr>
                <w:rFonts w:eastAsia="Times New Roman"/>
                <w:color w:val="000000"/>
                <w:szCs w:val="20"/>
              </w:rPr>
              <w:t>Juan Sebastián Blass DAPF</w:t>
            </w:r>
          </w:p>
          <w:p w:rsidR="003121D7" w:rsidRPr="00965304" w:rsidRDefault="00192C07" w:rsidP="00192C07">
            <w:pPr>
              <w:numPr>
                <w:ilvl w:val="0"/>
                <w:numId w:val="1"/>
              </w:numPr>
              <w:contextualSpacing/>
            </w:pPr>
            <w:r w:rsidRPr="00C82570">
              <w:rPr>
                <w:rFonts w:eastAsia="Times New Roman"/>
                <w:color w:val="000000"/>
                <w:szCs w:val="20"/>
              </w:rPr>
              <w:t>Luis Albizurez DTI</w:t>
            </w:r>
          </w:p>
        </w:tc>
      </w:tr>
      <w:tr w:rsidR="00192C07" w:rsidTr="006A3287">
        <w:trPr>
          <w:trHeight w:val="419"/>
        </w:trPr>
        <w:tc>
          <w:tcPr>
            <w:tcW w:w="4536" w:type="dxa"/>
            <w:shd w:val="clear" w:color="auto" w:fill="B8CCE4" w:themeFill="accent1" w:themeFillTint="66"/>
          </w:tcPr>
          <w:p w:rsidR="00192C07" w:rsidRDefault="00192C07" w:rsidP="00C27E94">
            <w:pPr>
              <w:jc w:val="both"/>
              <w:rPr>
                <w:b/>
              </w:rPr>
            </w:pPr>
            <w:r>
              <w:rPr>
                <w:b/>
              </w:rPr>
              <w:t>Otros actores</w:t>
            </w:r>
          </w:p>
        </w:tc>
        <w:tc>
          <w:tcPr>
            <w:tcW w:w="13467" w:type="dxa"/>
            <w:vAlign w:val="bottom"/>
          </w:tcPr>
          <w:p w:rsidR="00192C07" w:rsidRPr="00C82570" w:rsidRDefault="00192C07" w:rsidP="006505C8">
            <w:pPr>
              <w:rPr>
                <w:color w:val="000000"/>
              </w:rPr>
            </w:pPr>
            <w:r w:rsidRPr="00C82570">
              <w:rPr>
                <w:color w:val="000000"/>
              </w:rPr>
              <w:t>Secretaría General de la Presidencia de la República</w:t>
            </w:r>
          </w:p>
          <w:p w:rsidR="00192C07" w:rsidRPr="00C82570" w:rsidRDefault="00192C07" w:rsidP="006505C8">
            <w:pPr>
              <w:rPr>
                <w:color w:val="000000"/>
              </w:rPr>
            </w:pPr>
            <w:r w:rsidRPr="00C82570">
              <w:rPr>
                <w:color w:val="000000"/>
              </w:rPr>
              <w:t>Fondo Monetario Internacional</w:t>
            </w:r>
          </w:p>
          <w:p w:rsidR="00192C07" w:rsidRPr="00C82570" w:rsidRDefault="00192C07" w:rsidP="006505C8">
            <w:pPr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color w:val="000000"/>
              </w:rPr>
              <w:t>Organizaciones de sociedad civil que participan en Gobierno Abierto y otros interesados</w:t>
            </w:r>
          </w:p>
        </w:tc>
      </w:tr>
      <w:tr w:rsidR="00192C07" w:rsidTr="006A3287">
        <w:trPr>
          <w:trHeight w:val="397"/>
        </w:trPr>
        <w:tc>
          <w:tcPr>
            <w:tcW w:w="4536" w:type="dxa"/>
            <w:shd w:val="clear" w:color="auto" w:fill="B8CCE4" w:themeFill="accent1" w:themeFillTint="66"/>
          </w:tcPr>
          <w:p w:rsidR="00192C07" w:rsidRDefault="00192C07" w:rsidP="00C27E94">
            <w:pPr>
              <w:jc w:val="both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13467" w:type="dxa"/>
            <w:vAlign w:val="bottom"/>
          </w:tcPr>
          <w:p w:rsidR="00192C07" w:rsidRPr="00C82570" w:rsidRDefault="00192C07" w:rsidP="006505C8">
            <w:pPr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Marzo 2016 – Diciembre 2017</w:t>
            </w:r>
          </w:p>
        </w:tc>
      </w:tr>
    </w:tbl>
    <w:p w:rsidR="00C2103B" w:rsidRDefault="00C2103B" w:rsidP="00C27E94">
      <w:pPr>
        <w:spacing w:after="0"/>
        <w:jc w:val="both"/>
      </w:pPr>
    </w:p>
    <w:tbl>
      <w:tblPr>
        <w:tblStyle w:val="Tablaconcuadrcula"/>
        <w:tblW w:w="0" w:type="auto"/>
        <w:tblInd w:w="-459" w:type="dxa"/>
        <w:tblLayout w:type="fixed"/>
        <w:tblLook w:val="04A0"/>
      </w:tblPr>
      <w:tblGrid>
        <w:gridCol w:w="626"/>
        <w:gridCol w:w="508"/>
        <w:gridCol w:w="7396"/>
        <w:gridCol w:w="350"/>
        <w:gridCol w:w="320"/>
        <w:gridCol w:w="365"/>
        <w:gridCol w:w="361"/>
        <w:gridCol w:w="355"/>
        <w:gridCol w:w="324"/>
        <w:gridCol w:w="317"/>
        <w:gridCol w:w="409"/>
        <w:gridCol w:w="350"/>
        <w:gridCol w:w="409"/>
        <w:gridCol w:w="289"/>
        <w:gridCol w:w="289"/>
        <w:gridCol w:w="350"/>
        <w:gridCol w:w="320"/>
        <w:gridCol w:w="365"/>
        <w:gridCol w:w="361"/>
        <w:gridCol w:w="355"/>
        <w:gridCol w:w="324"/>
        <w:gridCol w:w="317"/>
        <w:gridCol w:w="409"/>
        <w:gridCol w:w="350"/>
        <w:gridCol w:w="409"/>
        <w:gridCol w:w="289"/>
      </w:tblGrid>
      <w:tr w:rsidR="00AE3DBE" w:rsidTr="00223E0A">
        <w:trPr>
          <w:tblHeader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7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</w:p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METAS Y ACTIVIDADES</w:t>
            </w:r>
          </w:p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41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E3DBE" w:rsidRPr="008F712F" w:rsidRDefault="00AE3DBE" w:rsidP="006A6EE3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AE3DBE" w:rsidRPr="008F712F" w:rsidRDefault="00AE3DBE" w:rsidP="006A6EE3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2018</w:t>
            </w:r>
          </w:p>
        </w:tc>
      </w:tr>
      <w:tr w:rsidR="00342977" w:rsidTr="00342977">
        <w:trPr>
          <w:tblHeader/>
        </w:trPr>
        <w:tc>
          <w:tcPr>
            <w:tcW w:w="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A6EE3">
            <w:pPr>
              <w:jc w:val="center"/>
              <w:rPr>
                <w:b/>
              </w:rPr>
            </w:pPr>
          </w:p>
        </w:tc>
        <w:tc>
          <w:tcPr>
            <w:tcW w:w="79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A6EE3">
            <w:pPr>
              <w:jc w:val="both"/>
              <w:rPr>
                <w:b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342977" w:rsidRPr="004D6DE0" w:rsidTr="000A155A">
        <w:tc>
          <w:tcPr>
            <w:tcW w:w="626" w:type="dxa"/>
            <w:vMerge w:val="restart"/>
            <w:tcBorders>
              <w:top w:val="single" w:sz="12" w:space="0" w:color="auto"/>
            </w:tcBorders>
          </w:tcPr>
          <w:p w:rsidR="00342977" w:rsidRPr="00BC3F53" w:rsidRDefault="00342977" w:rsidP="006505C8">
            <w:pPr>
              <w:jc w:val="both"/>
              <w:rPr>
                <w:b/>
              </w:rPr>
            </w:pPr>
            <w:r w:rsidRPr="00BC3F53">
              <w:rPr>
                <w:b/>
              </w:rPr>
              <w:t>1.</w:t>
            </w:r>
          </w:p>
        </w:tc>
        <w:tc>
          <w:tcPr>
            <w:tcW w:w="7904" w:type="dxa"/>
            <w:gridSpan w:val="2"/>
            <w:tcBorders>
              <w:top w:val="single" w:sz="12" w:space="0" w:color="auto"/>
            </w:tcBorders>
          </w:tcPr>
          <w:p w:rsidR="00342977" w:rsidRPr="00C82570" w:rsidRDefault="00342977" w:rsidP="006505C8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Divulgación de:</w:t>
            </w:r>
          </w:p>
          <w:p w:rsidR="00342977" w:rsidRPr="00BC3F53" w:rsidRDefault="00342977" w:rsidP="006505C8">
            <w:pPr>
              <w:spacing w:after="3" w:line="257" w:lineRule="auto"/>
              <w:ind w:left="403"/>
              <w:contextualSpacing/>
              <w:jc w:val="both"/>
              <w:rPr>
                <w:b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20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20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61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</w:tr>
      <w:tr w:rsidR="00342977" w:rsidRPr="004D6DE0" w:rsidTr="00223E0A">
        <w:tc>
          <w:tcPr>
            <w:tcW w:w="626" w:type="dxa"/>
            <w:vMerge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508" w:type="dxa"/>
          </w:tcPr>
          <w:p w:rsidR="00342977" w:rsidRPr="004D6DE0" w:rsidRDefault="00342977" w:rsidP="006A6EE3">
            <w:r>
              <w:t>1.1</w:t>
            </w:r>
          </w:p>
        </w:tc>
        <w:tc>
          <w:tcPr>
            <w:tcW w:w="7396" w:type="dxa"/>
          </w:tcPr>
          <w:p w:rsidR="00342977" w:rsidRPr="004D6DE0" w:rsidRDefault="00342977" w:rsidP="006A6EE3">
            <w:r w:rsidRPr="00C82570">
              <w:rPr>
                <w:rFonts w:eastAsia="Times New Roman"/>
                <w:color w:val="000000"/>
                <w:szCs w:val="20"/>
              </w:rPr>
              <w:t>Informe que contiene los resultados de la Evaluación de Transparencia Fiscal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efectuado por el Fondo Monetario Internacional (FMI),</w:t>
            </w: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AE3DBE"/>
        </w:tc>
        <w:tc>
          <w:tcPr>
            <w:tcW w:w="320" w:type="dxa"/>
            <w:shd w:val="clear" w:color="auto" w:fill="auto"/>
          </w:tcPr>
          <w:p w:rsidR="00342977" w:rsidRPr="004D6DE0" w:rsidRDefault="00342977" w:rsidP="00AE3DBE"/>
        </w:tc>
        <w:tc>
          <w:tcPr>
            <w:tcW w:w="365" w:type="dxa"/>
            <w:shd w:val="clear" w:color="auto" w:fill="auto"/>
          </w:tcPr>
          <w:p w:rsidR="00342977" w:rsidRPr="004D6DE0" w:rsidRDefault="00342977" w:rsidP="00AE3DBE"/>
        </w:tc>
        <w:tc>
          <w:tcPr>
            <w:tcW w:w="361" w:type="dxa"/>
            <w:tcBorders>
              <w:right w:val="single" w:sz="12" w:space="0" w:color="auto"/>
            </w:tcBorders>
            <w:shd w:val="clear" w:color="auto" w:fill="FF0000"/>
          </w:tcPr>
          <w:p w:rsidR="00342977" w:rsidRPr="004D6DE0" w:rsidRDefault="00342977" w:rsidP="00AE3DBE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17" w:type="dxa"/>
            <w:shd w:val="clear" w:color="auto" w:fill="auto"/>
          </w:tcPr>
          <w:p w:rsidR="00342977" w:rsidRPr="004D6DE0" w:rsidRDefault="00342977" w:rsidP="006A6EE3"/>
        </w:tc>
        <w:tc>
          <w:tcPr>
            <w:tcW w:w="409" w:type="dxa"/>
            <w:shd w:val="clear" w:color="auto" w:fill="auto"/>
          </w:tcPr>
          <w:p w:rsidR="00342977" w:rsidRPr="004D6DE0" w:rsidRDefault="00342977" w:rsidP="006A6EE3"/>
        </w:tc>
        <w:tc>
          <w:tcPr>
            <w:tcW w:w="350" w:type="dxa"/>
            <w:shd w:val="clear" w:color="auto" w:fill="auto"/>
          </w:tcPr>
          <w:p w:rsidR="00342977" w:rsidRPr="004D6DE0" w:rsidRDefault="00342977" w:rsidP="006A6EE3"/>
        </w:tc>
        <w:tc>
          <w:tcPr>
            <w:tcW w:w="409" w:type="dxa"/>
            <w:shd w:val="clear" w:color="auto" w:fill="auto"/>
          </w:tcPr>
          <w:p w:rsidR="00342977" w:rsidRPr="004D6DE0" w:rsidRDefault="00342977" w:rsidP="006A6EE3"/>
        </w:tc>
        <w:tc>
          <w:tcPr>
            <w:tcW w:w="289" w:type="dxa"/>
            <w:shd w:val="clear" w:color="auto" w:fill="auto"/>
          </w:tcPr>
          <w:p w:rsidR="00342977" w:rsidRPr="004D6DE0" w:rsidRDefault="00342977" w:rsidP="006A6EE3"/>
        </w:tc>
        <w:tc>
          <w:tcPr>
            <w:tcW w:w="289" w:type="dxa"/>
            <w:shd w:val="clear" w:color="auto" w:fill="auto"/>
          </w:tcPr>
          <w:p w:rsidR="00342977" w:rsidRPr="004D6DE0" w:rsidRDefault="00342977" w:rsidP="006A6EE3"/>
        </w:tc>
        <w:tc>
          <w:tcPr>
            <w:tcW w:w="350" w:type="dxa"/>
            <w:shd w:val="clear" w:color="auto" w:fill="auto"/>
          </w:tcPr>
          <w:p w:rsidR="00342977" w:rsidRPr="004D6DE0" w:rsidRDefault="00342977" w:rsidP="006A6EE3"/>
        </w:tc>
        <w:tc>
          <w:tcPr>
            <w:tcW w:w="320" w:type="dxa"/>
            <w:shd w:val="clear" w:color="auto" w:fill="auto"/>
          </w:tcPr>
          <w:p w:rsidR="00342977" w:rsidRPr="004D6DE0" w:rsidRDefault="00342977" w:rsidP="006A6EE3"/>
        </w:tc>
        <w:tc>
          <w:tcPr>
            <w:tcW w:w="365" w:type="dxa"/>
            <w:shd w:val="clear" w:color="auto" w:fill="auto"/>
          </w:tcPr>
          <w:p w:rsidR="00342977" w:rsidRPr="004D6DE0" w:rsidRDefault="00342977" w:rsidP="006A6EE3"/>
        </w:tc>
        <w:tc>
          <w:tcPr>
            <w:tcW w:w="361" w:type="dxa"/>
            <w:shd w:val="clear" w:color="auto" w:fill="auto"/>
          </w:tcPr>
          <w:p w:rsidR="00342977" w:rsidRPr="004D6DE0" w:rsidRDefault="00342977" w:rsidP="006A6EE3"/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  <w:tc>
          <w:tcPr>
            <w:tcW w:w="317" w:type="dxa"/>
            <w:shd w:val="clear" w:color="auto" w:fill="auto"/>
          </w:tcPr>
          <w:p w:rsidR="00342977" w:rsidRPr="004D6DE0" w:rsidRDefault="00342977" w:rsidP="006A6EE3"/>
        </w:tc>
        <w:tc>
          <w:tcPr>
            <w:tcW w:w="409" w:type="dxa"/>
            <w:shd w:val="clear" w:color="auto" w:fill="auto"/>
          </w:tcPr>
          <w:p w:rsidR="00342977" w:rsidRPr="004D6DE0" w:rsidRDefault="00342977" w:rsidP="006A6EE3"/>
        </w:tc>
        <w:tc>
          <w:tcPr>
            <w:tcW w:w="350" w:type="dxa"/>
            <w:shd w:val="clear" w:color="auto" w:fill="auto"/>
          </w:tcPr>
          <w:p w:rsidR="00342977" w:rsidRPr="004D6DE0" w:rsidRDefault="00342977" w:rsidP="006A6EE3"/>
        </w:tc>
        <w:tc>
          <w:tcPr>
            <w:tcW w:w="409" w:type="dxa"/>
            <w:shd w:val="clear" w:color="auto" w:fill="auto"/>
          </w:tcPr>
          <w:p w:rsidR="00342977" w:rsidRPr="004D6DE0" w:rsidRDefault="00342977" w:rsidP="006A6EE3"/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6A6EE3"/>
        </w:tc>
      </w:tr>
      <w:tr w:rsidR="00342977" w:rsidRPr="004D6DE0" w:rsidTr="00223E0A">
        <w:tc>
          <w:tcPr>
            <w:tcW w:w="626" w:type="dxa"/>
            <w:vMerge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508" w:type="dxa"/>
          </w:tcPr>
          <w:p w:rsidR="00342977" w:rsidRPr="004D6DE0" w:rsidRDefault="00342977" w:rsidP="006A6EE3">
            <w:pPr>
              <w:jc w:val="both"/>
            </w:pPr>
            <w:r>
              <w:t>1.2</w:t>
            </w:r>
          </w:p>
        </w:tc>
        <w:tc>
          <w:tcPr>
            <w:tcW w:w="7396" w:type="dxa"/>
          </w:tcPr>
          <w:p w:rsidR="00342977" w:rsidRPr="004D6DE0" w:rsidRDefault="00342977" w:rsidP="006A6EE3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Plan de trabajo que establezca metas de implementación para garantizar avances en el cumplimiento en el país del Código y del Manual de Transparencia Fiscal del FMI.</w:t>
            </w: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AE3DBE"/>
        </w:tc>
        <w:tc>
          <w:tcPr>
            <w:tcW w:w="320" w:type="dxa"/>
            <w:shd w:val="clear" w:color="auto" w:fill="auto"/>
          </w:tcPr>
          <w:p w:rsidR="00342977" w:rsidRPr="004D6DE0" w:rsidRDefault="00342977" w:rsidP="00AE3DBE"/>
        </w:tc>
        <w:tc>
          <w:tcPr>
            <w:tcW w:w="365" w:type="dxa"/>
            <w:shd w:val="clear" w:color="auto" w:fill="auto"/>
          </w:tcPr>
          <w:p w:rsidR="00342977" w:rsidRPr="004D6DE0" w:rsidRDefault="00342977" w:rsidP="00AE3DBE"/>
        </w:tc>
        <w:tc>
          <w:tcPr>
            <w:tcW w:w="361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42977" w:rsidRPr="004D6DE0" w:rsidRDefault="00342977" w:rsidP="00AE3DBE"/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FFFF00"/>
          </w:tcPr>
          <w:p w:rsidR="00342977" w:rsidRPr="004D6DE0" w:rsidRDefault="00342977" w:rsidP="00AE3DBE"/>
        </w:tc>
        <w:tc>
          <w:tcPr>
            <w:tcW w:w="317" w:type="dxa"/>
            <w:shd w:val="clear" w:color="auto" w:fill="FFFF00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FFFF00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5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1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17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</w:tr>
      <w:tr w:rsidR="00342977" w:rsidRPr="004D6DE0" w:rsidTr="00090B20">
        <w:tc>
          <w:tcPr>
            <w:tcW w:w="626" w:type="dxa"/>
            <w:vMerge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508" w:type="dxa"/>
          </w:tcPr>
          <w:p w:rsidR="00342977" w:rsidRPr="004D6DE0" w:rsidRDefault="00342977" w:rsidP="006A6EE3">
            <w:pPr>
              <w:jc w:val="both"/>
            </w:pPr>
            <w:r>
              <w:t>1.3</w:t>
            </w:r>
          </w:p>
        </w:tc>
        <w:tc>
          <w:tcPr>
            <w:tcW w:w="7396" w:type="dxa"/>
          </w:tcPr>
          <w:p w:rsidR="00342977" w:rsidRPr="004D6DE0" w:rsidRDefault="00342977" w:rsidP="006A6EE3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Mecanismos de colaboración con sociedad civil que podrán ser establecidos para ese proceso.</w:t>
            </w: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AE3DBE"/>
        </w:tc>
        <w:tc>
          <w:tcPr>
            <w:tcW w:w="320" w:type="dxa"/>
            <w:shd w:val="clear" w:color="auto" w:fill="auto"/>
          </w:tcPr>
          <w:p w:rsidR="00342977" w:rsidRPr="004D6DE0" w:rsidRDefault="00342977" w:rsidP="00AE3DBE"/>
        </w:tc>
        <w:tc>
          <w:tcPr>
            <w:tcW w:w="365" w:type="dxa"/>
            <w:shd w:val="clear" w:color="auto" w:fill="auto"/>
          </w:tcPr>
          <w:p w:rsidR="00342977" w:rsidRPr="004D6DE0" w:rsidRDefault="00342977" w:rsidP="00AE3DBE"/>
        </w:tc>
        <w:tc>
          <w:tcPr>
            <w:tcW w:w="361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17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FFFF00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FFFF00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shd w:val="clear" w:color="auto" w:fill="FFFF00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shd w:val="clear" w:color="auto" w:fill="FFFF00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FFFF00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5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1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17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</w:tr>
      <w:tr w:rsidR="000A155A" w:rsidRPr="004D6DE0" w:rsidTr="00090B20">
        <w:tc>
          <w:tcPr>
            <w:tcW w:w="626" w:type="dxa"/>
            <w:vMerge w:val="restart"/>
          </w:tcPr>
          <w:p w:rsidR="00342977" w:rsidRPr="00BC3F53" w:rsidRDefault="00342977" w:rsidP="006505C8">
            <w:pPr>
              <w:jc w:val="both"/>
              <w:rPr>
                <w:b/>
              </w:rPr>
            </w:pPr>
            <w:r w:rsidRPr="00BC3F53">
              <w:rPr>
                <w:b/>
              </w:rPr>
              <w:t>2.</w:t>
            </w:r>
          </w:p>
        </w:tc>
        <w:tc>
          <w:tcPr>
            <w:tcW w:w="7904" w:type="dxa"/>
            <w:gridSpan w:val="2"/>
            <w:vAlign w:val="center"/>
          </w:tcPr>
          <w:p w:rsidR="00342977" w:rsidRPr="00C82570" w:rsidRDefault="00342977" w:rsidP="006505C8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Inclusión en el Proyecto de Presupuesto General de Ingresos y Egresos del Estado de cada año, del apartado sobre Riesgos Fiscales, en atención a las recomendaciones del Fondo Monetario Internacional, según la Evaluación de Transparencia Fiscal que </w:t>
            </w:r>
            <w:r w:rsidRPr="00C82570">
              <w:rPr>
                <w:rFonts w:eastAsia="Times New Roman"/>
                <w:color w:val="000000"/>
                <w:szCs w:val="20"/>
              </w:rPr>
              <w:lastRenderedPageBreak/>
              <w:t>recientemente practicó en el país.</w:t>
            </w:r>
          </w:p>
        </w:tc>
        <w:tc>
          <w:tcPr>
            <w:tcW w:w="350" w:type="dxa"/>
            <w:shd w:val="clear" w:color="auto" w:fill="FF0000"/>
          </w:tcPr>
          <w:p w:rsidR="00342977" w:rsidRPr="004D6DE0" w:rsidRDefault="00342977" w:rsidP="00AE3DBE"/>
        </w:tc>
        <w:tc>
          <w:tcPr>
            <w:tcW w:w="320" w:type="dxa"/>
            <w:shd w:val="clear" w:color="auto" w:fill="FF0000"/>
          </w:tcPr>
          <w:p w:rsidR="00342977" w:rsidRPr="004D6DE0" w:rsidRDefault="00342977" w:rsidP="00AE3DBE"/>
        </w:tc>
        <w:tc>
          <w:tcPr>
            <w:tcW w:w="365" w:type="dxa"/>
            <w:shd w:val="clear" w:color="auto" w:fill="auto"/>
          </w:tcPr>
          <w:p w:rsidR="00342977" w:rsidRPr="004D6DE0" w:rsidRDefault="00342977" w:rsidP="00AE3DBE"/>
        </w:tc>
        <w:tc>
          <w:tcPr>
            <w:tcW w:w="361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uto"/>
          </w:tcPr>
          <w:p w:rsidR="00342977" w:rsidRPr="004D6DE0" w:rsidRDefault="00342977" w:rsidP="00AE3DBE"/>
        </w:tc>
        <w:tc>
          <w:tcPr>
            <w:tcW w:w="317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5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1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auto"/>
            </w:tcBorders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17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</w:tr>
      <w:tr w:rsidR="00342977" w:rsidRPr="004D6DE0" w:rsidTr="00342977">
        <w:tc>
          <w:tcPr>
            <w:tcW w:w="626" w:type="dxa"/>
            <w:vMerge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508" w:type="dxa"/>
          </w:tcPr>
          <w:p w:rsidR="00342977" w:rsidRPr="004D6DE0" w:rsidRDefault="00342977" w:rsidP="006A6EE3">
            <w:pPr>
              <w:jc w:val="both"/>
            </w:pPr>
            <w:r>
              <w:t>2.1</w:t>
            </w:r>
          </w:p>
        </w:tc>
        <w:tc>
          <w:tcPr>
            <w:tcW w:w="7396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AE3DBE"/>
        </w:tc>
        <w:tc>
          <w:tcPr>
            <w:tcW w:w="320" w:type="dxa"/>
          </w:tcPr>
          <w:p w:rsidR="00342977" w:rsidRPr="004D6DE0" w:rsidRDefault="00342977" w:rsidP="00AE3DBE"/>
        </w:tc>
        <w:tc>
          <w:tcPr>
            <w:tcW w:w="365" w:type="dxa"/>
          </w:tcPr>
          <w:p w:rsidR="00342977" w:rsidRPr="004D6DE0" w:rsidRDefault="00342977" w:rsidP="00AE3DBE"/>
        </w:tc>
        <w:tc>
          <w:tcPr>
            <w:tcW w:w="361" w:type="dxa"/>
            <w:tcBorders>
              <w:right w:val="single" w:sz="12" w:space="0" w:color="auto"/>
            </w:tcBorders>
          </w:tcPr>
          <w:p w:rsidR="00342977" w:rsidRPr="004D6DE0" w:rsidRDefault="00342977" w:rsidP="00AE3DBE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77" w:rsidRPr="004D6DE0" w:rsidRDefault="00342977" w:rsidP="00AE3DBE"/>
        </w:tc>
        <w:tc>
          <w:tcPr>
            <w:tcW w:w="324" w:type="dxa"/>
            <w:tcBorders>
              <w:left w:val="single" w:sz="12" w:space="0" w:color="auto"/>
            </w:tcBorders>
          </w:tcPr>
          <w:p w:rsidR="00342977" w:rsidRPr="004D6DE0" w:rsidRDefault="00342977" w:rsidP="00AE3DBE"/>
        </w:tc>
        <w:tc>
          <w:tcPr>
            <w:tcW w:w="317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5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1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17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342977" w:rsidRPr="004D6DE0" w:rsidRDefault="00342977" w:rsidP="006A6EE3">
            <w:pPr>
              <w:jc w:val="both"/>
            </w:pPr>
          </w:p>
        </w:tc>
      </w:tr>
      <w:tr w:rsidR="00342977" w:rsidRPr="004D6DE0" w:rsidTr="00342977">
        <w:tc>
          <w:tcPr>
            <w:tcW w:w="626" w:type="dxa"/>
            <w:vMerge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508" w:type="dxa"/>
          </w:tcPr>
          <w:p w:rsidR="00342977" w:rsidRPr="004D6DE0" w:rsidRDefault="00342977" w:rsidP="006A6EE3">
            <w:pPr>
              <w:jc w:val="both"/>
            </w:pPr>
            <w:r>
              <w:t>2.2</w:t>
            </w:r>
          </w:p>
        </w:tc>
        <w:tc>
          <w:tcPr>
            <w:tcW w:w="7396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AE3DBE"/>
        </w:tc>
        <w:tc>
          <w:tcPr>
            <w:tcW w:w="320" w:type="dxa"/>
          </w:tcPr>
          <w:p w:rsidR="00342977" w:rsidRPr="004D6DE0" w:rsidRDefault="00342977" w:rsidP="00AE3DBE"/>
        </w:tc>
        <w:tc>
          <w:tcPr>
            <w:tcW w:w="365" w:type="dxa"/>
          </w:tcPr>
          <w:p w:rsidR="00342977" w:rsidRPr="004D6DE0" w:rsidRDefault="00342977" w:rsidP="00AE3DBE"/>
        </w:tc>
        <w:tc>
          <w:tcPr>
            <w:tcW w:w="361" w:type="dxa"/>
            <w:tcBorders>
              <w:right w:val="single" w:sz="12" w:space="0" w:color="auto"/>
            </w:tcBorders>
          </w:tcPr>
          <w:p w:rsidR="00342977" w:rsidRPr="004D6DE0" w:rsidRDefault="00342977" w:rsidP="00AE3DBE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77" w:rsidRPr="004D6DE0" w:rsidRDefault="00342977" w:rsidP="00AE3DBE"/>
        </w:tc>
        <w:tc>
          <w:tcPr>
            <w:tcW w:w="324" w:type="dxa"/>
            <w:tcBorders>
              <w:left w:val="single" w:sz="12" w:space="0" w:color="auto"/>
            </w:tcBorders>
          </w:tcPr>
          <w:p w:rsidR="00342977" w:rsidRPr="004D6DE0" w:rsidRDefault="00342977" w:rsidP="00AE3DBE"/>
        </w:tc>
        <w:tc>
          <w:tcPr>
            <w:tcW w:w="317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5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1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17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342977" w:rsidRPr="004D6DE0" w:rsidRDefault="00342977" w:rsidP="006A6EE3">
            <w:pPr>
              <w:jc w:val="both"/>
            </w:pPr>
          </w:p>
        </w:tc>
      </w:tr>
      <w:tr w:rsidR="00342977" w:rsidRPr="004D6DE0" w:rsidTr="00342977">
        <w:tc>
          <w:tcPr>
            <w:tcW w:w="626" w:type="dxa"/>
            <w:vMerge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508" w:type="dxa"/>
          </w:tcPr>
          <w:p w:rsidR="00342977" w:rsidRPr="004D6DE0" w:rsidRDefault="00342977" w:rsidP="006A6EE3">
            <w:pPr>
              <w:jc w:val="both"/>
            </w:pPr>
            <w:r>
              <w:t>2.3</w:t>
            </w:r>
          </w:p>
        </w:tc>
        <w:tc>
          <w:tcPr>
            <w:tcW w:w="7396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AE3DBE"/>
        </w:tc>
        <w:tc>
          <w:tcPr>
            <w:tcW w:w="320" w:type="dxa"/>
          </w:tcPr>
          <w:p w:rsidR="00342977" w:rsidRPr="004D6DE0" w:rsidRDefault="00342977" w:rsidP="00AE3DBE"/>
        </w:tc>
        <w:tc>
          <w:tcPr>
            <w:tcW w:w="365" w:type="dxa"/>
          </w:tcPr>
          <w:p w:rsidR="00342977" w:rsidRPr="004D6DE0" w:rsidRDefault="00342977" w:rsidP="00AE3DBE"/>
        </w:tc>
        <w:tc>
          <w:tcPr>
            <w:tcW w:w="361" w:type="dxa"/>
            <w:tcBorders>
              <w:right w:val="single" w:sz="12" w:space="0" w:color="auto"/>
            </w:tcBorders>
          </w:tcPr>
          <w:p w:rsidR="00342977" w:rsidRPr="004D6DE0" w:rsidRDefault="00342977" w:rsidP="00AE3DBE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77" w:rsidRPr="004D6DE0" w:rsidRDefault="00342977" w:rsidP="00AE3DBE"/>
        </w:tc>
        <w:tc>
          <w:tcPr>
            <w:tcW w:w="324" w:type="dxa"/>
            <w:tcBorders>
              <w:left w:val="single" w:sz="12" w:space="0" w:color="auto"/>
            </w:tcBorders>
          </w:tcPr>
          <w:p w:rsidR="00342977" w:rsidRPr="004D6DE0" w:rsidRDefault="00342977" w:rsidP="00AE3DBE"/>
        </w:tc>
        <w:tc>
          <w:tcPr>
            <w:tcW w:w="317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5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1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5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4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17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</w:tcPr>
          <w:p w:rsidR="00342977" w:rsidRPr="004D6DE0" w:rsidRDefault="00342977" w:rsidP="006A6EE3">
            <w:pPr>
              <w:jc w:val="both"/>
            </w:pPr>
          </w:p>
        </w:tc>
      </w:tr>
      <w:tr w:rsidR="000A155A" w:rsidRPr="004D6DE0" w:rsidTr="000A155A">
        <w:tc>
          <w:tcPr>
            <w:tcW w:w="626" w:type="dxa"/>
            <w:vMerge w:val="restart"/>
          </w:tcPr>
          <w:p w:rsidR="00342977" w:rsidRPr="009E3903" w:rsidRDefault="00342977" w:rsidP="006505C8">
            <w:pPr>
              <w:jc w:val="both"/>
              <w:rPr>
                <w:b/>
              </w:rPr>
            </w:pPr>
            <w:r w:rsidRPr="009E3903">
              <w:rPr>
                <w:b/>
              </w:rPr>
              <w:t>3.</w:t>
            </w:r>
          </w:p>
        </w:tc>
        <w:tc>
          <w:tcPr>
            <w:tcW w:w="7904" w:type="dxa"/>
            <w:gridSpan w:val="2"/>
            <w:vAlign w:val="center"/>
          </w:tcPr>
          <w:p w:rsidR="00342977" w:rsidRPr="00C82570" w:rsidRDefault="00342977" w:rsidP="006505C8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Promoción, divulgación e implementación de mecanismos para garantizar el uso de las guías elaboradas por el MINFIN para dar cumplimiento a los artículos 4, 17 Bis y 17 Ter del Decreto 101-97 del Congreso de la República, Ley Orgánica del Presupuesto, que establecen obligaciones específicas para favorecer la rendición de cuentas.</w:t>
            </w:r>
          </w:p>
        </w:tc>
        <w:tc>
          <w:tcPr>
            <w:tcW w:w="350" w:type="dxa"/>
          </w:tcPr>
          <w:p w:rsidR="00342977" w:rsidRPr="004D6DE0" w:rsidRDefault="00342977" w:rsidP="00AE3DBE"/>
        </w:tc>
        <w:tc>
          <w:tcPr>
            <w:tcW w:w="320" w:type="dxa"/>
          </w:tcPr>
          <w:p w:rsidR="00342977" w:rsidRPr="004D6DE0" w:rsidRDefault="00342977" w:rsidP="00AE3DBE"/>
        </w:tc>
        <w:tc>
          <w:tcPr>
            <w:tcW w:w="365" w:type="dxa"/>
          </w:tcPr>
          <w:p w:rsidR="00342977" w:rsidRPr="004D6DE0" w:rsidRDefault="00342977" w:rsidP="00AE3DBE"/>
        </w:tc>
        <w:tc>
          <w:tcPr>
            <w:tcW w:w="361" w:type="dxa"/>
          </w:tcPr>
          <w:p w:rsidR="00342977" w:rsidRPr="004D6DE0" w:rsidRDefault="00342977" w:rsidP="00AE3DBE"/>
        </w:tc>
        <w:tc>
          <w:tcPr>
            <w:tcW w:w="355" w:type="dxa"/>
            <w:tcBorders>
              <w:top w:val="single" w:sz="12" w:space="0" w:color="auto"/>
            </w:tcBorders>
          </w:tcPr>
          <w:p w:rsidR="00342977" w:rsidRPr="004D6DE0" w:rsidRDefault="00342977" w:rsidP="00AE3DBE"/>
        </w:tc>
        <w:tc>
          <w:tcPr>
            <w:tcW w:w="324" w:type="dxa"/>
            <w:shd w:val="clear" w:color="auto" w:fill="auto"/>
          </w:tcPr>
          <w:p w:rsidR="00342977" w:rsidRPr="004D6DE0" w:rsidRDefault="00342977" w:rsidP="00AE3DBE"/>
        </w:tc>
        <w:tc>
          <w:tcPr>
            <w:tcW w:w="317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5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61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5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24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17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  <w:tc>
          <w:tcPr>
            <w:tcW w:w="289" w:type="dxa"/>
            <w:shd w:val="clear" w:color="auto" w:fill="auto"/>
          </w:tcPr>
          <w:p w:rsidR="00342977" w:rsidRPr="004D6DE0" w:rsidRDefault="00342977" w:rsidP="006A6EE3">
            <w:pPr>
              <w:jc w:val="both"/>
            </w:pPr>
          </w:p>
        </w:tc>
      </w:tr>
      <w:tr w:rsidR="00A202CB" w:rsidRPr="004D6DE0" w:rsidTr="004C7539">
        <w:tc>
          <w:tcPr>
            <w:tcW w:w="626" w:type="dxa"/>
            <w:vMerge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508" w:type="dxa"/>
          </w:tcPr>
          <w:p w:rsidR="00A202CB" w:rsidRPr="004D6DE0" w:rsidRDefault="00A202CB" w:rsidP="006A6EE3">
            <w:pPr>
              <w:jc w:val="both"/>
            </w:pPr>
            <w:r>
              <w:t>3.1</w:t>
            </w:r>
          </w:p>
        </w:tc>
        <w:tc>
          <w:tcPr>
            <w:tcW w:w="7396" w:type="dxa"/>
          </w:tcPr>
          <w:p w:rsidR="00A202CB" w:rsidRPr="004D6DE0" w:rsidRDefault="00A202CB" w:rsidP="00D25253">
            <w:pPr>
              <w:jc w:val="both"/>
            </w:pPr>
            <w:r>
              <w:t>Envío de nota u oficio circular a las entidades para la utilización de las guías identificadas, indicando la responsabilidad de su utilización</w:t>
            </w: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1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4" w:type="dxa"/>
            <w:shd w:val="clear" w:color="auto" w:fill="FFFF00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17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0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5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1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5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4" w:type="dxa"/>
            <w:shd w:val="clear" w:color="auto" w:fill="00FF00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17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  <w:shd w:val="clear" w:color="auto" w:fill="auto"/>
          </w:tcPr>
          <w:p w:rsidR="00A202CB" w:rsidRPr="004D6DE0" w:rsidRDefault="00A202CB" w:rsidP="006A6EE3">
            <w:pPr>
              <w:jc w:val="both"/>
            </w:pPr>
          </w:p>
        </w:tc>
      </w:tr>
      <w:tr w:rsidR="00A202CB" w:rsidRPr="004D6DE0" w:rsidTr="004C7539">
        <w:tc>
          <w:tcPr>
            <w:tcW w:w="626" w:type="dxa"/>
            <w:vMerge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508" w:type="dxa"/>
          </w:tcPr>
          <w:p w:rsidR="00A202CB" w:rsidRPr="004D6DE0" w:rsidRDefault="00A202CB" w:rsidP="006A6EE3">
            <w:pPr>
              <w:jc w:val="both"/>
            </w:pPr>
            <w:r>
              <w:t>3.2</w:t>
            </w:r>
          </w:p>
        </w:tc>
        <w:tc>
          <w:tcPr>
            <w:tcW w:w="7396" w:type="dxa"/>
          </w:tcPr>
          <w:p w:rsidR="00A202CB" w:rsidRPr="004D6DE0" w:rsidRDefault="00A202CB" w:rsidP="00D25253">
            <w:pPr>
              <w:jc w:val="both"/>
            </w:pPr>
            <w:r>
              <w:t>Matriz de publicación de las entidades que dan cumplimiento o no a la utilización de las guías</w:t>
            </w: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1" w:type="dxa"/>
            <w:shd w:val="clear" w:color="auto" w:fill="FF0000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4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17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  <w:shd w:val="clear" w:color="auto" w:fill="FFFF00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1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4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17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  <w:shd w:val="clear" w:color="auto" w:fill="00FF00"/>
          </w:tcPr>
          <w:p w:rsidR="00A202CB" w:rsidRPr="004D6DE0" w:rsidRDefault="00A202CB" w:rsidP="006A6EE3">
            <w:pPr>
              <w:jc w:val="both"/>
            </w:pPr>
          </w:p>
        </w:tc>
      </w:tr>
      <w:tr w:rsidR="00A202CB" w:rsidRPr="004D6DE0" w:rsidTr="00342977">
        <w:tc>
          <w:tcPr>
            <w:tcW w:w="626" w:type="dxa"/>
            <w:vMerge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508" w:type="dxa"/>
          </w:tcPr>
          <w:p w:rsidR="00A202CB" w:rsidRPr="004D6DE0" w:rsidRDefault="00A202CB" w:rsidP="006A6EE3">
            <w:pPr>
              <w:jc w:val="both"/>
            </w:pPr>
            <w:r>
              <w:t>3.3</w:t>
            </w:r>
          </w:p>
        </w:tc>
        <w:tc>
          <w:tcPr>
            <w:tcW w:w="7396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1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4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17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1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4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17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</w:tcPr>
          <w:p w:rsidR="00A202CB" w:rsidRPr="004D6DE0" w:rsidRDefault="00A202CB" w:rsidP="006A6EE3">
            <w:pPr>
              <w:jc w:val="both"/>
            </w:pPr>
          </w:p>
        </w:tc>
      </w:tr>
      <w:tr w:rsidR="00A202CB" w:rsidRPr="004D6DE0" w:rsidTr="000F528E">
        <w:tc>
          <w:tcPr>
            <w:tcW w:w="626" w:type="dxa"/>
          </w:tcPr>
          <w:p w:rsidR="00A202CB" w:rsidRPr="00BC3F53" w:rsidRDefault="00A202CB" w:rsidP="006505C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BC3F53">
              <w:rPr>
                <w:b/>
              </w:rPr>
              <w:t>.</w:t>
            </w:r>
          </w:p>
        </w:tc>
        <w:tc>
          <w:tcPr>
            <w:tcW w:w="7904" w:type="dxa"/>
            <w:gridSpan w:val="2"/>
          </w:tcPr>
          <w:p w:rsidR="00A202CB" w:rsidRPr="004D6DE0" w:rsidRDefault="00A202CB" w:rsidP="006A6EE3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Estudio/diagnóstico sobre los desafíos de carácter legal, técnicos, informáticos o de otra índole que afectan la consolidación de la cuenta contable y financiera del Sector Público No Financiero (SPNF).</w:t>
            </w: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1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4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17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61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5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24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17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350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409" w:type="dxa"/>
          </w:tcPr>
          <w:p w:rsidR="00A202CB" w:rsidRPr="004D6DE0" w:rsidRDefault="00A202CB" w:rsidP="006A6EE3">
            <w:pPr>
              <w:jc w:val="both"/>
            </w:pPr>
          </w:p>
        </w:tc>
        <w:tc>
          <w:tcPr>
            <w:tcW w:w="289" w:type="dxa"/>
          </w:tcPr>
          <w:p w:rsidR="00A202CB" w:rsidRPr="004D6DE0" w:rsidRDefault="00A202CB" w:rsidP="006A6EE3">
            <w:pPr>
              <w:jc w:val="both"/>
            </w:pPr>
          </w:p>
        </w:tc>
      </w:tr>
      <w:tr w:rsidR="00376428" w:rsidRPr="004D6DE0" w:rsidTr="00382ED4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r>
              <w:t>4.1</w:t>
            </w:r>
          </w:p>
        </w:tc>
        <w:tc>
          <w:tcPr>
            <w:tcW w:w="7396" w:type="dxa"/>
          </w:tcPr>
          <w:p w:rsidR="00376428" w:rsidRPr="004D6DE0" w:rsidRDefault="00376428" w:rsidP="00D25253">
            <w:r>
              <w:t>Conformación de equipo técnico para la realización del estudio diagnóstico, y elaboración de plan de trabajo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382ED4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4.2</w:t>
            </w:r>
          </w:p>
        </w:tc>
        <w:tc>
          <w:tcPr>
            <w:tcW w:w="7396" w:type="dxa"/>
          </w:tcPr>
          <w:p w:rsidR="00376428" w:rsidRPr="004D6DE0" w:rsidRDefault="00376428" w:rsidP="00D25253">
            <w:pPr>
              <w:jc w:val="both"/>
            </w:pPr>
            <w:r>
              <w:t>Reuniones periódicas de trabajo para la elaboración del estudio diagnóstico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382ED4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4.3</w:t>
            </w:r>
          </w:p>
        </w:tc>
        <w:tc>
          <w:tcPr>
            <w:tcW w:w="7396" w:type="dxa"/>
          </w:tcPr>
          <w:p w:rsidR="00376428" w:rsidRPr="004D6DE0" w:rsidRDefault="00376428" w:rsidP="00D25253">
            <w:pPr>
              <w:jc w:val="both"/>
            </w:pPr>
            <w:r>
              <w:t>Presentación y validación del estudio diagnóstico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  <w:shd w:val="clear" w:color="auto" w:fill="FFFF00"/>
          </w:tcPr>
          <w:p w:rsidR="00376428" w:rsidRPr="00382ED4" w:rsidRDefault="00376428" w:rsidP="006A6EE3">
            <w:pPr>
              <w:jc w:val="both"/>
              <w:rPr>
                <w:highlight w:val="yellow"/>
              </w:rPr>
            </w:pPr>
          </w:p>
        </w:tc>
        <w:tc>
          <w:tcPr>
            <w:tcW w:w="350" w:type="dxa"/>
            <w:shd w:val="clear" w:color="auto" w:fill="FFFF00"/>
          </w:tcPr>
          <w:p w:rsidR="00376428" w:rsidRPr="00382ED4" w:rsidRDefault="00376428" w:rsidP="006A6EE3">
            <w:pPr>
              <w:jc w:val="both"/>
              <w:rPr>
                <w:highlight w:val="yellow"/>
              </w:rPr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5F3A7F">
        <w:tc>
          <w:tcPr>
            <w:tcW w:w="626" w:type="dxa"/>
          </w:tcPr>
          <w:p w:rsidR="00376428" w:rsidRPr="00BC3F53" w:rsidRDefault="00376428" w:rsidP="006505C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BC3F53">
              <w:rPr>
                <w:b/>
              </w:rPr>
              <w:t>.</w:t>
            </w:r>
          </w:p>
        </w:tc>
        <w:tc>
          <w:tcPr>
            <w:tcW w:w="7904" w:type="dxa"/>
            <w:gridSpan w:val="2"/>
          </w:tcPr>
          <w:p w:rsidR="00376428" w:rsidRPr="004D6DE0" w:rsidRDefault="00376428" w:rsidP="006505C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Consolidación del Sector Público No Financiero (consolidación de transferencias interinstitucionales programadas en los grupos de gasto 4 Transferencias Corrientes y 5 Transferencias de Capital)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6732ED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5.1</w:t>
            </w:r>
          </w:p>
        </w:tc>
        <w:tc>
          <w:tcPr>
            <w:tcW w:w="7396" w:type="dxa"/>
          </w:tcPr>
          <w:p w:rsidR="00376428" w:rsidRPr="004D6DE0" w:rsidRDefault="00376428" w:rsidP="00D25253">
            <w:pPr>
              <w:jc w:val="both"/>
            </w:pPr>
            <w:r>
              <w:t>Conformación del equipo de trabajo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227EC0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5.2</w:t>
            </w:r>
          </w:p>
        </w:tc>
        <w:tc>
          <w:tcPr>
            <w:tcW w:w="7396" w:type="dxa"/>
          </w:tcPr>
          <w:p w:rsidR="00376428" w:rsidRPr="004D6DE0" w:rsidRDefault="00376428" w:rsidP="00D25253">
            <w:pPr>
              <w:jc w:val="both"/>
            </w:pPr>
            <w:r>
              <w:t>Elaboración de agenda de trabajo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227EC0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5.3</w:t>
            </w:r>
          </w:p>
        </w:tc>
        <w:tc>
          <w:tcPr>
            <w:tcW w:w="7396" w:type="dxa"/>
          </w:tcPr>
          <w:p w:rsidR="00376428" w:rsidRPr="004D6DE0" w:rsidRDefault="00376428" w:rsidP="00D25253">
            <w:pPr>
              <w:jc w:val="both"/>
            </w:pPr>
            <w:r>
              <w:t>Elaboración y revisión  de la matriz de transacciones de Gobierno Central y Empresas Públicas no Financieras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227EC0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Default="00376428" w:rsidP="006505C8">
            <w:pPr>
              <w:jc w:val="both"/>
            </w:pPr>
            <w:r>
              <w:t>5.4</w:t>
            </w:r>
          </w:p>
        </w:tc>
        <w:tc>
          <w:tcPr>
            <w:tcW w:w="7396" w:type="dxa"/>
          </w:tcPr>
          <w:p w:rsidR="00376428" w:rsidRPr="004D6DE0" w:rsidRDefault="00376428" w:rsidP="00D25253">
            <w:pPr>
              <w:jc w:val="both"/>
            </w:pPr>
            <w:r>
              <w:t>Elaboración y revisión de matriz de transacciones de Gobiernos Locales para complementar el Sector Público No Financiero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227EC0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Default="00376428" w:rsidP="006505C8">
            <w:pPr>
              <w:jc w:val="both"/>
            </w:pPr>
            <w:r>
              <w:t>5.5</w:t>
            </w:r>
          </w:p>
        </w:tc>
        <w:tc>
          <w:tcPr>
            <w:tcW w:w="7396" w:type="dxa"/>
          </w:tcPr>
          <w:p w:rsidR="00376428" w:rsidRDefault="00376428" w:rsidP="00D25253">
            <w:pPr>
              <w:jc w:val="both"/>
            </w:pPr>
            <w:r>
              <w:t xml:space="preserve">Publicación de la Consolidación del Sector Público No Financiero a nivel de transferencias interinstitucionales 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517B09">
        <w:tc>
          <w:tcPr>
            <w:tcW w:w="626" w:type="dxa"/>
          </w:tcPr>
          <w:p w:rsidR="00376428" w:rsidRPr="009E3903" w:rsidRDefault="00376428" w:rsidP="006505C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9E3903">
              <w:rPr>
                <w:b/>
              </w:rPr>
              <w:t>.</w:t>
            </w:r>
          </w:p>
        </w:tc>
        <w:tc>
          <w:tcPr>
            <w:tcW w:w="7904" w:type="dxa"/>
            <w:gridSpan w:val="2"/>
          </w:tcPr>
          <w:p w:rsidR="00376428" w:rsidRPr="004D6DE0" w:rsidRDefault="00376428" w:rsidP="006505C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Consolidación del Sector Público No Financiero y a nivel sectorial (consolidación de </w:t>
            </w:r>
            <w:r w:rsidRPr="00C82570">
              <w:rPr>
                <w:rFonts w:eastAsia="Times New Roman"/>
                <w:color w:val="000000"/>
                <w:szCs w:val="20"/>
              </w:rPr>
              <w:lastRenderedPageBreak/>
              <w:t>transferencias y otras operaciones interinstitucionales que se trasladan por mandato legal)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B23369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6.1</w:t>
            </w:r>
          </w:p>
        </w:tc>
        <w:tc>
          <w:tcPr>
            <w:tcW w:w="7396" w:type="dxa"/>
          </w:tcPr>
          <w:p w:rsidR="00376428" w:rsidRPr="004D6DE0" w:rsidRDefault="00376428" w:rsidP="00D25253">
            <w:pPr>
              <w:jc w:val="both"/>
            </w:pPr>
            <w:r>
              <w:t xml:space="preserve">Ampliación y revisión  de la matriz de transacciones de Gobierno Central y Empresas Públicas no Financieras, para incorporar otras operaciones 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 interinstitucionales que</w:t>
            </w:r>
            <w:r>
              <w:rPr>
                <w:rFonts w:eastAsia="Times New Roman"/>
                <w:color w:val="000000"/>
                <w:szCs w:val="20"/>
              </w:rPr>
              <w:t xml:space="preserve"> se trasladan por mandato legal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F1009A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6.2</w:t>
            </w:r>
          </w:p>
        </w:tc>
        <w:tc>
          <w:tcPr>
            <w:tcW w:w="7396" w:type="dxa"/>
          </w:tcPr>
          <w:p w:rsidR="00376428" w:rsidRPr="004D6DE0" w:rsidRDefault="00376428" w:rsidP="00D25253">
            <w:pPr>
              <w:jc w:val="both"/>
            </w:pPr>
            <w:r>
              <w:t>Matriz de consolidación  de los clasificadores de finalidad y función a partir de 2010 (en cumplimiento a los estándares de la ONU y FMI)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F1009A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6.3</w:t>
            </w:r>
          </w:p>
        </w:tc>
        <w:tc>
          <w:tcPr>
            <w:tcW w:w="7396" w:type="dxa"/>
          </w:tcPr>
          <w:p w:rsidR="00376428" w:rsidRPr="004D6DE0" w:rsidRDefault="00376428" w:rsidP="00D25253">
            <w:pPr>
              <w:jc w:val="both"/>
            </w:pPr>
            <w:r>
              <w:t xml:space="preserve">Publicación de la Consolidación ampliada del Sector Público no Financiero 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5C6A8D">
        <w:tc>
          <w:tcPr>
            <w:tcW w:w="626" w:type="dxa"/>
          </w:tcPr>
          <w:p w:rsidR="00376428" w:rsidRPr="009E3903" w:rsidRDefault="00376428" w:rsidP="006505C8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904" w:type="dxa"/>
            <w:gridSpan w:val="2"/>
          </w:tcPr>
          <w:p w:rsidR="00376428" w:rsidRPr="004D6DE0" w:rsidRDefault="00376428" w:rsidP="006505C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Sobre la Agenda de Transparencia Fiscal, se plantean las siguientes acciones: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2B2F91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7.1</w:t>
            </w:r>
          </w:p>
        </w:tc>
        <w:tc>
          <w:tcPr>
            <w:tcW w:w="7396" w:type="dxa"/>
          </w:tcPr>
          <w:p w:rsidR="00376428" w:rsidRPr="004D6DE0" w:rsidRDefault="00376428" w:rsidP="006505C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Conformación del equipo técnico para hacer propuesta de institucionalización de la Agenda de Transparencia Fiscal del MINFIN</w:t>
            </w:r>
          </w:p>
        </w:tc>
        <w:tc>
          <w:tcPr>
            <w:tcW w:w="350" w:type="dxa"/>
            <w:shd w:val="clear" w:color="auto" w:fill="auto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2B2F91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7.2</w:t>
            </w:r>
          </w:p>
        </w:tc>
        <w:tc>
          <w:tcPr>
            <w:tcW w:w="7396" w:type="dxa"/>
          </w:tcPr>
          <w:p w:rsidR="00376428" w:rsidRPr="004D6DE0" w:rsidRDefault="00376428" w:rsidP="006505C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Discusión de borrador de reforma al Reglamento Orgánico Interno (ROI) del Ministerio de Finanzas Públicas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2B2F91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Pr="004D6DE0" w:rsidRDefault="00376428" w:rsidP="006505C8">
            <w:pPr>
              <w:jc w:val="both"/>
            </w:pPr>
            <w:r>
              <w:t>7.3</w:t>
            </w:r>
          </w:p>
        </w:tc>
        <w:tc>
          <w:tcPr>
            <w:tcW w:w="7396" w:type="dxa"/>
          </w:tcPr>
          <w:p w:rsidR="00376428" w:rsidRPr="004D6DE0" w:rsidRDefault="00376428" w:rsidP="006505C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Acuerdo Gubernativo que da vida al nuevo Reglamento Orgánico Interno (ROI) del Ministerio de Finanzas Públicas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</w:tcPr>
          <w:p w:rsidR="00376428" w:rsidRPr="004D6DE0" w:rsidRDefault="00376428" w:rsidP="006A6EE3">
            <w:pPr>
              <w:jc w:val="both"/>
            </w:pPr>
          </w:p>
        </w:tc>
      </w:tr>
      <w:tr w:rsidR="00376428" w:rsidRPr="004D6DE0" w:rsidTr="00BE2991">
        <w:tc>
          <w:tcPr>
            <w:tcW w:w="626" w:type="dxa"/>
          </w:tcPr>
          <w:p w:rsidR="00376428" w:rsidRPr="004D6DE0" w:rsidRDefault="00376428" w:rsidP="006505C8">
            <w:pPr>
              <w:jc w:val="both"/>
            </w:pPr>
          </w:p>
        </w:tc>
        <w:tc>
          <w:tcPr>
            <w:tcW w:w="508" w:type="dxa"/>
          </w:tcPr>
          <w:p w:rsidR="00376428" w:rsidRDefault="00376428" w:rsidP="006505C8">
            <w:pPr>
              <w:jc w:val="both"/>
            </w:pPr>
            <w:r>
              <w:t>7.4</w:t>
            </w:r>
          </w:p>
        </w:tc>
        <w:tc>
          <w:tcPr>
            <w:tcW w:w="7396" w:type="dxa"/>
          </w:tcPr>
          <w:p w:rsidR="00376428" w:rsidRPr="004D6DE0" w:rsidRDefault="00376428" w:rsidP="006505C8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Implementación de la reforma de acuerdo al nuevo Reglamento Orgánico Interno (ROI) del Ministerio de Finanzas Públicas</w:t>
            </w:r>
          </w:p>
        </w:tc>
        <w:tc>
          <w:tcPr>
            <w:tcW w:w="35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  <w:shd w:val="clear" w:color="auto" w:fill="FF00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0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5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61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5" w:type="dxa"/>
            <w:shd w:val="clear" w:color="auto" w:fill="FF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24" w:type="dxa"/>
            <w:shd w:val="clear" w:color="auto" w:fill="00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17" w:type="dxa"/>
            <w:shd w:val="clear" w:color="auto" w:fill="00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  <w:shd w:val="clear" w:color="auto" w:fill="00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350" w:type="dxa"/>
            <w:shd w:val="clear" w:color="auto" w:fill="00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409" w:type="dxa"/>
            <w:shd w:val="clear" w:color="auto" w:fill="00FF00"/>
          </w:tcPr>
          <w:p w:rsidR="00376428" w:rsidRPr="004D6DE0" w:rsidRDefault="00376428" w:rsidP="006A6EE3">
            <w:pPr>
              <w:jc w:val="both"/>
            </w:pPr>
          </w:p>
        </w:tc>
        <w:tc>
          <w:tcPr>
            <w:tcW w:w="289" w:type="dxa"/>
            <w:shd w:val="clear" w:color="auto" w:fill="00FF00"/>
          </w:tcPr>
          <w:p w:rsidR="00376428" w:rsidRPr="004D6DE0" w:rsidRDefault="00376428" w:rsidP="006A6EE3">
            <w:pPr>
              <w:jc w:val="both"/>
            </w:pPr>
          </w:p>
        </w:tc>
      </w:tr>
    </w:tbl>
    <w:p w:rsidR="00695825" w:rsidRPr="004D6DE0" w:rsidRDefault="00695825" w:rsidP="00C27E94">
      <w:pPr>
        <w:spacing w:after="0"/>
        <w:jc w:val="both"/>
      </w:pPr>
      <w:r w:rsidRPr="008F712F">
        <w:rPr>
          <w:highlight w:val="yellow"/>
        </w:rPr>
        <w:t>Nota:   1) Añadir  filas, en dependencia de las metas y actividades que se describan en el Plan de trabajo (este es únicamente un ejemplo).  2) Agregar color  a los meses de cumplimiento de cada meta y actividad (como el ejemplo).</w:t>
      </w:r>
    </w:p>
    <w:sectPr w:rsidR="00695825" w:rsidRPr="004D6DE0" w:rsidSect="00462B95">
      <w:headerReference w:type="default" r:id="rId8"/>
      <w:pgSz w:w="20160" w:h="12240" w:orient="landscape" w:code="5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28" w:rsidRDefault="00060A28" w:rsidP="00D95FCF">
      <w:pPr>
        <w:spacing w:after="0" w:line="240" w:lineRule="auto"/>
      </w:pPr>
      <w:r>
        <w:separator/>
      </w:r>
    </w:p>
  </w:endnote>
  <w:endnote w:type="continuationSeparator" w:id="0">
    <w:p w:rsidR="00060A28" w:rsidRDefault="00060A28" w:rsidP="00D9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28" w:rsidRDefault="00060A28" w:rsidP="00D95FCF">
      <w:pPr>
        <w:spacing w:after="0" w:line="240" w:lineRule="auto"/>
      </w:pPr>
      <w:r>
        <w:separator/>
      </w:r>
    </w:p>
  </w:footnote>
  <w:footnote w:type="continuationSeparator" w:id="0">
    <w:p w:rsidR="00060A28" w:rsidRDefault="00060A28" w:rsidP="00D9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CF" w:rsidRDefault="00D95FCF" w:rsidP="00D95FC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2F01"/>
    <w:multiLevelType w:val="hybridMultilevel"/>
    <w:tmpl w:val="EAF8DC7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E40C6"/>
    <w:rsid w:val="000432FD"/>
    <w:rsid w:val="00060A28"/>
    <w:rsid w:val="00090B20"/>
    <w:rsid w:val="000A155A"/>
    <w:rsid w:val="000D05DC"/>
    <w:rsid w:val="0013035F"/>
    <w:rsid w:val="00192C07"/>
    <w:rsid w:val="00223E0A"/>
    <w:rsid w:val="00227EC0"/>
    <w:rsid w:val="002640EB"/>
    <w:rsid w:val="002B2F91"/>
    <w:rsid w:val="003121D7"/>
    <w:rsid w:val="00342977"/>
    <w:rsid w:val="00376428"/>
    <w:rsid w:val="00382ED4"/>
    <w:rsid w:val="003F1E0F"/>
    <w:rsid w:val="00462B95"/>
    <w:rsid w:val="004C7539"/>
    <w:rsid w:val="004D6DE0"/>
    <w:rsid w:val="006732ED"/>
    <w:rsid w:val="00695825"/>
    <w:rsid w:val="006C2F5E"/>
    <w:rsid w:val="006C4B46"/>
    <w:rsid w:val="007A190D"/>
    <w:rsid w:val="007A5D15"/>
    <w:rsid w:val="00877583"/>
    <w:rsid w:val="008F712F"/>
    <w:rsid w:val="00914A1F"/>
    <w:rsid w:val="00965304"/>
    <w:rsid w:val="009E1F8B"/>
    <w:rsid w:val="009E3903"/>
    <w:rsid w:val="00A202CB"/>
    <w:rsid w:val="00A32004"/>
    <w:rsid w:val="00AE3DBE"/>
    <w:rsid w:val="00B23369"/>
    <w:rsid w:val="00B33B81"/>
    <w:rsid w:val="00BC3F53"/>
    <w:rsid w:val="00BE2991"/>
    <w:rsid w:val="00C2103B"/>
    <w:rsid w:val="00C27E94"/>
    <w:rsid w:val="00D95FCF"/>
    <w:rsid w:val="00DF4022"/>
    <w:rsid w:val="00F02FBC"/>
    <w:rsid w:val="00F1009A"/>
    <w:rsid w:val="00F353B8"/>
    <w:rsid w:val="00F845EB"/>
    <w:rsid w:val="00FD5406"/>
    <w:rsid w:val="00FE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FCF"/>
  </w:style>
  <w:style w:type="paragraph" w:styleId="Piedepgina">
    <w:name w:val="footer"/>
    <w:basedOn w:val="Normal"/>
    <w:link w:val="Piedepgina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FCF"/>
  </w:style>
  <w:style w:type="paragraph" w:styleId="Piedepgina">
    <w:name w:val="footer"/>
    <w:basedOn w:val="Normal"/>
    <w:link w:val="Piedepgina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12BA-779C-4CB7-8BC1-57B1B859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Mejia</dc:creator>
  <cp:lastModifiedBy>transpfis08</cp:lastModifiedBy>
  <cp:revision>19</cp:revision>
  <dcterms:created xsi:type="dcterms:W3CDTF">2016-08-30T17:41:00Z</dcterms:created>
  <dcterms:modified xsi:type="dcterms:W3CDTF">2016-09-26T21:51:00Z</dcterms:modified>
</cp:coreProperties>
</file>