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41" w:rsidRPr="001328DA" w:rsidRDefault="00D36EFD" w:rsidP="00D36EFD">
      <w:pPr>
        <w:jc w:val="center"/>
        <w:rPr>
          <w:b/>
          <w:sz w:val="36"/>
          <w:szCs w:val="36"/>
          <w:lang w:val="es-GT"/>
        </w:rPr>
      </w:pPr>
      <w:r w:rsidRPr="001328DA">
        <w:rPr>
          <w:b/>
          <w:sz w:val="36"/>
          <w:szCs w:val="36"/>
          <w:lang w:val="es-GT"/>
        </w:rPr>
        <w:t>Compromiso No. 16</w:t>
      </w:r>
    </w:p>
    <w:tbl>
      <w:tblPr>
        <w:tblW w:w="10427" w:type="dxa"/>
        <w:jc w:val="center"/>
        <w:tblCellMar>
          <w:left w:w="70" w:type="dxa"/>
          <w:right w:w="70" w:type="dxa"/>
        </w:tblCellMar>
        <w:tblLook w:val="04A0"/>
      </w:tblPr>
      <w:tblGrid>
        <w:gridCol w:w="377"/>
        <w:gridCol w:w="1304"/>
        <w:gridCol w:w="1663"/>
        <w:gridCol w:w="1344"/>
        <w:gridCol w:w="1610"/>
        <w:gridCol w:w="1763"/>
        <w:gridCol w:w="1231"/>
        <w:gridCol w:w="1135"/>
      </w:tblGrid>
      <w:tr w:rsidR="00D36EFD" w:rsidRPr="00C82570" w:rsidTr="0068702B">
        <w:trPr>
          <w:trHeight w:val="300"/>
          <w:jc w:val="center"/>
        </w:trPr>
        <w:tc>
          <w:tcPr>
            <w:tcW w:w="10427" w:type="dxa"/>
            <w:gridSpan w:val="8"/>
            <w:tcBorders>
              <w:top w:val="nil"/>
              <w:left w:val="nil"/>
              <w:bottom w:val="nil"/>
              <w:right w:val="nil"/>
            </w:tcBorders>
            <w:shd w:val="clear" w:color="000000" w:fill="000000"/>
            <w:noWrap/>
            <w:vAlign w:val="bottom"/>
            <w:hideMark/>
          </w:tcPr>
          <w:p w:rsidR="00D36EFD" w:rsidRPr="00C82570" w:rsidRDefault="00D36EFD" w:rsidP="0068702B">
            <w:pPr>
              <w:spacing w:after="0" w:line="240" w:lineRule="auto"/>
              <w:jc w:val="center"/>
              <w:rPr>
                <w:rFonts w:eastAsia="Times New Roman"/>
                <w:b/>
                <w:bCs/>
                <w:color w:val="FFFFFF"/>
              </w:rPr>
            </w:pPr>
            <w:r w:rsidRPr="00C82570">
              <w:rPr>
                <w:rFonts w:eastAsia="Times New Roman"/>
                <w:b/>
                <w:bCs/>
                <w:color w:val="FFFFFF"/>
              </w:rPr>
              <w:t>Eje temático:</w:t>
            </w:r>
            <w:r>
              <w:rPr>
                <w:rFonts w:eastAsia="Times New Roman"/>
                <w:b/>
                <w:bCs/>
                <w:color w:val="FFFFFF"/>
              </w:rPr>
              <w:t xml:space="preserve"> </w:t>
            </w:r>
            <w:r w:rsidRPr="00C82570">
              <w:rPr>
                <w:rFonts w:eastAsia="Times New Roman"/>
                <w:b/>
                <w:bCs/>
                <w:color w:val="FFFFFF"/>
              </w:rPr>
              <w:t>Transparencia Fiscal</w:t>
            </w:r>
          </w:p>
        </w:tc>
      </w:tr>
      <w:tr w:rsidR="00D36EFD" w:rsidRPr="00C82570" w:rsidTr="00D36EFD">
        <w:trPr>
          <w:trHeight w:val="300"/>
          <w:jc w:val="center"/>
        </w:trPr>
        <w:tc>
          <w:tcPr>
            <w:tcW w:w="10427"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36EFD" w:rsidRPr="00C82570" w:rsidRDefault="00D36EFD" w:rsidP="0068702B">
            <w:pPr>
              <w:spacing w:after="0" w:line="240" w:lineRule="auto"/>
              <w:jc w:val="center"/>
              <w:rPr>
                <w:rFonts w:eastAsia="Times New Roman"/>
                <w:b/>
                <w:color w:val="000000"/>
                <w:sz w:val="24"/>
                <w:szCs w:val="20"/>
              </w:rPr>
            </w:pPr>
            <w:r w:rsidRPr="000D5290">
              <w:rPr>
                <w:rFonts w:eastAsia="Times New Roman"/>
                <w:b/>
                <w:color w:val="000000"/>
                <w:sz w:val="24"/>
                <w:szCs w:val="20"/>
                <w:highlight w:val="yellow"/>
              </w:rPr>
              <w:t>16. ACCIONES PARA AVANZAR HACIA UN PROCESO PRESUPUESTARIO ABIERTO Y PARTICIPATIVO</w:t>
            </w:r>
            <w:r w:rsidRPr="00C82570">
              <w:rPr>
                <w:rFonts w:eastAsia="Times New Roman"/>
                <w:b/>
                <w:color w:val="000000"/>
                <w:sz w:val="24"/>
                <w:szCs w:val="20"/>
              </w:rPr>
              <w:t xml:space="preserve"> </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Entidad (es)</w:t>
            </w:r>
            <w:r>
              <w:rPr>
                <w:rFonts w:eastAsia="Times New Roman"/>
                <w:color w:val="000000"/>
                <w:szCs w:val="20"/>
              </w:rPr>
              <w:t xml:space="preserve"> </w:t>
            </w:r>
            <w:r w:rsidRPr="00C82570">
              <w:rPr>
                <w:rFonts w:eastAsia="Times New Roman"/>
                <w:color w:val="000000"/>
                <w:szCs w:val="20"/>
              </w:rPr>
              <w:t>Responsable (s):</w:t>
            </w:r>
          </w:p>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Entidad de Gobierno, Entidad Pública, Organismo del Estado, entidad</w:t>
            </w:r>
            <w:r>
              <w:rPr>
                <w:rFonts w:eastAsia="Times New Roman"/>
                <w:color w:val="000000"/>
                <w:szCs w:val="20"/>
              </w:rPr>
              <w:t xml:space="preserve"> </w:t>
            </w:r>
            <w:r w:rsidRPr="00C82570">
              <w:rPr>
                <w:rFonts w:eastAsia="Times New Roman"/>
                <w:color w:val="000000"/>
                <w:szCs w:val="20"/>
              </w:rPr>
              <w:t>autónoma,</w:t>
            </w:r>
            <w:r>
              <w:rPr>
                <w:rFonts w:eastAsia="Times New Roman"/>
                <w:color w:val="000000"/>
                <w:szCs w:val="20"/>
              </w:rPr>
              <w:t xml:space="preserve"> </w:t>
            </w:r>
            <w:r w:rsidRPr="00C82570">
              <w:rPr>
                <w:rFonts w:eastAsia="Times New Roman"/>
                <w:color w:val="000000"/>
                <w:szCs w:val="20"/>
              </w:rPr>
              <w:t>Asociación</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D36EFD">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Coordinador: Ministerio de Finanzas Públicas (Gabinete para Presupuesto Abierto)</w:t>
            </w:r>
          </w:p>
          <w:p w:rsidR="00D36EFD" w:rsidRPr="00C82570" w:rsidRDefault="00D36EFD" w:rsidP="00D36EFD">
            <w:pPr>
              <w:numPr>
                <w:ilvl w:val="0"/>
                <w:numId w:val="5"/>
              </w:numPr>
              <w:spacing w:after="0" w:line="240" w:lineRule="auto"/>
              <w:contextualSpacing/>
              <w:rPr>
                <w:rFonts w:eastAsia="Times New Roman"/>
                <w:color w:val="000000"/>
                <w:szCs w:val="20"/>
              </w:rPr>
            </w:pPr>
            <w:r w:rsidRPr="00C82570">
              <w:rPr>
                <w:rFonts w:eastAsia="Times New Roman"/>
                <w:color w:val="000000"/>
                <w:szCs w:val="20"/>
              </w:rPr>
              <w:t>Secretaría de Planificación y Programación de la Presidencia (SEGEPLAN)</w:t>
            </w:r>
          </w:p>
          <w:p w:rsidR="00D36EFD" w:rsidRPr="00C82570" w:rsidRDefault="00D36EFD" w:rsidP="00D36EFD">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Contraloría General de Cuentas (CGC)</w:t>
            </w:r>
          </w:p>
          <w:p w:rsidR="00D36EFD" w:rsidRPr="00C82570" w:rsidRDefault="00D36EFD" w:rsidP="00D36EFD">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Congreso de la República de Guatemala</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Nombre de la persona responsable</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D36EFD">
            <w:pPr>
              <w:numPr>
                <w:ilvl w:val="0"/>
                <w:numId w:val="1"/>
              </w:numPr>
              <w:spacing w:after="0" w:line="240" w:lineRule="auto"/>
              <w:contextualSpacing/>
              <w:jc w:val="both"/>
              <w:rPr>
                <w:rFonts w:eastAsia="Times New Roman"/>
                <w:color w:val="000000"/>
                <w:szCs w:val="20"/>
              </w:rPr>
            </w:pPr>
            <w:r w:rsidRPr="00C82570">
              <w:rPr>
                <w:rFonts w:eastAsia="Times New Roman"/>
                <w:color w:val="000000"/>
                <w:szCs w:val="20"/>
              </w:rPr>
              <w:t>Coordinador:</w:t>
            </w:r>
            <w:r>
              <w:rPr>
                <w:rFonts w:eastAsia="Times New Roman"/>
                <w:color w:val="000000"/>
                <w:szCs w:val="20"/>
              </w:rPr>
              <w:t xml:space="preserve"> </w:t>
            </w:r>
            <w:r w:rsidRPr="00C82570">
              <w:rPr>
                <w:rFonts w:eastAsia="Times New Roman"/>
                <w:color w:val="000000"/>
                <w:szCs w:val="20"/>
              </w:rPr>
              <w:t>Víctor Martínez</w:t>
            </w:r>
            <w:r>
              <w:rPr>
                <w:rFonts w:eastAsia="Times New Roman"/>
                <w:color w:val="000000"/>
                <w:szCs w:val="20"/>
              </w:rPr>
              <w:t>/Viceministro</w:t>
            </w:r>
          </w:p>
          <w:p w:rsidR="00D36EFD" w:rsidRPr="00C82570" w:rsidRDefault="00D36EFD" w:rsidP="00D36EFD">
            <w:pPr>
              <w:numPr>
                <w:ilvl w:val="0"/>
                <w:numId w:val="1"/>
              </w:numPr>
              <w:spacing w:after="0" w:line="240" w:lineRule="auto"/>
              <w:contextualSpacing/>
              <w:jc w:val="both"/>
              <w:rPr>
                <w:rFonts w:eastAsia="Times New Roman"/>
                <w:color w:val="000000"/>
                <w:szCs w:val="20"/>
              </w:rPr>
            </w:pPr>
            <w:r w:rsidRPr="00C82570">
              <w:rPr>
                <w:rFonts w:eastAsia="Times New Roman"/>
                <w:color w:val="000000"/>
                <w:szCs w:val="20"/>
              </w:rPr>
              <w:t xml:space="preserve">Miguel Ángel </w:t>
            </w:r>
            <w:proofErr w:type="spellStart"/>
            <w:r w:rsidRPr="00C82570">
              <w:rPr>
                <w:rFonts w:eastAsia="Times New Roman"/>
                <w:color w:val="000000"/>
                <w:szCs w:val="20"/>
              </w:rPr>
              <w:t>Moir</w:t>
            </w:r>
            <w:proofErr w:type="spellEnd"/>
            <w:r>
              <w:rPr>
                <w:rFonts w:eastAsia="Times New Roman"/>
                <w:color w:val="000000"/>
                <w:szCs w:val="20"/>
              </w:rPr>
              <w:t xml:space="preserve"> /Secretario </w:t>
            </w:r>
            <w:proofErr w:type="spellStart"/>
            <w:r>
              <w:rPr>
                <w:rFonts w:eastAsia="Times New Roman"/>
                <w:color w:val="000000"/>
                <w:szCs w:val="20"/>
              </w:rPr>
              <w:t>Segeplan</w:t>
            </w:r>
            <w:proofErr w:type="spellEnd"/>
          </w:p>
          <w:p w:rsidR="00D36EFD" w:rsidRPr="00C82570" w:rsidRDefault="00D36EFD" w:rsidP="00D36EFD">
            <w:pPr>
              <w:numPr>
                <w:ilvl w:val="0"/>
                <w:numId w:val="1"/>
              </w:numPr>
              <w:spacing w:after="0" w:line="240" w:lineRule="auto"/>
              <w:contextualSpacing/>
              <w:jc w:val="both"/>
              <w:rPr>
                <w:rFonts w:eastAsia="Times New Roman"/>
                <w:color w:val="000000"/>
                <w:szCs w:val="20"/>
              </w:rPr>
            </w:pPr>
            <w:r w:rsidRPr="00C82570">
              <w:rPr>
                <w:rFonts w:eastAsia="Times New Roman"/>
                <w:color w:val="000000"/>
                <w:szCs w:val="20"/>
              </w:rPr>
              <w:t>Carlos Mencos</w:t>
            </w:r>
            <w:r>
              <w:rPr>
                <w:rFonts w:eastAsia="Times New Roman"/>
                <w:color w:val="000000"/>
                <w:szCs w:val="20"/>
              </w:rPr>
              <w:t>/ CGC</w:t>
            </w:r>
          </w:p>
          <w:p w:rsidR="00D36EFD" w:rsidRPr="00C82570" w:rsidRDefault="00D36EFD" w:rsidP="00D36EFD">
            <w:pPr>
              <w:numPr>
                <w:ilvl w:val="0"/>
                <w:numId w:val="1"/>
              </w:numPr>
              <w:spacing w:after="0" w:line="240" w:lineRule="auto"/>
              <w:contextualSpacing/>
              <w:jc w:val="both"/>
              <w:rPr>
                <w:rFonts w:eastAsia="Times New Roman"/>
                <w:color w:val="000000"/>
                <w:szCs w:val="20"/>
              </w:rPr>
            </w:pPr>
            <w:r>
              <w:rPr>
                <w:rFonts w:eastAsia="Times New Roman"/>
                <w:color w:val="000000"/>
                <w:szCs w:val="20"/>
              </w:rPr>
              <w:t>Jairo Flores/</w:t>
            </w:r>
            <w:proofErr w:type="spellStart"/>
            <w:r>
              <w:rPr>
                <w:rFonts w:eastAsia="Times New Roman"/>
                <w:color w:val="000000"/>
                <w:szCs w:val="20"/>
              </w:rPr>
              <w:t>CFPyM</w:t>
            </w:r>
            <w:proofErr w:type="spellEnd"/>
            <w:r>
              <w:rPr>
                <w:rFonts w:eastAsia="Times New Roman"/>
                <w:color w:val="000000"/>
                <w:szCs w:val="20"/>
              </w:rPr>
              <w:t>-Congreso</w:t>
            </w:r>
          </w:p>
          <w:p w:rsidR="00D36EFD" w:rsidRPr="00C82570" w:rsidRDefault="00D36EFD" w:rsidP="0068702B">
            <w:pPr>
              <w:spacing w:after="0" w:line="240" w:lineRule="auto"/>
              <w:jc w:val="both"/>
              <w:rPr>
                <w:rFonts w:eastAsia="Times New Roman"/>
                <w:color w:val="000000"/>
                <w:szCs w:val="20"/>
              </w:rPr>
            </w:pP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Puesto</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D36EFD">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Coordinador: Viceministro de Administración Financiera</w:t>
            </w:r>
          </w:p>
          <w:p w:rsidR="00D36EFD" w:rsidRPr="00C82570" w:rsidRDefault="00D36EFD" w:rsidP="00D36EFD">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Secretario de Planificación y Programación de la Presidencia</w:t>
            </w:r>
          </w:p>
          <w:p w:rsidR="00D36EFD" w:rsidRPr="00C82570" w:rsidRDefault="00D36EFD" w:rsidP="00D36EFD">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Contralor General de Cuentas</w:t>
            </w:r>
          </w:p>
          <w:p w:rsidR="00D36EFD" w:rsidRPr="00C82570" w:rsidRDefault="00D36EFD" w:rsidP="00D36EFD">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Presidente de</w:t>
            </w:r>
            <w:r>
              <w:rPr>
                <w:rFonts w:eastAsia="Times New Roman"/>
                <w:color w:val="000000"/>
                <w:szCs w:val="20"/>
              </w:rPr>
              <w:t xml:space="preserve"> </w:t>
            </w:r>
            <w:r w:rsidRPr="00C82570">
              <w:rPr>
                <w:rFonts w:eastAsia="Times New Roman"/>
                <w:color w:val="000000"/>
                <w:szCs w:val="20"/>
              </w:rPr>
              <w:t>l</w:t>
            </w:r>
            <w:r>
              <w:rPr>
                <w:rFonts w:eastAsia="Times New Roman"/>
                <w:color w:val="000000"/>
                <w:szCs w:val="20"/>
              </w:rPr>
              <w:t>a Comisión de Finanzas Públicas y Moneda del</w:t>
            </w:r>
            <w:r w:rsidRPr="00C82570">
              <w:rPr>
                <w:rFonts w:eastAsia="Times New Roman"/>
                <w:color w:val="000000"/>
                <w:szCs w:val="20"/>
              </w:rPr>
              <w:t xml:space="preserve"> Congreso de la República.</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Correo electrónico</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D36EFD">
            <w:pPr>
              <w:numPr>
                <w:ilvl w:val="0"/>
                <w:numId w:val="3"/>
              </w:numPr>
              <w:spacing w:after="0" w:line="240" w:lineRule="auto"/>
              <w:contextualSpacing/>
              <w:jc w:val="both"/>
              <w:rPr>
                <w:rFonts w:eastAsia="Times New Roman"/>
                <w:color w:val="000000"/>
                <w:szCs w:val="20"/>
              </w:rPr>
            </w:pPr>
            <w:r w:rsidRPr="00C82570">
              <w:rPr>
                <w:rFonts w:eastAsia="Times New Roman"/>
                <w:color w:val="000000"/>
                <w:szCs w:val="20"/>
              </w:rPr>
              <w:t xml:space="preserve">Coordinador: </w:t>
            </w:r>
            <w:hyperlink r:id="rId7" w:history="1">
              <w:r w:rsidRPr="00C82570">
                <w:rPr>
                  <w:color w:val="000000"/>
                </w:rPr>
                <w:t>vmartinez@minfin.gob.gt</w:t>
              </w:r>
            </w:hyperlink>
            <w:r w:rsidRPr="00C82570">
              <w:rPr>
                <w:rFonts w:eastAsia="Times New Roman"/>
                <w:color w:val="000000"/>
                <w:szCs w:val="20"/>
              </w:rPr>
              <w:t xml:space="preserve"> </w:t>
            </w:r>
          </w:p>
          <w:p w:rsidR="00D36EFD" w:rsidRPr="00C82570" w:rsidRDefault="00115020" w:rsidP="00D36EFD">
            <w:pPr>
              <w:numPr>
                <w:ilvl w:val="0"/>
                <w:numId w:val="3"/>
              </w:numPr>
              <w:spacing w:after="0" w:line="240" w:lineRule="auto"/>
              <w:contextualSpacing/>
              <w:jc w:val="both"/>
              <w:rPr>
                <w:rFonts w:eastAsia="Times New Roman"/>
                <w:color w:val="000000"/>
                <w:szCs w:val="20"/>
              </w:rPr>
            </w:pPr>
            <w:hyperlink r:id="rId8" w:history="1">
              <w:r w:rsidR="00D36EFD" w:rsidRPr="00C82570">
                <w:rPr>
                  <w:color w:val="000000"/>
                </w:rPr>
                <w:t>miguel.moir@segeplan.gob.gt</w:t>
              </w:r>
            </w:hyperlink>
            <w:r w:rsidR="00D36EFD" w:rsidRPr="00C82570">
              <w:rPr>
                <w:rFonts w:eastAsia="Times New Roman"/>
                <w:color w:val="000000"/>
                <w:szCs w:val="20"/>
              </w:rPr>
              <w:t xml:space="preserve"> </w:t>
            </w:r>
          </w:p>
          <w:p w:rsidR="00D36EFD" w:rsidRPr="005952C5" w:rsidRDefault="00115020" w:rsidP="00D36EFD">
            <w:pPr>
              <w:pStyle w:val="Prrafodelista"/>
              <w:numPr>
                <w:ilvl w:val="0"/>
                <w:numId w:val="3"/>
              </w:numPr>
              <w:spacing w:after="0" w:line="240" w:lineRule="auto"/>
              <w:rPr>
                <w:rFonts w:eastAsia="Times New Roman"/>
                <w:szCs w:val="20"/>
              </w:rPr>
            </w:pPr>
            <w:hyperlink r:id="rId9" w:history="1">
              <w:r w:rsidR="00D36EFD" w:rsidRPr="005952C5">
                <w:t>allima@contraloria.gob.gt</w:t>
              </w:r>
            </w:hyperlink>
          </w:p>
          <w:p w:rsidR="00D36EFD" w:rsidRPr="00C82570" w:rsidRDefault="00D36EFD" w:rsidP="00D36EFD">
            <w:pPr>
              <w:numPr>
                <w:ilvl w:val="0"/>
                <w:numId w:val="3"/>
              </w:numPr>
              <w:spacing w:after="0" w:line="240" w:lineRule="auto"/>
              <w:contextualSpacing/>
              <w:jc w:val="both"/>
              <w:rPr>
                <w:rFonts w:eastAsia="Times New Roman"/>
                <w:color w:val="000000"/>
                <w:szCs w:val="20"/>
              </w:rPr>
            </w:pPr>
            <w:r>
              <w:rPr>
                <w:color w:val="000000"/>
              </w:rPr>
              <w:t>jflores</w:t>
            </w:r>
            <w:r w:rsidRPr="00C82570">
              <w:rPr>
                <w:color w:val="000000"/>
              </w:rPr>
              <w:t>@congreso.gob.gt</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Teléfono</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D36EFD">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Coordinador: 23228888</w:t>
            </w:r>
          </w:p>
          <w:p w:rsidR="00D36EFD" w:rsidRPr="00C82570" w:rsidRDefault="00D36EFD" w:rsidP="00D36EFD">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25044444</w:t>
            </w:r>
          </w:p>
          <w:p w:rsidR="00D36EFD" w:rsidRPr="00C82570" w:rsidRDefault="00D36EFD" w:rsidP="00D36EFD">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24178700</w:t>
            </w:r>
          </w:p>
          <w:p w:rsidR="00D36EFD" w:rsidRPr="00C82570" w:rsidRDefault="00D36EFD" w:rsidP="00D36EFD">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22447878</w:t>
            </w:r>
          </w:p>
        </w:tc>
      </w:tr>
      <w:tr w:rsidR="00D36EFD" w:rsidRPr="00C82570" w:rsidTr="00D36EFD">
        <w:trPr>
          <w:trHeight w:val="300"/>
          <w:jc w:val="center"/>
        </w:trPr>
        <w:tc>
          <w:tcPr>
            <w:tcW w:w="1681"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Otros actores</w:t>
            </w:r>
          </w:p>
        </w:tc>
        <w:tc>
          <w:tcPr>
            <w:tcW w:w="1663" w:type="dxa"/>
            <w:tcBorders>
              <w:top w:val="nil"/>
              <w:left w:val="nil"/>
              <w:bottom w:val="single" w:sz="4" w:space="0" w:color="auto"/>
              <w:right w:val="single" w:sz="4" w:space="0" w:color="auto"/>
            </w:tcBorders>
            <w:shd w:val="clear" w:color="auto" w:fill="D9D9D9" w:themeFill="background1" w:themeFillShade="D9"/>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Entidad Pública /Organismo de Estado</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Ministerios de Estado, Secretaría de Coordinación Ejecutiva de la Presidencia (SCEP), Consejo Nacional de Desarrollo Urbano y Rural (CONADUR), Superintendencia de Administración Tributaria (SAT) y otras entidades públicas</w:t>
            </w:r>
          </w:p>
        </w:tc>
      </w:tr>
      <w:tr w:rsidR="00D36EFD" w:rsidRPr="00C82570" w:rsidTr="00D36EFD">
        <w:trPr>
          <w:trHeight w:val="1023"/>
          <w:jc w:val="center"/>
        </w:trPr>
        <w:tc>
          <w:tcPr>
            <w:tcW w:w="1681"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6EFD" w:rsidRPr="00C82570" w:rsidRDefault="00D36EFD" w:rsidP="0068702B">
            <w:pPr>
              <w:spacing w:after="0" w:line="240" w:lineRule="auto"/>
              <w:rPr>
                <w:rFonts w:eastAsia="Times New Roman"/>
                <w:color w:val="000000"/>
                <w:szCs w:val="20"/>
              </w:rPr>
            </w:pPr>
          </w:p>
        </w:tc>
        <w:tc>
          <w:tcPr>
            <w:tcW w:w="1663" w:type="dxa"/>
            <w:tcBorders>
              <w:top w:val="nil"/>
              <w:left w:val="nil"/>
              <w:bottom w:val="single" w:sz="4" w:space="0" w:color="auto"/>
              <w:right w:val="single" w:sz="4" w:space="0" w:color="auto"/>
            </w:tcBorders>
            <w:shd w:val="clear" w:color="auto" w:fill="D9D9D9" w:themeFill="background1" w:themeFillShade="D9"/>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Sociedad civil,</w:t>
            </w:r>
            <w:r>
              <w:rPr>
                <w:rFonts w:eastAsia="Times New Roman"/>
                <w:color w:val="000000"/>
                <w:szCs w:val="20"/>
              </w:rPr>
              <w:t xml:space="preserve"> </w:t>
            </w:r>
            <w:r w:rsidRPr="00C82570">
              <w:rPr>
                <w:rFonts w:eastAsia="Times New Roman"/>
                <w:color w:val="000000"/>
                <w:szCs w:val="20"/>
              </w:rPr>
              <w:t>Asociaciones, Iniciativa privada, grupos de trabajo y multilaterales</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Organizaciones de sociedad civil que participan en gobierno abierto</w:t>
            </w:r>
            <w:r>
              <w:rPr>
                <w:rFonts w:eastAsia="Times New Roman"/>
                <w:color w:val="000000"/>
                <w:szCs w:val="20"/>
              </w:rPr>
              <w:t xml:space="preserve"> </w:t>
            </w:r>
            <w:r w:rsidRPr="00C82570">
              <w:rPr>
                <w:rFonts w:eastAsia="Times New Roman"/>
                <w:color w:val="000000"/>
                <w:szCs w:val="20"/>
              </w:rPr>
              <w:t>y otras interesadas.</w:t>
            </w:r>
          </w:p>
        </w:tc>
      </w:tr>
      <w:tr w:rsidR="00D36EFD" w:rsidRPr="00C82570" w:rsidTr="00D36EFD">
        <w:trPr>
          <w:trHeight w:val="587"/>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Status quo o problema que se quiere resolver</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Actualmente los espacios de participación ciudadana son limitados durante el proceso presupuestario, situación que impide a la población colaborar y retroalimentar en la discusión de los detalles de los programas y prioridades presupuestarias generales.</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Objetivo principal</w:t>
            </w:r>
          </w:p>
        </w:tc>
        <w:tc>
          <w:tcPr>
            <w:tcW w:w="7083"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Propiciar canales de participación ciudadana en etapas clave del proceso presupuestario.</w:t>
            </w:r>
          </w:p>
        </w:tc>
      </w:tr>
      <w:tr w:rsidR="00D36EFD" w:rsidRPr="00C82570" w:rsidTr="00D36EFD">
        <w:trPr>
          <w:trHeight w:val="602"/>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Breve descripción del compromiso</w:t>
            </w:r>
          </w:p>
        </w:tc>
        <w:tc>
          <w:tcPr>
            <w:tcW w:w="7083"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Se propicia la participación ciudadana a través de foros de presupuesto abierto y otras etapas clave del proceso presupuestario, con el propósito contribuir a la transparencia fiscal.</w:t>
            </w:r>
          </w:p>
        </w:tc>
      </w:tr>
      <w:tr w:rsidR="00D36EFD" w:rsidRPr="00C82570" w:rsidTr="00D36EFD">
        <w:trPr>
          <w:trHeight w:val="3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Desafío de OGP atendido por el compromiso</w:t>
            </w:r>
          </w:p>
        </w:tc>
        <w:tc>
          <w:tcPr>
            <w:tcW w:w="7083"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Gestión más efectiva de los recursos públicos, e incremento de la integridad pública.</w:t>
            </w:r>
          </w:p>
        </w:tc>
      </w:tr>
      <w:tr w:rsidR="00D36EFD" w:rsidRPr="00C82570" w:rsidTr="00D36EFD">
        <w:trPr>
          <w:trHeight w:val="7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lastRenderedPageBreak/>
              <w:t>Relevancia</w:t>
            </w:r>
          </w:p>
        </w:tc>
        <w:tc>
          <w:tcPr>
            <w:tcW w:w="7083"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El ejercicio público de foros de presupuesto abierto, la presentación pública de la propuesta de inversión, así como la presentación del informe de auditoría de la liquidación del presupuesto del año anterior, propician que la población además de tener acceso a la información, participe y contribuya en retroalimentar aspectos clave del presupuesto.</w:t>
            </w:r>
          </w:p>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En ese sentido, este compromiso contribuye al fortalecimiento de los valores de gobierno abierto de transparencia fiscal, rendición de cuentas, participación ciudadana y acceso a la información pública.</w:t>
            </w:r>
          </w:p>
        </w:tc>
      </w:tr>
      <w:tr w:rsidR="00D36EFD" w:rsidRPr="00C82570" w:rsidTr="00D36EFD">
        <w:trPr>
          <w:trHeight w:val="700"/>
          <w:jc w:val="center"/>
        </w:trPr>
        <w:tc>
          <w:tcPr>
            <w:tcW w:w="33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Ambición.</w:t>
            </w:r>
            <w:r w:rsidRPr="00C82570">
              <w:rPr>
                <w:rFonts w:eastAsia="Times New Roman"/>
                <w:color w:val="000000"/>
                <w:szCs w:val="20"/>
              </w:rPr>
              <w:br/>
            </w:r>
          </w:p>
        </w:tc>
        <w:tc>
          <w:tcPr>
            <w:tcW w:w="7083"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D36EFD" w:rsidRPr="00C82570" w:rsidRDefault="00D36EFD" w:rsidP="0068702B">
            <w:pPr>
              <w:spacing w:after="0" w:line="240" w:lineRule="auto"/>
              <w:jc w:val="both"/>
              <w:rPr>
                <w:rFonts w:eastAsia="Times New Roman"/>
                <w:color w:val="000000"/>
                <w:szCs w:val="20"/>
              </w:rPr>
            </w:pPr>
            <w:r w:rsidRPr="00C82570">
              <w:rPr>
                <w:rFonts w:eastAsia="Times New Roman"/>
                <w:color w:val="000000"/>
                <w:szCs w:val="20"/>
              </w:rPr>
              <w:t>Se busca que las organizaciones de la sociedad civil y la ciudadanía en general conozcan y aporten recomendaciones</w:t>
            </w:r>
            <w:r>
              <w:rPr>
                <w:rFonts w:eastAsia="Times New Roman"/>
                <w:color w:val="000000"/>
                <w:szCs w:val="20"/>
              </w:rPr>
              <w:t xml:space="preserve"> </w:t>
            </w:r>
            <w:r w:rsidRPr="00C82570">
              <w:rPr>
                <w:rFonts w:eastAsia="Times New Roman"/>
                <w:color w:val="000000"/>
                <w:szCs w:val="20"/>
              </w:rPr>
              <w:t>sobre aspectos relevantes durante el proceso presupuestario, mediante mecanismos que sugieren los estándares internacionales, en particular aquellos contenidos en los principios de participación pública</w:t>
            </w:r>
            <w:r>
              <w:rPr>
                <w:rFonts w:eastAsia="Times New Roman"/>
                <w:color w:val="000000"/>
                <w:szCs w:val="20"/>
              </w:rPr>
              <w:t xml:space="preserve"> </w:t>
            </w:r>
            <w:r w:rsidRPr="00C82570">
              <w:rPr>
                <w:rFonts w:eastAsia="Times New Roman"/>
                <w:color w:val="000000"/>
                <w:szCs w:val="20"/>
              </w:rPr>
              <w:t>en la política fiscal de la Iniciativa Global para la Transparencia Fiscal (GIFT por sus siglas en inglés).</w:t>
            </w:r>
          </w:p>
          <w:p w:rsidR="00D36EFD" w:rsidRPr="00C82570" w:rsidRDefault="00D36EFD" w:rsidP="0068702B">
            <w:pPr>
              <w:spacing w:after="0" w:line="240" w:lineRule="auto"/>
              <w:jc w:val="both"/>
              <w:rPr>
                <w:rFonts w:eastAsia="Times New Roman"/>
                <w:color w:val="000000"/>
                <w:szCs w:val="20"/>
              </w:rPr>
            </w:pPr>
          </w:p>
        </w:tc>
      </w:tr>
      <w:tr w:rsidR="00D36EFD" w:rsidRPr="00C82570" w:rsidTr="0068702B">
        <w:trPr>
          <w:trHeight w:val="617"/>
          <w:jc w:val="center"/>
        </w:trPr>
        <w:tc>
          <w:tcPr>
            <w:tcW w:w="4688"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Hitos, Metas preliminares y finales que permitan verificar el cumplimiento del compromiso (mecanismos)</w:t>
            </w:r>
          </w:p>
        </w:tc>
        <w:tc>
          <w:tcPr>
            <w:tcW w:w="1610" w:type="dxa"/>
            <w:tcBorders>
              <w:top w:val="single" w:sz="4" w:space="0" w:color="auto"/>
              <w:left w:val="nil"/>
              <w:bottom w:val="single" w:sz="4" w:space="0" w:color="auto"/>
              <w:right w:val="single" w:sz="4" w:space="0" w:color="auto"/>
            </w:tcBorders>
            <w:shd w:val="clear" w:color="000000" w:fill="F2F2F2"/>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Entidad Responsable</w:t>
            </w:r>
          </w:p>
        </w:tc>
        <w:tc>
          <w:tcPr>
            <w:tcW w:w="1763" w:type="dxa"/>
            <w:tcBorders>
              <w:top w:val="single" w:sz="4" w:space="0" w:color="auto"/>
              <w:left w:val="nil"/>
              <w:bottom w:val="single" w:sz="4" w:space="0" w:color="auto"/>
              <w:right w:val="single" w:sz="4" w:space="0" w:color="auto"/>
            </w:tcBorders>
            <w:shd w:val="clear" w:color="000000" w:fill="F2F2F2"/>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Compromiso en curso o nuevo</w:t>
            </w:r>
          </w:p>
        </w:tc>
        <w:tc>
          <w:tcPr>
            <w:tcW w:w="1231" w:type="dxa"/>
            <w:tcBorders>
              <w:top w:val="nil"/>
              <w:left w:val="nil"/>
              <w:bottom w:val="single" w:sz="4" w:space="0" w:color="auto"/>
              <w:right w:val="single" w:sz="4" w:space="0" w:color="auto"/>
            </w:tcBorders>
            <w:shd w:val="clear" w:color="000000" w:fill="F2F2F2"/>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Fecha de inicio</w:t>
            </w:r>
          </w:p>
        </w:tc>
        <w:tc>
          <w:tcPr>
            <w:tcW w:w="1135" w:type="dxa"/>
            <w:tcBorders>
              <w:top w:val="nil"/>
              <w:left w:val="nil"/>
              <w:bottom w:val="single" w:sz="4" w:space="0" w:color="auto"/>
              <w:right w:val="single" w:sz="4" w:space="0" w:color="auto"/>
            </w:tcBorders>
            <w:shd w:val="clear" w:color="000000" w:fill="F2F2F2"/>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Fecha final</w:t>
            </w:r>
          </w:p>
        </w:tc>
      </w:tr>
      <w:tr w:rsidR="00D36EFD" w:rsidRPr="00C82570" w:rsidTr="0068702B">
        <w:trPr>
          <w:trHeight w:val="602"/>
          <w:jc w:val="center"/>
        </w:trPr>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D36EFD" w:rsidRPr="00C82570" w:rsidRDefault="00D36EFD" w:rsidP="0068702B">
            <w:r w:rsidRPr="00C82570">
              <w:t>1)</w:t>
            </w:r>
          </w:p>
        </w:tc>
        <w:tc>
          <w:tcPr>
            <w:tcW w:w="4311" w:type="dxa"/>
            <w:gridSpan w:val="3"/>
            <w:tcBorders>
              <w:top w:val="single" w:sz="4" w:space="0" w:color="auto"/>
              <w:left w:val="single" w:sz="4" w:space="0" w:color="auto"/>
              <w:bottom w:val="single" w:sz="4" w:space="0" w:color="auto"/>
              <w:right w:val="single" w:sz="4" w:space="0" w:color="auto"/>
            </w:tcBorders>
            <w:shd w:val="clear" w:color="000000" w:fill="FFFFFF"/>
          </w:tcPr>
          <w:p w:rsidR="00D36EFD" w:rsidRPr="00C82570" w:rsidRDefault="00D36EFD" w:rsidP="0068702B">
            <w:pPr>
              <w:spacing w:after="0" w:line="240" w:lineRule="auto"/>
              <w:ind w:left="163"/>
              <w:jc w:val="both"/>
              <w:rPr>
                <w:rFonts w:eastAsia="Times New Roman"/>
                <w:color w:val="000000"/>
                <w:szCs w:val="20"/>
              </w:rPr>
            </w:pPr>
            <w:r w:rsidRPr="00C82570">
              <w:rPr>
                <w:rFonts w:eastAsia="Times New Roman"/>
                <w:color w:val="000000"/>
                <w:szCs w:val="20"/>
              </w:rPr>
              <w:t>El Ministerio de Finanzas Públicas, realiza foros de presupuesto abierto (que incluye las estimaciones de ingresos), durante el proceso de formulación presupuestaria, y busca emitir la disposición legal que institucionalice el proceso.</w:t>
            </w:r>
          </w:p>
        </w:tc>
        <w:tc>
          <w:tcPr>
            <w:tcW w:w="1610" w:type="dxa"/>
            <w:tcBorders>
              <w:top w:val="single" w:sz="4" w:space="0" w:color="auto"/>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MINFIN (DTP)</w:t>
            </w:r>
          </w:p>
        </w:tc>
        <w:tc>
          <w:tcPr>
            <w:tcW w:w="1763" w:type="dxa"/>
            <w:tcBorders>
              <w:top w:val="single" w:sz="4" w:space="0" w:color="auto"/>
              <w:left w:val="nil"/>
              <w:bottom w:val="single" w:sz="4" w:space="0" w:color="auto"/>
              <w:right w:val="single" w:sz="4" w:space="0" w:color="auto"/>
            </w:tcBorders>
            <w:shd w:val="clear" w:color="000000" w:fill="FFFFFF"/>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Marzo-2017</w:t>
            </w:r>
          </w:p>
        </w:tc>
        <w:tc>
          <w:tcPr>
            <w:tcW w:w="1135"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Julio-2017</w:t>
            </w:r>
          </w:p>
        </w:tc>
      </w:tr>
      <w:tr w:rsidR="00D36EFD" w:rsidRPr="00C82570" w:rsidTr="0068702B">
        <w:trPr>
          <w:trHeight w:val="602"/>
          <w:jc w:val="center"/>
        </w:trPr>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D36EFD" w:rsidRPr="00C82570" w:rsidRDefault="00D36EFD" w:rsidP="0068702B">
            <w:r w:rsidRPr="00C82570">
              <w:t>2)</w:t>
            </w:r>
          </w:p>
        </w:tc>
        <w:tc>
          <w:tcPr>
            <w:tcW w:w="4311" w:type="dxa"/>
            <w:gridSpan w:val="3"/>
            <w:tcBorders>
              <w:top w:val="single" w:sz="4" w:space="0" w:color="auto"/>
              <w:left w:val="single" w:sz="4" w:space="0" w:color="auto"/>
              <w:bottom w:val="single" w:sz="4" w:space="0" w:color="auto"/>
              <w:right w:val="single" w:sz="4" w:space="0" w:color="auto"/>
            </w:tcBorders>
            <w:shd w:val="clear" w:color="000000" w:fill="FFFFFF"/>
          </w:tcPr>
          <w:p w:rsidR="00D36EFD" w:rsidRPr="00C82570" w:rsidRDefault="00D36EFD" w:rsidP="0068702B">
            <w:pPr>
              <w:spacing w:after="0" w:line="240" w:lineRule="auto"/>
              <w:ind w:left="163"/>
              <w:jc w:val="both"/>
              <w:rPr>
                <w:rFonts w:eastAsia="Times New Roman"/>
                <w:color w:val="000000"/>
                <w:szCs w:val="20"/>
              </w:rPr>
            </w:pPr>
            <w:r w:rsidRPr="00C82570">
              <w:rPr>
                <w:rFonts w:eastAsia="Times New Roman"/>
                <w:color w:val="000000"/>
                <w:szCs w:val="20"/>
              </w:rPr>
              <w:t>Se incorpora en la iniciativa de ley del presupuesto, normas para que las instituciones adopten principios y mecanismos de Gobierno Abierto, propiciando la transparencia, rendición de cuentas y participación ciudadana para su involucramiento en la gestión pública.</w:t>
            </w:r>
          </w:p>
        </w:tc>
        <w:tc>
          <w:tcPr>
            <w:tcW w:w="1610" w:type="dxa"/>
            <w:tcBorders>
              <w:top w:val="single" w:sz="4" w:space="0" w:color="auto"/>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MINFIN (DTP)</w:t>
            </w:r>
          </w:p>
        </w:tc>
        <w:tc>
          <w:tcPr>
            <w:tcW w:w="1763" w:type="dxa"/>
            <w:tcBorders>
              <w:top w:val="single" w:sz="4" w:space="0" w:color="auto"/>
              <w:left w:val="nil"/>
              <w:bottom w:val="single" w:sz="4" w:space="0" w:color="auto"/>
              <w:right w:val="single" w:sz="4" w:space="0" w:color="auto"/>
            </w:tcBorders>
            <w:shd w:val="clear" w:color="000000" w:fill="FFFFFF"/>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Noviembre-201</w:t>
            </w:r>
            <w:r>
              <w:rPr>
                <w:rFonts w:eastAsia="Times New Roman"/>
                <w:color w:val="000000"/>
                <w:szCs w:val="20"/>
              </w:rPr>
              <w:t>6</w:t>
            </w:r>
          </w:p>
        </w:tc>
        <w:tc>
          <w:tcPr>
            <w:tcW w:w="1135"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Julio-2017</w:t>
            </w:r>
          </w:p>
        </w:tc>
      </w:tr>
      <w:tr w:rsidR="00D36EFD" w:rsidRPr="00C82570" w:rsidTr="0068702B">
        <w:trPr>
          <w:trHeight w:val="602"/>
          <w:jc w:val="center"/>
        </w:trPr>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D36EFD" w:rsidRPr="00C82570" w:rsidRDefault="00D36EFD" w:rsidP="0068702B">
            <w:r w:rsidRPr="00C82570">
              <w:t>3)</w:t>
            </w:r>
          </w:p>
        </w:tc>
        <w:tc>
          <w:tcPr>
            <w:tcW w:w="4311" w:type="dxa"/>
            <w:gridSpan w:val="3"/>
            <w:tcBorders>
              <w:top w:val="single" w:sz="4" w:space="0" w:color="auto"/>
              <w:left w:val="single" w:sz="4" w:space="0" w:color="auto"/>
              <w:bottom w:val="single" w:sz="4" w:space="0" w:color="auto"/>
              <w:right w:val="single" w:sz="4" w:space="0" w:color="auto"/>
            </w:tcBorders>
            <w:shd w:val="clear" w:color="000000" w:fill="FFFFFF"/>
          </w:tcPr>
          <w:p w:rsidR="00D36EFD" w:rsidRPr="00C82570" w:rsidRDefault="00D36EFD" w:rsidP="0068702B">
            <w:pPr>
              <w:spacing w:after="0" w:line="240" w:lineRule="auto"/>
              <w:ind w:left="163"/>
              <w:jc w:val="both"/>
              <w:rPr>
                <w:rFonts w:eastAsia="Times New Roman"/>
                <w:color w:val="000000"/>
                <w:szCs w:val="20"/>
              </w:rPr>
            </w:pPr>
            <w:r w:rsidRPr="00C82570">
              <w:rPr>
                <w:rFonts w:eastAsia="Times New Roman"/>
                <w:color w:val="000000"/>
                <w:szCs w:val="20"/>
              </w:rPr>
              <w:t>Consejo Nacional de Desarrollo Urbano y Rural (CONADUR) realiza una presentación pública sobre la propuesta de inversión para el siguiente ejercicio fiscal.</w:t>
            </w:r>
          </w:p>
        </w:tc>
        <w:tc>
          <w:tcPr>
            <w:tcW w:w="1610" w:type="dxa"/>
            <w:tcBorders>
              <w:top w:val="single" w:sz="4" w:space="0" w:color="auto"/>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SEGEPLAN,</w:t>
            </w:r>
          </w:p>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SCEP</w:t>
            </w:r>
          </w:p>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CONADUR</w:t>
            </w:r>
          </w:p>
        </w:tc>
        <w:tc>
          <w:tcPr>
            <w:tcW w:w="1763" w:type="dxa"/>
            <w:tcBorders>
              <w:top w:val="single" w:sz="4" w:space="0" w:color="auto"/>
              <w:left w:val="nil"/>
              <w:bottom w:val="single" w:sz="4" w:space="0" w:color="auto"/>
              <w:right w:val="single" w:sz="4" w:space="0" w:color="auto"/>
            </w:tcBorders>
            <w:shd w:val="clear" w:color="000000" w:fill="FFFFFF"/>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Marzo-2017</w:t>
            </w:r>
          </w:p>
        </w:tc>
        <w:tc>
          <w:tcPr>
            <w:tcW w:w="1135" w:type="dxa"/>
            <w:tcBorders>
              <w:top w:val="nil"/>
              <w:left w:val="nil"/>
              <w:bottom w:val="single" w:sz="4" w:space="0" w:color="auto"/>
              <w:right w:val="single" w:sz="4" w:space="0" w:color="auto"/>
            </w:tcBorders>
            <w:shd w:val="clear" w:color="000000" w:fill="FFFFFF"/>
            <w:noWrap/>
            <w:vAlign w:val="center"/>
            <w:hideMark/>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Julio-2017</w:t>
            </w:r>
          </w:p>
        </w:tc>
      </w:tr>
      <w:tr w:rsidR="00D36EFD" w:rsidRPr="00C82570" w:rsidTr="0068702B">
        <w:trPr>
          <w:trHeight w:val="602"/>
          <w:jc w:val="center"/>
        </w:trPr>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D36EFD" w:rsidRPr="00C82570" w:rsidRDefault="00D36EFD" w:rsidP="0068702B">
            <w:r w:rsidRPr="00C82570">
              <w:t>4)</w:t>
            </w:r>
          </w:p>
        </w:tc>
        <w:tc>
          <w:tcPr>
            <w:tcW w:w="4311" w:type="dxa"/>
            <w:gridSpan w:val="3"/>
            <w:tcBorders>
              <w:top w:val="single" w:sz="4" w:space="0" w:color="auto"/>
              <w:left w:val="single" w:sz="4" w:space="0" w:color="auto"/>
              <w:bottom w:val="single" w:sz="4" w:space="0" w:color="auto"/>
              <w:right w:val="single" w:sz="4" w:space="0" w:color="auto"/>
            </w:tcBorders>
            <w:shd w:val="clear" w:color="000000" w:fill="FFFFFF"/>
          </w:tcPr>
          <w:p w:rsidR="00D36EFD" w:rsidRPr="00C82570" w:rsidRDefault="00D36EFD" w:rsidP="0068702B">
            <w:pPr>
              <w:spacing w:after="0" w:line="240" w:lineRule="auto"/>
              <w:ind w:left="163"/>
              <w:jc w:val="both"/>
              <w:rPr>
                <w:rFonts w:eastAsia="Times New Roman"/>
                <w:color w:val="000000"/>
                <w:szCs w:val="20"/>
              </w:rPr>
            </w:pPr>
            <w:r w:rsidRPr="00C82570">
              <w:rPr>
                <w:rFonts w:eastAsia="Times New Roman"/>
                <w:color w:val="000000"/>
                <w:szCs w:val="20"/>
              </w:rPr>
              <w:t>La sociedad civil participa y provee insumos a través de mesas técnicas en el proceso de discusión del proyecto de presupuesto.</w:t>
            </w:r>
          </w:p>
        </w:tc>
        <w:tc>
          <w:tcPr>
            <w:tcW w:w="1610" w:type="dxa"/>
            <w:tcBorders>
              <w:top w:val="single" w:sz="4" w:space="0" w:color="auto"/>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Comisión de Finanzas Públicas y Moneda del Congreso de la República</w:t>
            </w:r>
          </w:p>
        </w:tc>
        <w:tc>
          <w:tcPr>
            <w:tcW w:w="1763" w:type="dxa"/>
            <w:tcBorders>
              <w:top w:val="single" w:sz="4" w:space="0" w:color="auto"/>
              <w:left w:val="nil"/>
              <w:bottom w:val="single" w:sz="4" w:space="0" w:color="auto"/>
              <w:right w:val="single" w:sz="4" w:space="0" w:color="auto"/>
            </w:tcBorders>
            <w:shd w:val="clear" w:color="000000" w:fill="FFFFFF"/>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Compromiso nuevo</w:t>
            </w:r>
          </w:p>
        </w:tc>
        <w:tc>
          <w:tcPr>
            <w:tcW w:w="1231" w:type="dxa"/>
            <w:tcBorders>
              <w:top w:val="nil"/>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Septiembre 2016</w:t>
            </w:r>
          </w:p>
          <w:p w:rsidR="00D36EFD" w:rsidRPr="00C82570" w:rsidRDefault="00D36EFD" w:rsidP="0068702B">
            <w:pPr>
              <w:spacing w:after="0" w:line="240" w:lineRule="auto"/>
              <w:jc w:val="center"/>
              <w:rPr>
                <w:rFonts w:eastAsia="Times New Roman"/>
                <w:color w:val="000000"/>
                <w:szCs w:val="20"/>
              </w:rPr>
            </w:pPr>
          </w:p>
        </w:tc>
        <w:tc>
          <w:tcPr>
            <w:tcW w:w="1135" w:type="dxa"/>
            <w:tcBorders>
              <w:top w:val="nil"/>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Noviembre 2016</w:t>
            </w:r>
          </w:p>
          <w:p w:rsidR="00D36EFD" w:rsidRPr="00C82570" w:rsidRDefault="00D36EFD" w:rsidP="0068702B">
            <w:pPr>
              <w:spacing w:after="0" w:line="240" w:lineRule="auto"/>
              <w:jc w:val="center"/>
              <w:rPr>
                <w:rFonts w:eastAsia="Times New Roman"/>
                <w:color w:val="000000"/>
                <w:szCs w:val="20"/>
              </w:rPr>
            </w:pPr>
          </w:p>
        </w:tc>
      </w:tr>
      <w:tr w:rsidR="00D36EFD" w:rsidRPr="00C82570" w:rsidTr="0068702B">
        <w:trPr>
          <w:trHeight w:val="602"/>
          <w:jc w:val="center"/>
        </w:trPr>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D36EFD" w:rsidRPr="00C82570" w:rsidRDefault="00D36EFD" w:rsidP="0068702B">
            <w:r w:rsidRPr="00C82570">
              <w:t>5)</w:t>
            </w:r>
          </w:p>
        </w:tc>
        <w:tc>
          <w:tcPr>
            <w:tcW w:w="4311" w:type="dxa"/>
            <w:gridSpan w:val="3"/>
            <w:tcBorders>
              <w:top w:val="single" w:sz="4" w:space="0" w:color="auto"/>
              <w:left w:val="single" w:sz="4" w:space="0" w:color="auto"/>
              <w:bottom w:val="single" w:sz="4" w:space="0" w:color="auto"/>
              <w:right w:val="single" w:sz="4" w:space="0" w:color="auto"/>
            </w:tcBorders>
            <w:shd w:val="clear" w:color="000000" w:fill="FFFFFF"/>
          </w:tcPr>
          <w:p w:rsidR="00D36EFD" w:rsidRPr="00C82570" w:rsidRDefault="00D36EFD" w:rsidP="0068702B">
            <w:pPr>
              <w:spacing w:after="0" w:line="240" w:lineRule="auto"/>
              <w:ind w:left="163"/>
              <w:jc w:val="both"/>
              <w:rPr>
                <w:rFonts w:eastAsia="Times New Roman"/>
                <w:color w:val="000000"/>
                <w:szCs w:val="20"/>
              </w:rPr>
            </w:pPr>
            <w:r w:rsidRPr="00C82570">
              <w:rPr>
                <w:rFonts w:eastAsia="Times New Roman"/>
                <w:color w:val="000000"/>
                <w:szCs w:val="20"/>
              </w:rPr>
              <w:t>Contraloría General de Cuentas hace públicos los resultados del Informe de Auditoría a la Liquidación del Presupuesto del año anterior, bajo principios de gobierno abierto.</w:t>
            </w:r>
          </w:p>
        </w:tc>
        <w:tc>
          <w:tcPr>
            <w:tcW w:w="1610" w:type="dxa"/>
            <w:tcBorders>
              <w:top w:val="single" w:sz="4" w:space="0" w:color="auto"/>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Contraloría General de Cuentas</w:t>
            </w:r>
          </w:p>
        </w:tc>
        <w:tc>
          <w:tcPr>
            <w:tcW w:w="1763" w:type="dxa"/>
            <w:tcBorders>
              <w:top w:val="single" w:sz="4" w:space="0" w:color="auto"/>
              <w:left w:val="nil"/>
              <w:bottom w:val="single" w:sz="4" w:space="0" w:color="auto"/>
              <w:right w:val="single" w:sz="4" w:space="0" w:color="auto"/>
            </w:tcBorders>
            <w:shd w:val="clear" w:color="000000" w:fill="FFFFFF"/>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Junio</w:t>
            </w:r>
            <w:r>
              <w:rPr>
                <w:rFonts w:eastAsia="Times New Roman"/>
                <w:color w:val="000000"/>
                <w:szCs w:val="20"/>
              </w:rPr>
              <w:t xml:space="preserve"> </w:t>
            </w:r>
            <w:r w:rsidRPr="00C82570">
              <w:rPr>
                <w:rFonts w:eastAsia="Times New Roman"/>
                <w:color w:val="000000"/>
                <w:szCs w:val="20"/>
              </w:rPr>
              <w:t>2017</w:t>
            </w:r>
          </w:p>
        </w:tc>
        <w:tc>
          <w:tcPr>
            <w:tcW w:w="1135" w:type="dxa"/>
            <w:tcBorders>
              <w:top w:val="nil"/>
              <w:left w:val="nil"/>
              <w:bottom w:val="single" w:sz="4" w:space="0" w:color="auto"/>
              <w:right w:val="single" w:sz="4" w:space="0" w:color="auto"/>
            </w:tcBorders>
            <w:shd w:val="clear" w:color="000000" w:fill="FFFFFF"/>
            <w:noWrap/>
            <w:vAlign w:val="center"/>
          </w:tcPr>
          <w:p w:rsidR="00D36EFD" w:rsidRPr="00C82570" w:rsidRDefault="00D36EFD" w:rsidP="0068702B">
            <w:pPr>
              <w:spacing w:after="0" w:line="240" w:lineRule="auto"/>
              <w:jc w:val="center"/>
              <w:rPr>
                <w:rFonts w:eastAsia="Times New Roman"/>
                <w:color w:val="000000"/>
                <w:szCs w:val="20"/>
              </w:rPr>
            </w:pPr>
            <w:r w:rsidRPr="00C82570">
              <w:rPr>
                <w:rFonts w:eastAsia="Times New Roman"/>
                <w:color w:val="000000"/>
                <w:szCs w:val="20"/>
              </w:rPr>
              <w:t>Junio 2017</w:t>
            </w:r>
          </w:p>
        </w:tc>
      </w:tr>
    </w:tbl>
    <w:p w:rsidR="00D36EFD" w:rsidRDefault="00D36EFD" w:rsidP="00D36EFD">
      <w:pPr>
        <w:rPr>
          <w:lang w:eastAsia="es-ES"/>
        </w:rPr>
      </w:pPr>
    </w:p>
    <w:p w:rsidR="00D36EFD" w:rsidRPr="00D36EFD" w:rsidRDefault="00D36EFD">
      <w:pPr>
        <w:rPr>
          <w:lang w:val="es-GT"/>
        </w:rPr>
      </w:pPr>
    </w:p>
    <w:sectPr w:rsidR="00D36EFD" w:rsidRPr="00D36EFD" w:rsidSect="007E6A41">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CC" w:rsidRDefault="001D37CC" w:rsidP="00D36EFD">
      <w:pPr>
        <w:spacing w:after="0" w:line="240" w:lineRule="auto"/>
      </w:pPr>
      <w:r>
        <w:separator/>
      </w:r>
    </w:p>
  </w:endnote>
  <w:endnote w:type="continuationSeparator" w:id="0">
    <w:p w:rsidR="001D37CC" w:rsidRDefault="001D37CC" w:rsidP="00D36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797"/>
      <w:docPartObj>
        <w:docPartGallery w:val="Page Numbers (Bottom of Page)"/>
        <w:docPartUnique/>
      </w:docPartObj>
    </w:sdtPr>
    <w:sdtContent>
      <w:p w:rsidR="00D36EFD" w:rsidRDefault="00115020">
        <w:pPr>
          <w:pStyle w:val="Piedepgin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D36EFD" w:rsidRDefault="00115020">
                    <w:pPr>
                      <w:jc w:val="center"/>
                    </w:pPr>
                    <w:fldSimple w:instr=" PAGE    \* MERGEFORMAT ">
                      <w:r w:rsidR="001328DA" w:rsidRPr="001328DA">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CC" w:rsidRDefault="001D37CC" w:rsidP="00D36EFD">
      <w:pPr>
        <w:spacing w:after="0" w:line="240" w:lineRule="auto"/>
      </w:pPr>
      <w:r>
        <w:separator/>
      </w:r>
    </w:p>
  </w:footnote>
  <w:footnote w:type="continuationSeparator" w:id="0">
    <w:p w:rsidR="001D37CC" w:rsidRDefault="001D37CC" w:rsidP="00D36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84E10"/>
    <w:multiLevelType w:val="hybridMultilevel"/>
    <w:tmpl w:val="981E30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57175FDB"/>
    <w:multiLevelType w:val="hybridMultilevel"/>
    <w:tmpl w:val="14020D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86248D3"/>
    <w:multiLevelType w:val="hybridMultilevel"/>
    <w:tmpl w:val="4F40A2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6D202B66"/>
    <w:multiLevelType w:val="hybridMultilevel"/>
    <w:tmpl w:val="29AE82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70AE1A4D"/>
    <w:multiLevelType w:val="hybridMultilevel"/>
    <w:tmpl w:val="46709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36EFD"/>
    <w:rsid w:val="00115020"/>
    <w:rsid w:val="001328DA"/>
    <w:rsid w:val="001D37CC"/>
    <w:rsid w:val="002627FE"/>
    <w:rsid w:val="007E6A41"/>
    <w:rsid w:val="00D36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6EFD"/>
    <w:pPr>
      <w:spacing w:after="160" w:line="259" w:lineRule="auto"/>
      <w:ind w:left="720"/>
      <w:contextualSpacing/>
    </w:pPr>
    <w:rPr>
      <w:rFonts w:ascii="Calibri" w:eastAsia="Calibri" w:hAnsi="Calibri" w:cs="Times New Roman"/>
      <w:lang w:val="es-GT"/>
    </w:rPr>
  </w:style>
  <w:style w:type="paragraph" w:styleId="Encabezado">
    <w:name w:val="header"/>
    <w:basedOn w:val="Normal"/>
    <w:link w:val="EncabezadoCar"/>
    <w:uiPriority w:val="99"/>
    <w:semiHidden/>
    <w:unhideWhenUsed/>
    <w:rsid w:val="00D36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36EFD"/>
  </w:style>
  <w:style w:type="paragraph" w:styleId="Piedepgina">
    <w:name w:val="footer"/>
    <w:basedOn w:val="Normal"/>
    <w:link w:val="PiedepginaCar"/>
    <w:uiPriority w:val="99"/>
    <w:semiHidden/>
    <w:unhideWhenUsed/>
    <w:rsid w:val="00D36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6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moir@segeplan.gob.gt" TargetMode="External"/><Relationship Id="rId3" Type="http://schemas.openxmlformats.org/officeDocument/2006/relationships/settings" Target="settings.xml"/><Relationship Id="rId7" Type="http://schemas.openxmlformats.org/officeDocument/2006/relationships/hyperlink" Target="mailto:vmartinez@minfin.gob.g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lima@contraloria.gob.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4156</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transpfis08</dc:creator>
  <cp:keywords/>
  <dc:description/>
  <cp:lastModifiedBy>transpfis08</cp:lastModifiedBy>
  <cp:revision>2</cp:revision>
  <dcterms:created xsi:type="dcterms:W3CDTF">2016-09-30T16:43:00Z</dcterms:created>
  <dcterms:modified xsi:type="dcterms:W3CDTF">2016-09-30T16:49:00Z</dcterms:modified>
</cp:coreProperties>
</file>